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A004" w14:textId="77777777" w:rsidR="005B282A" w:rsidRPr="00EC02CA" w:rsidRDefault="005B282A" w:rsidP="005B282A">
      <w:pPr>
        <w:jc w:val="center"/>
        <w:rPr>
          <w:rFonts w:cs="Times New Roman"/>
          <w:sz w:val="24"/>
        </w:rPr>
      </w:pPr>
      <w:r w:rsidRPr="00EC02CA">
        <w:rPr>
          <w:rFonts w:cs="Times New Roman"/>
          <w:noProof/>
        </w:rPr>
        <w:drawing>
          <wp:inline distT="0" distB="0" distL="0" distR="0" wp14:anchorId="25946BC0" wp14:editId="49F67B84">
            <wp:extent cx="4882516" cy="81661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1">
                      <a:extLst>
                        <a:ext uri="{28A0092B-C50C-407E-A947-70E740481C1C}">
                          <a14:useLocalDpi xmlns:a14="http://schemas.microsoft.com/office/drawing/2010/main" val="0"/>
                        </a:ext>
                      </a:extLst>
                    </a:blip>
                    <a:stretch>
                      <a:fillRect/>
                    </a:stretch>
                  </pic:blipFill>
                  <pic:spPr>
                    <a:xfrm>
                      <a:off x="0" y="0"/>
                      <a:ext cx="4882516" cy="816610"/>
                    </a:xfrm>
                    <a:prstGeom prst="rect">
                      <a:avLst/>
                    </a:prstGeom>
                  </pic:spPr>
                </pic:pic>
              </a:graphicData>
            </a:graphic>
          </wp:inline>
        </w:drawing>
      </w:r>
    </w:p>
    <w:p w14:paraId="6ADA73F8" w14:textId="77777777" w:rsidR="005B282A" w:rsidRPr="00EC02CA" w:rsidRDefault="005B282A" w:rsidP="005B282A">
      <w:pPr>
        <w:rPr>
          <w:rFonts w:cs="Times New Roman"/>
          <w:sz w:val="24"/>
        </w:rPr>
      </w:pPr>
    </w:p>
    <w:p w14:paraId="599FEBFA" w14:textId="77777777" w:rsidR="005B282A" w:rsidRPr="00EC02CA" w:rsidRDefault="005B282A" w:rsidP="005B282A">
      <w:pPr>
        <w:rPr>
          <w:rFonts w:cs="Times New Roman"/>
          <w:sz w:val="24"/>
        </w:rPr>
      </w:pPr>
    </w:p>
    <w:p w14:paraId="672CAB76" w14:textId="10D2105D" w:rsidR="005B282A" w:rsidRPr="00EC02CA" w:rsidRDefault="00952B07" w:rsidP="005B282A">
      <w:pPr>
        <w:spacing w:before="1440" w:line="288" w:lineRule="auto"/>
        <w:jc w:val="center"/>
        <w:rPr>
          <w:rFonts w:cs="Times New Roman"/>
          <w:sz w:val="68"/>
          <w:szCs w:val="68"/>
        </w:rPr>
      </w:pPr>
      <w:r w:rsidRPr="00EC02CA">
        <w:rPr>
          <w:rFonts w:cs="Times New Roman"/>
          <w:sz w:val="68"/>
          <w:szCs w:val="68"/>
        </w:rPr>
        <w:t xml:space="preserve">An Evaluation of Youth Justice </w:t>
      </w:r>
      <w:r w:rsidR="006839EC" w:rsidRPr="00EC02CA">
        <w:rPr>
          <w:rFonts w:cs="Times New Roman"/>
          <w:sz w:val="68"/>
          <w:szCs w:val="68"/>
        </w:rPr>
        <w:t xml:space="preserve">Responses to </w:t>
      </w:r>
      <w:r w:rsidR="0048740C" w:rsidRPr="00EC02CA">
        <w:rPr>
          <w:rFonts w:cs="Times New Roman"/>
          <w:sz w:val="68"/>
          <w:szCs w:val="68"/>
        </w:rPr>
        <w:t>Allegations of Sexual Offending by Young People</w:t>
      </w:r>
    </w:p>
    <w:p w14:paraId="37BABF4F" w14:textId="77777777" w:rsidR="005B282A" w:rsidRPr="00EC02CA" w:rsidRDefault="005B282A" w:rsidP="005B282A">
      <w:pPr>
        <w:spacing w:after="360"/>
        <w:jc w:val="center"/>
        <w:rPr>
          <w:rFonts w:cs="Times New Roman"/>
          <w:smallCaps/>
          <w:sz w:val="24"/>
        </w:rPr>
      </w:pPr>
    </w:p>
    <w:p w14:paraId="124A13B1" w14:textId="77777777" w:rsidR="005B282A" w:rsidRPr="00EC02CA" w:rsidRDefault="005B282A" w:rsidP="005B282A">
      <w:pPr>
        <w:spacing w:after="360"/>
        <w:jc w:val="center"/>
        <w:rPr>
          <w:rFonts w:cs="Times New Roman"/>
          <w:smallCaps/>
          <w:sz w:val="24"/>
        </w:rPr>
      </w:pPr>
    </w:p>
    <w:p w14:paraId="3EE2268C" w14:textId="77777777" w:rsidR="005B282A" w:rsidRPr="00EC02CA" w:rsidRDefault="005B282A" w:rsidP="005B282A">
      <w:pPr>
        <w:spacing w:after="360"/>
        <w:jc w:val="center"/>
        <w:rPr>
          <w:rFonts w:cs="Times New Roman"/>
          <w:smallCaps/>
          <w:sz w:val="24"/>
        </w:rPr>
      </w:pPr>
    </w:p>
    <w:p w14:paraId="04ED9A03" w14:textId="77777777" w:rsidR="005B282A" w:rsidRPr="00EC02CA" w:rsidRDefault="005B282A" w:rsidP="005B282A">
      <w:pPr>
        <w:spacing w:after="360"/>
        <w:jc w:val="center"/>
        <w:rPr>
          <w:rFonts w:cs="Times New Roman"/>
          <w:smallCaps/>
          <w:sz w:val="24"/>
        </w:rPr>
      </w:pPr>
    </w:p>
    <w:p w14:paraId="2A3A0DB4" w14:textId="37EF6F43" w:rsidR="005B282A" w:rsidRPr="00EC02CA" w:rsidRDefault="005B282A" w:rsidP="005B282A">
      <w:pPr>
        <w:spacing w:after="360"/>
        <w:jc w:val="center"/>
        <w:rPr>
          <w:rFonts w:cs="Times New Roman"/>
          <w:smallCaps/>
          <w:sz w:val="36"/>
          <w:szCs w:val="36"/>
        </w:rPr>
      </w:pPr>
      <w:r w:rsidRPr="00EC02CA">
        <w:rPr>
          <w:rFonts w:cs="Times New Roman"/>
          <w:smallCaps/>
          <w:sz w:val="36"/>
          <w:szCs w:val="36"/>
        </w:rPr>
        <w:t xml:space="preserve">Research Paper No </w:t>
      </w:r>
      <w:r w:rsidR="00434145" w:rsidRPr="00EC02CA">
        <w:rPr>
          <w:rFonts w:cs="Times New Roman"/>
          <w:smallCaps/>
          <w:sz w:val="36"/>
          <w:szCs w:val="36"/>
        </w:rPr>
        <w:t>10</w:t>
      </w:r>
    </w:p>
    <w:p w14:paraId="102C771A" w14:textId="608C068B" w:rsidR="005B282A" w:rsidRPr="00EC02CA" w:rsidRDefault="002870DB" w:rsidP="005B282A">
      <w:pPr>
        <w:jc w:val="center"/>
        <w:rPr>
          <w:rFonts w:cs="Times New Roman"/>
          <w:smallCaps/>
          <w:sz w:val="36"/>
          <w:szCs w:val="36"/>
        </w:rPr>
      </w:pPr>
      <w:r w:rsidRPr="00EC02CA">
        <w:rPr>
          <w:rFonts w:cs="Times New Roman"/>
          <w:smallCaps/>
          <w:sz w:val="36"/>
          <w:szCs w:val="36"/>
        </w:rPr>
        <w:t>January</w:t>
      </w:r>
      <w:r w:rsidR="006839EC" w:rsidRPr="00EC02CA">
        <w:rPr>
          <w:rFonts w:cs="Times New Roman"/>
          <w:smallCaps/>
          <w:sz w:val="36"/>
          <w:szCs w:val="36"/>
        </w:rPr>
        <w:t xml:space="preserve"> 202</w:t>
      </w:r>
      <w:r w:rsidRPr="00EC02CA">
        <w:rPr>
          <w:rFonts w:cs="Times New Roman"/>
          <w:smallCaps/>
          <w:sz w:val="36"/>
          <w:szCs w:val="36"/>
        </w:rPr>
        <w:t>6</w:t>
      </w:r>
    </w:p>
    <w:p w14:paraId="14E1E994" w14:textId="77777777" w:rsidR="005B282A" w:rsidRPr="00EC02CA" w:rsidRDefault="005B282A" w:rsidP="005B282A">
      <w:pPr>
        <w:spacing w:before="1440" w:line="288" w:lineRule="auto"/>
        <w:jc w:val="center"/>
        <w:rPr>
          <w:rFonts w:cs="Times New Roman"/>
          <w:sz w:val="24"/>
        </w:rPr>
      </w:pPr>
    </w:p>
    <w:p w14:paraId="39CA9108" w14:textId="77777777" w:rsidR="005B282A" w:rsidRPr="00EC02CA" w:rsidRDefault="005B282A" w:rsidP="005B282A">
      <w:pPr>
        <w:rPr>
          <w:rFonts w:eastAsiaTheme="majorEastAsia" w:cs="Times New Roman"/>
          <w:spacing w:val="-10"/>
          <w:sz w:val="24"/>
        </w:rPr>
        <w:sectPr w:rsidR="005B282A" w:rsidRPr="00EC02CA" w:rsidSect="0037247A">
          <w:headerReference w:type="even" r:id="rId12"/>
          <w:footerReference w:type="even" r:id="rId13"/>
          <w:footerReference w:type="default" r:id="rId14"/>
          <w:footerReference w:type="first" r:id="rId15"/>
          <w:type w:val="oddPage"/>
          <w:pgSz w:w="11906" w:h="16838"/>
          <w:pgMar w:top="1440" w:right="1440" w:bottom="1440" w:left="1440" w:header="708" w:footer="708" w:gutter="0"/>
          <w:pgNumType w:fmt="lowerRoman" w:start="1"/>
          <w:cols w:space="708"/>
          <w:titlePg/>
          <w:docGrid w:linePitch="360"/>
        </w:sectPr>
      </w:pPr>
    </w:p>
    <w:p w14:paraId="2B2AB793" w14:textId="77777777" w:rsidR="005B282A" w:rsidRPr="00EC02CA" w:rsidRDefault="005B282A" w:rsidP="005B282A">
      <w:pPr>
        <w:rPr>
          <w:rFonts w:eastAsiaTheme="majorEastAsia" w:cs="Times New Roman"/>
          <w:spacing w:val="-10"/>
          <w:sz w:val="24"/>
        </w:rPr>
      </w:pPr>
    </w:p>
    <w:p w14:paraId="20D149D0" w14:textId="77777777" w:rsidR="005B282A" w:rsidRPr="00EC02CA" w:rsidRDefault="005B282A" w:rsidP="005B282A">
      <w:pPr>
        <w:rPr>
          <w:rFonts w:cs="Times New Roman"/>
          <w:sz w:val="40"/>
          <w:szCs w:val="40"/>
        </w:rPr>
        <w:sectPr w:rsidR="005B282A" w:rsidRPr="00EC02CA" w:rsidSect="0037247A">
          <w:pgSz w:w="11906" w:h="16838"/>
          <w:pgMar w:top="1440" w:right="1440" w:bottom="1440" w:left="1440" w:header="708" w:footer="708" w:gutter="0"/>
          <w:pgNumType w:fmt="lowerRoman" w:start="2"/>
          <w:cols w:space="708"/>
          <w:titlePg/>
          <w:docGrid w:linePitch="360"/>
        </w:sectPr>
      </w:pPr>
      <w:r w:rsidRPr="00EC02CA">
        <w:rPr>
          <w:rFonts w:cs="Times New Roman"/>
          <w:noProof/>
          <w:sz w:val="20"/>
          <w:szCs w:val="20"/>
        </w:rPr>
        <mc:AlternateContent>
          <mc:Choice Requires="wps">
            <w:drawing>
              <wp:anchor distT="45720" distB="45720" distL="114300" distR="114300" simplePos="0" relativeHeight="251658240" behindDoc="0" locked="0" layoutInCell="1" allowOverlap="1" wp14:anchorId="0FED5DD5" wp14:editId="4D2F4135">
                <wp:simplePos x="0" y="0"/>
                <wp:positionH relativeFrom="margin">
                  <wp:posOffset>1857375</wp:posOffset>
                </wp:positionH>
                <wp:positionV relativeFrom="paragraph">
                  <wp:posOffset>7171690</wp:posOffset>
                </wp:positionV>
                <wp:extent cx="4327525"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1123950"/>
                        </a:xfrm>
                        <a:prstGeom prst="rect">
                          <a:avLst/>
                        </a:prstGeom>
                        <a:solidFill>
                          <a:srgbClr val="FFFFFF"/>
                        </a:solidFill>
                        <a:ln w="9525">
                          <a:noFill/>
                          <a:miter lim="800000"/>
                          <a:headEnd/>
                          <a:tailEnd/>
                        </a:ln>
                      </wps:spPr>
                      <wps:txbx>
                        <w:txbxContent>
                          <w:p w14:paraId="28063203" w14:textId="19216024" w:rsidR="005B282A" w:rsidRPr="00A660A0" w:rsidRDefault="005B282A" w:rsidP="005B282A">
                            <w:pPr>
                              <w:jc w:val="right"/>
                              <w:rPr>
                                <w:rFonts w:cs="Times New Roman"/>
                                <w:sz w:val="20"/>
                                <w:szCs w:val="20"/>
                              </w:rPr>
                            </w:pPr>
                            <w:r w:rsidRPr="00A660A0">
                              <w:rPr>
                                <w:rFonts w:cs="Times New Roman"/>
                                <w:sz w:val="20"/>
                                <w:szCs w:val="20"/>
                              </w:rPr>
                              <w:t xml:space="preserve">© </w:t>
                            </w:r>
                            <w:r w:rsidRPr="00434145">
                              <w:rPr>
                                <w:rFonts w:cs="Times New Roman"/>
                                <w:sz w:val="20"/>
                                <w:szCs w:val="20"/>
                              </w:rPr>
                              <w:t>Tasmania Law Reform Institute 202</w:t>
                            </w:r>
                            <w:r w:rsidR="00EB09D0">
                              <w:rPr>
                                <w:rFonts w:cs="Times New Roman"/>
                                <w:sz w:val="20"/>
                                <w:szCs w:val="20"/>
                              </w:rPr>
                              <w:t>6</w:t>
                            </w:r>
                          </w:p>
                          <w:p w14:paraId="10B9773B" w14:textId="77777777" w:rsidR="005B282A" w:rsidRPr="00A660A0" w:rsidRDefault="005B282A" w:rsidP="005B282A">
                            <w:pPr>
                              <w:jc w:val="right"/>
                              <w:rPr>
                                <w:rFonts w:cs="Times New Roman"/>
                                <w:sz w:val="20"/>
                                <w:szCs w:val="20"/>
                              </w:rPr>
                            </w:pPr>
                            <w:r w:rsidRPr="00A660A0">
                              <w:rPr>
                                <w:rFonts w:cs="Times New Roman"/>
                                <w:sz w:val="20"/>
                                <w:szCs w:val="20"/>
                              </w:rPr>
                              <w:t>www.utas.edu.au/law-reform/</w:t>
                            </w:r>
                            <w:r w:rsidRPr="005C2F14">
                              <w:rPr>
                                <w:rFonts w:cs="Times New Roman"/>
                                <w:sz w:val="20"/>
                                <w:szCs w:val="20"/>
                              </w:rPr>
                              <w:t>publications</w:t>
                            </w:r>
                          </w:p>
                          <w:p w14:paraId="361FD99E" w14:textId="76E3E3E6" w:rsidR="005B282A" w:rsidRPr="00A660A0" w:rsidRDefault="005B282A" w:rsidP="005B282A">
                            <w:pPr>
                              <w:jc w:val="right"/>
                              <w:rPr>
                                <w:rFonts w:cs="Times New Roman"/>
                                <w:sz w:val="20"/>
                                <w:szCs w:val="20"/>
                              </w:rPr>
                            </w:pPr>
                            <w:r w:rsidRPr="00A660A0">
                              <w:rPr>
                                <w:rFonts w:cs="Times New Roman"/>
                                <w:sz w:val="20"/>
                                <w:szCs w:val="20"/>
                              </w:rPr>
                              <w:t xml:space="preserve">Cite as: Tasmania Law Reform Institute, </w:t>
                            </w:r>
                            <w:r w:rsidR="00C56F56">
                              <w:rPr>
                                <w:rFonts w:cs="Times New Roman"/>
                                <w:i/>
                                <w:iCs/>
                                <w:sz w:val="20"/>
                                <w:szCs w:val="20"/>
                              </w:rPr>
                              <w:t xml:space="preserve">An Evaluation of </w:t>
                            </w:r>
                            <w:r w:rsidR="000B5112">
                              <w:rPr>
                                <w:rFonts w:cs="Times New Roman"/>
                                <w:i/>
                                <w:iCs/>
                                <w:sz w:val="20"/>
                                <w:szCs w:val="20"/>
                              </w:rPr>
                              <w:t>Youth Justice System Responses to Allegations of Sexual Offending by Young People</w:t>
                            </w:r>
                            <w:r w:rsidR="002870DB">
                              <w:rPr>
                                <w:rFonts w:cs="Times New Roman"/>
                                <w:i/>
                                <w:iCs/>
                                <w:sz w:val="20"/>
                                <w:szCs w:val="20"/>
                              </w:rPr>
                              <w:t xml:space="preserve"> </w:t>
                            </w:r>
                            <w:r w:rsidRPr="00A660A0">
                              <w:rPr>
                                <w:rFonts w:cs="Times New Roman"/>
                                <w:sz w:val="20"/>
                                <w:szCs w:val="20"/>
                              </w:rPr>
                              <w:t>(</w:t>
                            </w:r>
                            <w:r w:rsidR="00D8729E" w:rsidRPr="00434145">
                              <w:rPr>
                                <w:rFonts w:cs="Times New Roman"/>
                                <w:sz w:val="20"/>
                                <w:szCs w:val="20"/>
                              </w:rPr>
                              <w:t>Research</w:t>
                            </w:r>
                            <w:r w:rsidR="006839EC" w:rsidRPr="00434145">
                              <w:rPr>
                                <w:rFonts w:cs="Times New Roman"/>
                                <w:sz w:val="20"/>
                                <w:szCs w:val="20"/>
                              </w:rPr>
                              <w:t xml:space="preserve"> </w:t>
                            </w:r>
                            <w:r w:rsidRPr="00434145">
                              <w:rPr>
                                <w:rFonts w:cs="Times New Roman"/>
                                <w:sz w:val="20"/>
                                <w:szCs w:val="20"/>
                              </w:rPr>
                              <w:t xml:space="preserve">Paper </w:t>
                            </w:r>
                            <w:r w:rsidRPr="00C91D91">
                              <w:rPr>
                                <w:rFonts w:cs="Times New Roman"/>
                                <w:sz w:val="20"/>
                                <w:szCs w:val="20"/>
                              </w:rPr>
                              <w:t xml:space="preserve">No </w:t>
                            </w:r>
                            <w:r w:rsidR="00434145" w:rsidRPr="00C91D91">
                              <w:rPr>
                                <w:rFonts w:cs="Times New Roman"/>
                                <w:sz w:val="20"/>
                                <w:szCs w:val="20"/>
                              </w:rPr>
                              <w:t>10</w:t>
                            </w:r>
                            <w:r w:rsidRPr="00C91D91">
                              <w:rPr>
                                <w:rFonts w:cs="Times New Roman"/>
                                <w:sz w:val="20"/>
                                <w:szCs w:val="20"/>
                              </w:rPr>
                              <w:t xml:space="preserve">, </w:t>
                            </w:r>
                            <w:r w:rsidR="00EB09D0">
                              <w:rPr>
                                <w:rFonts w:cs="Times New Roman"/>
                                <w:sz w:val="20"/>
                                <w:szCs w:val="20"/>
                              </w:rPr>
                              <w:t>January</w:t>
                            </w:r>
                            <w:r w:rsidRPr="00C91D91">
                              <w:rPr>
                                <w:rFonts w:cs="Times New Roman"/>
                                <w:sz w:val="20"/>
                                <w:szCs w:val="20"/>
                              </w:rPr>
                              <w:t xml:space="preserve"> </w:t>
                            </w:r>
                            <w:r w:rsidRPr="00434145">
                              <w:rPr>
                                <w:rFonts w:cs="Times New Roman"/>
                                <w:sz w:val="20"/>
                                <w:szCs w:val="20"/>
                              </w:rPr>
                              <w:t>202</w:t>
                            </w:r>
                            <w:r w:rsidR="00EB09D0">
                              <w:rPr>
                                <w:rFonts w:cs="Times New Roman"/>
                                <w:sz w:val="20"/>
                                <w:szCs w:val="20"/>
                              </w:rPr>
                              <w:t>6</w:t>
                            </w:r>
                            <w:r w:rsidRPr="00434145">
                              <w:rPr>
                                <w:rFonts w:cs="Times New Roman"/>
                                <w:sz w:val="20"/>
                                <w:szCs w:val="20"/>
                              </w:rPr>
                              <w:t>)</w:t>
                            </w:r>
                          </w:p>
                          <w:p w14:paraId="7EEC4B4D" w14:textId="77777777" w:rsidR="005B282A" w:rsidRDefault="005B282A" w:rsidP="005B28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D5DD5" id="_x0000_t202" coordsize="21600,21600" o:spt="202" path="m,l,21600r21600,l21600,xe">
                <v:stroke joinstyle="miter"/>
                <v:path gradientshapeok="t" o:connecttype="rect"/>
              </v:shapetype>
              <v:shape id="Text Box 2" o:spid="_x0000_s1026" type="#_x0000_t202" style="position:absolute;left:0;text-align:left;margin-left:146.25pt;margin-top:564.7pt;width:340.75pt;height:8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" stroked="f">
                <v:textbox>
                  <w:txbxContent>
                    <w:p w14:paraId="28063203" w14:textId="19216024" w:rsidR="005B282A" w:rsidRPr="00A660A0" w:rsidRDefault="005B282A" w:rsidP="005B282A">
                      <w:pPr>
                        <w:jc w:val="right"/>
                        <w:rPr>
                          <w:rFonts w:cs="Times New Roman"/>
                          <w:sz w:val="20"/>
                          <w:szCs w:val="20"/>
                        </w:rPr>
                      </w:pPr>
                      <w:r w:rsidRPr="00A660A0">
                        <w:rPr>
                          <w:rFonts w:cs="Times New Roman"/>
                          <w:sz w:val="20"/>
                          <w:szCs w:val="20"/>
                        </w:rPr>
                        <w:t xml:space="preserve">© </w:t>
                      </w:r>
                      <w:r w:rsidRPr="00434145">
                        <w:rPr>
                          <w:rFonts w:cs="Times New Roman"/>
                          <w:sz w:val="20"/>
                          <w:szCs w:val="20"/>
                        </w:rPr>
                        <w:t>Tasmania Law Reform Institute 202</w:t>
                      </w:r>
                      <w:r w:rsidR="00EB09D0">
                        <w:rPr>
                          <w:rFonts w:cs="Times New Roman"/>
                          <w:sz w:val="20"/>
                          <w:szCs w:val="20"/>
                        </w:rPr>
                        <w:t>6</w:t>
                      </w:r>
                    </w:p>
                    <w:p w14:paraId="10B9773B" w14:textId="77777777" w:rsidR="005B282A" w:rsidRPr="00A660A0" w:rsidRDefault="005B282A" w:rsidP="005B282A">
                      <w:pPr>
                        <w:jc w:val="right"/>
                        <w:rPr>
                          <w:rFonts w:cs="Times New Roman"/>
                          <w:sz w:val="20"/>
                          <w:szCs w:val="20"/>
                        </w:rPr>
                      </w:pPr>
                      <w:r w:rsidRPr="00A660A0">
                        <w:rPr>
                          <w:rFonts w:cs="Times New Roman"/>
                          <w:sz w:val="20"/>
                          <w:szCs w:val="20"/>
                        </w:rPr>
                        <w:t>www.utas.edu.au/law-reform/</w:t>
                      </w:r>
                      <w:r w:rsidRPr="005C2F14">
                        <w:rPr>
                          <w:rFonts w:cs="Times New Roman"/>
                          <w:sz w:val="20"/>
                          <w:szCs w:val="20"/>
                        </w:rPr>
                        <w:t>publications</w:t>
                      </w:r>
                    </w:p>
                    <w:p w14:paraId="361FD99E" w14:textId="76E3E3E6" w:rsidR="005B282A" w:rsidRPr="00A660A0" w:rsidRDefault="005B282A" w:rsidP="005B282A">
                      <w:pPr>
                        <w:jc w:val="right"/>
                        <w:rPr>
                          <w:rFonts w:cs="Times New Roman"/>
                          <w:sz w:val="20"/>
                          <w:szCs w:val="20"/>
                        </w:rPr>
                      </w:pPr>
                      <w:r w:rsidRPr="00A660A0">
                        <w:rPr>
                          <w:rFonts w:cs="Times New Roman"/>
                          <w:sz w:val="20"/>
                          <w:szCs w:val="20"/>
                        </w:rPr>
                        <w:t xml:space="preserve">Cite as: Tasmania Law Reform Institute, </w:t>
                      </w:r>
                      <w:r w:rsidR="00C56F56">
                        <w:rPr>
                          <w:rFonts w:cs="Times New Roman"/>
                          <w:i/>
                          <w:iCs/>
                          <w:sz w:val="20"/>
                          <w:szCs w:val="20"/>
                        </w:rPr>
                        <w:t xml:space="preserve">An Evaluation of </w:t>
                      </w:r>
                      <w:r w:rsidR="000B5112">
                        <w:rPr>
                          <w:rFonts w:cs="Times New Roman"/>
                          <w:i/>
                          <w:iCs/>
                          <w:sz w:val="20"/>
                          <w:szCs w:val="20"/>
                        </w:rPr>
                        <w:t>Youth Justice System Responses to Allegations of Sexual Offending by Young People</w:t>
                      </w:r>
                      <w:r w:rsidR="002870DB">
                        <w:rPr>
                          <w:rFonts w:cs="Times New Roman"/>
                          <w:i/>
                          <w:iCs/>
                          <w:sz w:val="20"/>
                          <w:szCs w:val="20"/>
                        </w:rPr>
                        <w:t xml:space="preserve"> </w:t>
                      </w:r>
                      <w:r w:rsidRPr="00A660A0">
                        <w:rPr>
                          <w:rFonts w:cs="Times New Roman"/>
                          <w:sz w:val="20"/>
                          <w:szCs w:val="20"/>
                        </w:rPr>
                        <w:t>(</w:t>
                      </w:r>
                      <w:r w:rsidR="00D8729E" w:rsidRPr="00434145">
                        <w:rPr>
                          <w:rFonts w:cs="Times New Roman"/>
                          <w:sz w:val="20"/>
                          <w:szCs w:val="20"/>
                        </w:rPr>
                        <w:t>Research</w:t>
                      </w:r>
                      <w:r w:rsidR="006839EC" w:rsidRPr="00434145">
                        <w:rPr>
                          <w:rFonts w:cs="Times New Roman"/>
                          <w:sz w:val="20"/>
                          <w:szCs w:val="20"/>
                        </w:rPr>
                        <w:t xml:space="preserve"> </w:t>
                      </w:r>
                      <w:r w:rsidRPr="00434145">
                        <w:rPr>
                          <w:rFonts w:cs="Times New Roman"/>
                          <w:sz w:val="20"/>
                          <w:szCs w:val="20"/>
                        </w:rPr>
                        <w:t xml:space="preserve">Paper </w:t>
                      </w:r>
                      <w:r w:rsidRPr="00C91D91">
                        <w:rPr>
                          <w:rFonts w:cs="Times New Roman"/>
                          <w:sz w:val="20"/>
                          <w:szCs w:val="20"/>
                        </w:rPr>
                        <w:t xml:space="preserve">No </w:t>
                      </w:r>
                      <w:r w:rsidR="00434145" w:rsidRPr="00C91D91">
                        <w:rPr>
                          <w:rFonts w:cs="Times New Roman"/>
                          <w:sz w:val="20"/>
                          <w:szCs w:val="20"/>
                        </w:rPr>
                        <w:t>10</w:t>
                      </w:r>
                      <w:r w:rsidRPr="00C91D91">
                        <w:rPr>
                          <w:rFonts w:cs="Times New Roman"/>
                          <w:sz w:val="20"/>
                          <w:szCs w:val="20"/>
                        </w:rPr>
                        <w:t xml:space="preserve">, </w:t>
                      </w:r>
                      <w:r w:rsidR="00EB09D0">
                        <w:rPr>
                          <w:rFonts w:cs="Times New Roman"/>
                          <w:sz w:val="20"/>
                          <w:szCs w:val="20"/>
                        </w:rPr>
                        <w:t>January</w:t>
                      </w:r>
                      <w:r w:rsidRPr="00C91D91">
                        <w:rPr>
                          <w:rFonts w:cs="Times New Roman"/>
                          <w:sz w:val="20"/>
                          <w:szCs w:val="20"/>
                        </w:rPr>
                        <w:t xml:space="preserve"> </w:t>
                      </w:r>
                      <w:r w:rsidRPr="00434145">
                        <w:rPr>
                          <w:rFonts w:cs="Times New Roman"/>
                          <w:sz w:val="20"/>
                          <w:szCs w:val="20"/>
                        </w:rPr>
                        <w:t>202</w:t>
                      </w:r>
                      <w:r w:rsidR="00EB09D0">
                        <w:rPr>
                          <w:rFonts w:cs="Times New Roman"/>
                          <w:sz w:val="20"/>
                          <w:szCs w:val="20"/>
                        </w:rPr>
                        <w:t>6</w:t>
                      </w:r>
                      <w:r w:rsidRPr="00434145">
                        <w:rPr>
                          <w:rFonts w:cs="Times New Roman"/>
                          <w:sz w:val="20"/>
                          <w:szCs w:val="20"/>
                        </w:rPr>
                        <w:t>)</w:t>
                      </w:r>
                    </w:p>
                    <w:p w14:paraId="7EEC4B4D" w14:textId="77777777" w:rsidR="005B282A" w:rsidRDefault="005B282A" w:rsidP="005B282A"/>
                  </w:txbxContent>
                </v:textbox>
                <w10:wrap type="square" anchorx="margin"/>
              </v:shape>
            </w:pict>
          </mc:Fallback>
        </mc:AlternateContent>
      </w:r>
      <w:r w:rsidRPr="00EC02CA">
        <w:rPr>
          <w:rFonts w:cs="Times New Roman"/>
          <w:sz w:val="40"/>
          <w:szCs w:val="40"/>
        </w:rPr>
        <w:br w:type="page"/>
      </w:r>
    </w:p>
    <w:p w14:paraId="18096803" w14:textId="77777777" w:rsidR="00FE1FC8" w:rsidRPr="00EC02CA" w:rsidRDefault="00FE1FC8" w:rsidP="005B282A">
      <w:pPr>
        <w:rPr>
          <w:b/>
          <w:bCs/>
        </w:rPr>
      </w:pPr>
      <w:r w:rsidRPr="00EC02CA">
        <w:rPr>
          <w:b/>
          <w:bCs/>
          <w:sz w:val="32"/>
          <w:szCs w:val="36"/>
        </w:rPr>
        <w:t>Contents</w:t>
      </w:r>
      <w:r w:rsidRPr="00EC02CA">
        <w:rPr>
          <w:b/>
          <w:bCs/>
        </w:rPr>
        <w:t xml:space="preserve"> </w:t>
      </w:r>
      <w:r w:rsidR="00EB3C71" w:rsidRPr="00EC02CA">
        <w:rPr>
          <w:b/>
          <w:bCs/>
        </w:rPr>
        <w:t xml:space="preserve"> </w:t>
      </w:r>
    </w:p>
    <w:bookmarkStart w:id="0" w:name="_Toc211849339"/>
    <w:p w14:paraId="7E489EC8" w14:textId="1EEF2AB3" w:rsidR="002C7BBC" w:rsidRPr="00EC02CA" w:rsidRDefault="00921AA9" w:rsidP="00667095">
      <w:pPr>
        <w:pStyle w:val="TOC1"/>
        <w:rPr>
          <w:rFonts w:asciiTheme="minorHAnsi" w:eastAsiaTheme="minorEastAsia" w:hAnsiTheme="minorHAnsi"/>
          <w:b w:val="0"/>
          <w:bCs w:val="0"/>
          <w:kern w:val="2"/>
          <w:sz w:val="24"/>
          <w:lang w:eastAsia="en-GB"/>
          <w14:ligatures w14:val="standardContextual"/>
        </w:rPr>
      </w:pPr>
      <w:r w:rsidRPr="00EC02CA">
        <w:rPr>
          <w:noProof w:val="0"/>
        </w:rPr>
        <w:fldChar w:fldCharType="begin"/>
      </w:r>
      <w:r w:rsidRPr="00EC02CA">
        <w:rPr>
          <w:noProof w:val="0"/>
        </w:rPr>
        <w:instrText xml:space="preserve"> TOC \o "1-3" \t "Part No TLRI,1,Part Heading TLRI,1,Numbered Heading TLRI,2,Sub-Heading TLRI,3,Exec Summary and Appendix Heading,1,Part Heading,1,TLRI Subheading,3" </w:instrText>
      </w:r>
      <w:r w:rsidRPr="00EC02CA">
        <w:rPr>
          <w:noProof w:val="0"/>
        </w:rPr>
        <w:fldChar w:fldCharType="separate"/>
      </w:r>
      <w:r w:rsidR="002C7BBC" w:rsidRPr="00EC02CA">
        <w:rPr>
          <w:b w:val="0"/>
          <w:bCs w:val="0"/>
        </w:rPr>
        <w:t>About the Tasmania Law Reform Institute</w:t>
      </w:r>
      <w:r w:rsidR="002C7BBC" w:rsidRPr="00EC02CA">
        <w:rPr>
          <w:b w:val="0"/>
          <w:bCs w:val="0"/>
        </w:rPr>
        <w:tab/>
      </w:r>
      <w:r w:rsidR="002C7BBC" w:rsidRPr="00EC02CA">
        <w:rPr>
          <w:b w:val="0"/>
          <w:bCs w:val="0"/>
        </w:rPr>
        <w:fldChar w:fldCharType="begin"/>
      </w:r>
      <w:r w:rsidR="002C7BBC" w:rsidRPr="00EC02CA">
        <w:rPr>
          <w:b w:val="0"/>
          <w:bCs w:val="0"/>
        </w:rPr>
        <w:instrText xml:space="preserve"> PAGEREF _Toc218157241 \h </w:instrText>
      </w:r>
      <w:r w:rsidR="002C7BBC" w:rsidRPr="00EC02CA">
        <w:rPr>
          <w:b w:val="0"/>
          <w:bCs w:val="0"/>
        </w:rPr>
      </w:r>
      <w:r w:rsidR="002C7BBC" w:rsidRPr="00EC02CA">
        <w:rPr>
          <w:b w:val="0"/>
          <w:bCs w:val="0"/>
        </w:rPr>
        <w:fldChar w:fldCharType="separate"/>
      </w:r>
      <w:r w:rsidR="007D7830">
        <w:rPr>
          <w:b w:val="0"/>
          <w:bCs w:val="0"/>
        </w:rPr>
        <w:t>v</w:t>
      </w:r>
      <w:r w:rsidR="002C7BBC" w:rsidRPr="00EC02CA">
        <w:rPr>
          <w:b w:val="0"/>
          <w:bCs w:val="0"/>
        </w:rPr>
        <w:fldChar w:fldCharType="end"/>
      </w:r>
    </w:p>
    <w:p w14:paraId="43004A07" w14:textId="08B0E876"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Acknowledgements</w:t>
      </w:r>
      <w:r w:rsidRPr="00EC02CA">
        <w:rPr>
          <w:b w:val="0"/>
          <w:bCs w:val="0"/>
        </w:rPr>
        <w:tab/>
      </w:r>
      <w:r w:rsidRPr="00EC02CA">
        <w:rPr>
          <w:b w:val="0"/>
          <w:bCs w:val="0"/>
        </w:rPr>
        <w:fldChar w:fldCharType="begin"/>
      </w:r>
      <w:r w:rsidRPr="00EC02CA">
        <w:rPr>
          <w:b w:val="0"/>
          <w:bCs w:val="0"/>
        </w:rPr>
        <w:instrText xml:space="preserve"> PAGEREF _Toc218157242 \h </w:instrText>
      </w:r>
      <w:r w:rsidRPr="00EC02CA">
        <w:rPr>
          <w:b w:val="0"/>
          <w:bCs w:val="0"/>
        </w:rPr>
      </w:r>
      <w:r w:rsidRPr="00EC02CA">
        <w:rPr>
          <w:b w:val="0"/>
          <w:bCs w:val="0"/>
        </w:rPr>
        <w:fldChar w:fldCharType="separate"/>
      </w:r>
      <w:r w:rsidR="007D7830">
        <w:rPr>
          <w:b w:val="0"/>
          <w:bCs w:val="0"/>
        </w:rPr>
        <w:t>vi</w:t>
      </w:r>
      <w:r w:rsidRPr="00EC02CA">
        <w:rPr>
          <w:b w:val="0"/>
          <w:bCs w:val="0"/>
        </w:rPr>
        <w:fldChar w:fldCharType="end"/>
      </w:r>
    </w:p>
    <w:p w14:paraId="7D24D39E" w14:textId="7D84A7A5"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Ethical Conduct of Research</w:t>
      </w:r>
      <w:r w:rsidRPr="00EC02CA">
        <w:rPr>
          <w:b w:val="0"/>
          <w:bCs w:val="0"/>
        </w:rPr>
        <w:tab/>
      </w:r>
      <w:r w:rsidRPr="00EC02CA">
        <w:rPr>
          <w:b w:val="0"/>
          <w:bCs w:val="0"/>
        </w:rPr>
        <w:fldChar w:fldCharType="begin"/>
      </w:r>
      <w:r w:rsidRPr="00EC02CA">
        <w:rPr>
          <w:b w:val="0"/>
          <w:bCs w:val="0"/>
        </w:rPr>
        <w:instrText xml:space="preserve"> PAGEREF _Toc218157243 \h </w:instrText>
      </w:r>
      <w:r w:rsidRPr="00EC02CA">
        <w:rPr>
          <w:b w:val="0"/>
          <w:bCs w:val="0"/>
        </w:rPr>
      </w:r>
      <w:r w:rsidRPr="00EC02CA">
        <w:rPr>
          <w:b w:val="0"/>
          <w:bCs w:val="0"/>
        </w:rPr>
        <w:fldChar w:fldCharType="separate"/>
      </w:r>
      <w:r w:rsidR="007D7830">
        <w:rPr>
          <w:b w:val="0"/>
          <w:bCs w:val="0"/>
        </w:rPr>
        <w:t>vi</w:t>
      </w:r>
      <w:r w:rsidRPr="00EC02CA">
        <w:rPr>
          <w:b w:val="0"/>
          <w:bCs w:val="0"/>
        </w:rPr>
        <w:fldChar w:fldCharType="end"/>
      </w:r>
    </w:p>
    <w:p w14:paraId="08D755E1" w14:textId="28A9992F"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Executive summary</w:t>
      </w:r>
      <w:r w:rsidRPr="00EC02CA">
        <w:rPr>
          <w:b w:val="0"/>
          <w:bCs w:val="0"/>
        </w:rPr>
        <w:tab/>
      </w:r>
      <w:r w:rsidRPr="00EC02CA">
        <w:rPr>
          <w:b w:val="0"/>
          <w:bCs w:val="0"/>
        </w:rPr>
        <w:fldChar w:fldCharType="begin"/>
      </w:r>
      <w:r w:rsidRPr="00EC02CA">
        <w:rPr>
          <w:b w:val="0"/>
          <w:bCs w:val="0"/>
        </w:rPr>
        <w:instrText xml:space="preserve"> PAGEREF _Toc218157244 \h </w:instrText>
      </w:r>
      <w:r w:rsidRPr="00EC02CA">
        <w:rPr>
          <w:b w:val="0"/>
          <w:bCs w:val="0"/>
        </w:rPr>
      </w:r>
      <w:r w:rsidRPr="00EC02CA">
        <w:rPr>
          <w:b w:val="0"/>
          <w:bCs w:val="0"/>
        </w:rPr>
        <w:fldChar w:fldCharType="separate"/>
      </w:r>
      <w:r w:rsidR="007D7830">
        <w:rPr>
          <w:b w:val="0"/>
          <w:bCs w:val="0"/>
        </w:rPr>
        <w:t>vii</w:t>
      </w:r>
      <w:r w:rsidRPr="00EC02CA">
        <w:rPr>
          <w:b w:val="0"/>
          <w:bCs w:val="0"/>
        </w:rPr>
        <w:fldChar w:fldCharType="end"/>
      </w:r>
    </w:p>
    <w:p w14:paraId="4806476B" w14:textId="2E770228"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Recommendations</w:t>
      </w:r>
      <w:r w:rsidRPr="00EC02CA">
        <w:rPr>
          <w:b w:val="0"/>
          <w:bCs w:val="0"/>
        </w:rPr>
        <w:tab/>
      </w:r>
      <w:r w:rsidRPr="00EC02CA">
        <w:rPr>
          <w:b w:val="0"/>
          <w:bCs w:val="0"/>
        </w:rPr>
        <w:fldChar w:fldCharType="begin"/>
      </w:r>
      <w:r w:rsidRPr="00EC02CA">
        <w:rPr>
          <w:b w:val="0"/>
          <w:bCs w:val="0"/>
        </w:rPr>
        <w:instrText xml:space="preserve"> PAGEREF _Toc218157245 \h </w:instrText>
      </w:r>
      <w:r w:rsidRPr="00EC02CA">
        <w:rPr>
          <w:b w:val="0"/>
          <w:bCs w:val="0"/>
        </w:rPr>
      </w:r>
      <w:r w:rsidRPr="00EC02CA">
        <w:rPr>
          <w:b w:val="0"/>
          <w:bCs w:val="0"/>
        </w:rPr>
        <w:fldChar w:fldCharType="separate"/>
      </w:r>
      <w:r w:rsidR="007D7830">
        <w:rPr>
          <w:b w:val="0"/>
          <w:bCs w:val="0"/>
        </w:rPr>
        <w:t>xv</w:t>
      </w:r>
      <w:r w:rsidRPr="00EC02CA">
        <w:rPr>
          <w:b w:val="0"/>
          <w:bCs w:val="0"/>
        </w:rPr>
        <w:fldChar w:fldCharType="end"/>
      </w:r>
    </w:p>
    <w:p w14:paraId="33EEB3EE" w14:textId="11250CC0"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1: </w:t>
      </w:r>
      <w:r w:rsidRPr="00EC02CA">
        <w:tab/>
        <w:t>Introduction</w:t>
      </w:r>
      <w:r w:rsidRPr="00EC02CA">
        <w:tab/>
      </w:r>
      <w:r w:rsidRPr="00EC02CA">
        <w:fldChar w:fldCharType="begin"/>
      </w:r>
      <w:r w:rsidRPr="00EC02CA">
        <w:instrText xml:space="preserve"> PAGEREF _Toc218157248 \h </w:instrText>
      </w:r>
      <w:r w:rsidRPr="00EC02CA">
        <w:fldChar w:fldCharType="separate"/>
      </w:r>
      <w:r w:rsidR="007D7830">
        <w:t>1</w:t>
      </w:r>
      <w:r w:rsidRPr="00EC02CA">
        <w:fldChar w:fldCharType="end"/>
      </w:r>
    </w:p>
    <w:p w14:paraId="6779860E" w14:textId="65737F3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1.1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_Toc218157249 \h </w:instrText>
      </w:r>
      <w:r w:rsidRPr="00EC02CA">
        <w:rPr>
          <w:noProof/>
        </w:rPr>
      </w:r>
      <w:r w:rsidRPr="00EC02CA">
        <w:rPr>
          <w:noProof/>
        </w:rPr>
        <w:fldChar w:fldCharType="separate"/>
      </w:r>
      <w:r w:rsidR="007D7830">
        <w:rPr>
          <w:noProof/>
        </w:rPr>
        <w:t>1</w:t>
      </w:r>
      <w:r w:rsidRPr="00EC02CA">
        <w:rPr>
          <w:noProof/>
        </w:rPr>
        <w:fldChar w:fldCharType="end"/>
      </w:r>
    </w:p>
    <w:p w14:paraId="3C18A3B3" w14:textId="4201ACD4"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1.2</w:t>
      </w:r>
      <w:r w:rsidRPr="00EC02CA">
        <w:rPr>
          <w:rFonts w:asciiTheme="minorHAnsi" w:eastAsiaTheme="minorEastAsia" w:hAnsiTheme="minorHAnsi"/>
          <w:noProof/>
          <w:kern w:val="2"/>
          <w:sz w:val="24"/>
          <w:lang w:eastAsia="en-GB"/>
          <w14:ligatures w14:val="standardContextual"/>
        </w:rPr>
        <w:tab/>
      </w:r>
      <w:r w:rsidRPr="00EC02CA">
        <w:rPr>
          <w:noProof/>
        </w:rPr>
        <w:t>Background to this Research Paper</w:t>
      </w:r>
      <w:r w:rsidRPr="00EC02CA">
        <w:rPr>
          <w:noProof/>
        </w:rPr>
        <w:tab/>
      </w:r>
      <w:r w:rsidRPr="00EC02CA">
        <w:rPr>
          <w:noProof/>
        </w:rPr>
        <w:fldChar w:fldCharType="begin"/>
      </w:r>
      <w:r w:rsidRPr="00EC02CA">
        <w:rPr>
          <w:noProof/>
        </w:rPr>
        <w:instrText xml:space="preserve"> PAGEREF _Toc218157250 \h </w:instrText>
      </w:r>
      <w:r w:rsidRPr="00EC02CA">
        <w:rPr>
          <w:noProof/>
        </w:rPr>
      </w:r>
      <w:r w:rsidRPr="00EC02CA">
        <w:rPr>
          <w:noProof/>
        </w:rPr>
        <w:fldChar w:fldCharType="separate"/>
      </w:r>
      <w:r w:rsidR="007D7830">
        <w:rPr>
          <w:noProof/>
        </w:rPr>
        <w:t>2</w:t>
      </w:r>
      <w:r w:rsidRPr="00EC02CA">
        <w:rPr>
          <w:noProof/>
        </w:rPr>
        <w:fldChar w:fldCharType="end"/>
      </w:r>
    </w:p>
    <w:p w14:paraId="184CD0FD" w14:textId="7F8D196C"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1.3</w:t>
      </w:r>
      <w:r w:rsidRPr="00EC02CA">
        <w:rPr>
          <w:rFonts w:asciiTheme="minorHAnsi" w:eastAsiaTheme="minorEastAsia" w:hAnsiTheme="minorHAnsi"/>
          <w:noProof/>
          <w:kern w:val="2"/>
          <w:sz w:val="24"/>
          <w:lang w:eastAsia="en-GB"/>
          <w14:ligatures w14:val="standardContextual"/>
        </w:rPr>
        <w:tab/>
      </w:r>
      <w:r w:rsidRPr="00EC02CA">
        <w:rPr>
          <w:noProof/>
        </w:rPr>
        <w:t>Conduct and Scope of this Research Paper</w:t>
      </w:r>
      <w:r w:rsidRPr="00EC02CA">
        <w:rPr>
          <w:noProof/>
        </w:rPr>
        <w:tab/>
      </w:r>
      <w:r w:rsidRPr="00EC02CA">
        <w:rPr>
          <w:noProof/>
        </w:rPr>
        <w:fldChar w:fldCharType="begin"/>
      </w:r>
      <w:r w:rsidRPr="00EC02CA">
        <w:rPr>
          <w:noProof/>
        </w:rPr>
        <w:instrText xml:space="preserve"> PAGEREF _Toc218157251 \h </w:instrText>
      </w:r>
      <w:r w:rsidRPr="00EC02CA">
        <w:rPr>
          <w:noProof/>
        </w:rPr>
      </w:r>
      <w:r w:rsidRPr="00EC02CA">
        <w:rPr>
          <w:noProof/>
        </w:rPr>
        <w:fldChar w:fldCharType="separate"/>
      </w:r>
      <w:r w:rsidR="007D7830">
        <w:rPr>
          <w:noProof/>
        </w:rPr>
        <w:t>5</w:t>
      </w:r>
      <w:r w:rsidRPr="00EC02CA">
        <w:rPr>
          <w:noProof/>
        </w:rPr>
        <w:fldChar w:fldCharType="end"/>
      </w:r>
    </w:p>
    <w:p w14:paraId="55FA2DE9" w14:textId="41513579"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1.4</w:t>
      </w:r>
      <w:r w:rsidRPr="00EC02CA">
        <w:rPr>
          <w:rFonts w:asciiTheme="minorHAnsi" w:eastAsiaTheme="minorEastAsia" w:hAnsiTheme="minorHAnsi"/>
          <w:noProof/>
          <w:kern w:val="2"/>
          <w:sz w:val="24"/>
          <w:lang w:eastAsia="en-GB"/>
          <w14:ligatures w14:val="standardContextual"/>
        </w:rPr>
        <w:tab/>
      </w:r>
      <w:r w:rsidRPr="00EC02CA">
        <w:rPr>
          <w:noProof/>
        </w:rPr>
        <w:t>Structure of this Research Paper</w:t>
      </w:r>
      <w:r w:rsidRPr="00EC02CA">
        <w:rPr>
          <w:noProof/>
        </w:rPr>
        <w:tab/>
      </w:r>
      <w:r w:rsidRPr="00EC02CA">
        <w:rPr>
          <w:noProof/>
        </w:rPr>
        <w:fldChar w:fldCharType="begin"/>
      </w:r>
      <w:r w:rsidRPr="00EC02CA">
        <w:rPr>
          <w:noProof/>
        </w:rPr>
        <w:instrText xml:space="preserve"> PAGEREF _Toc218157252 \h </w:instrText>
      </w:r>
      <w:r w:rsidRPr="00EC02CA">
        <w:rPr>
          <w:noProof/>
        </w:rPr>
      </w:r>
      <w:r w:rsidRPr="00EC02CA">
        <w:rPr>
          <w:noProof/>
        </w:rPr>
        <w:fldChar w:fldCharType="separate"/>
      </w:r>
      <w:r w:rsidR="007D7830">
        <w:rPr>
          <w:noProof/>
        </w:rPr>
        <w:t>7</w:t>
      </w:r>
      <w:r w:rsidRPr="00EC02CA">
        <w:rPr>
          <w:noProof/>
        </w:rPr>
        <w:fldChar w:fldCharType="end"/>
      </w:r>
    </w:p>
    <w:p w14:paraId="79C01FBA" w14:textId="55F9D6A2"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2: </w:t>
      </w:r>
      <w:r w:rsidRPr="00EC02CA">
        <w:tab/>
        <w:t>The nature and prevalence of sexual offending by young people</w:t>
      </w:r>
      <w:r w:rsidRPr="00EC02CA">
        <w:tab/>
      </w:r>
      <w:r w:rsidRPr="00EC02CA">
        <w:fldChar w:fldCharType="begin"/>
      </w:r>
      <w:r w:rsidRPr="00EC02CA">
        <w:instrText xml:space="preserve"> PAGEREF _Toc218157254 \h </w:instrText>
      </w:r>
      <w:r w:rsidRPr="00EC02CA">
        <w:fldChar w:fldCharType="separate"/>
      </w:r>
      <w:r w:rsidR="007D7830">
        <w:t>9</w:t>
      </w:r>
      <w:r w:rsidRPr="00EC02CA">
        <w:fldChar w:fldCharType="end"/>
      </w:r>
    </w:p>
    <w:p w14:paraId="5A8E2BD6" w14:textId="1C7630D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_Toc218157255 \h </w:instrText>
      </w:r>
      <w:r w:rsidRPr="00EC02CA">
        <w:rPr>
          <w:noProof/>
        </w:rPr>
      </w:r>
      <w:r w:rsidRPr="00EC02CA">
        <w:rPr>
          <w:noProof/>
        </w:rPr>
        <w:fldChar w:fldCharType="separate"/>
      </w:r>
      <w:r w:rsidR="007D7830">
        <w:rPr>
          <w:noProof/>
        </w:rPr>
        <w:t>9</w:t>
      </w:r>
      <w:r w:rsidRPr="00EC02CA">
        <w:rPr>
          <w:noProof/>
        </w:rPr>
        <w:fldChar w:fldCharType="end"/>
      </w:r>
    </w:p>
    <w:p w14:paraId="1B34A7F5" w14:textId="127213B2"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2.2</w:t>
      </w:r>
      <w:r w:rsidRPr="00EC02CA">
        <w:rPr>
          <w:rFonts w:asciiTheme="minorHAnsi" w:eastAsiaTheme="minorEastAsia" w:hAnsiTheme="minorHAnsi"/>
          <w:noProof/>
          <w:kern w:val="2"/>
          <w:sz w:val="24"/>
          <w:lang w:eastAsia="en-GB"/>
          <w14:ligatures w14:val="standardContextual"/>
        </w:rPr>
        <w:tab/>
      </w:r>
      <w:r w:rsidRPr="00EC02CA">
        <w:rPr>
          <w:noProof/>
        </w:rPr>
        <w:t>Sexual behaviour exhibited by young people: key terms and concepts</w:t>
      </w:r>
      <w:r w:rsidRPr="00EC02CA">
        <w:rPr>
          <w:noProof/>
        </w:rPr>
        <w:tab/>
      </w:r>
      <w:r w:rsidRPr="00EC02CA">
        <w:rPr>
          <w:noProof/>
        </w:rPr>
        <w:fldChar w:fldCharType="begin"/>
      </w:r>
      <w:r w:rsidRPr="00EC02CA">
        <w:rPr>
          <w:noProof/>
        </w:rPr>
        <w:instrText xml:space="preserve"> PAGEREF _Toc218157256 \h </w:instrText>
      </w:r>
      <w:r w:rsidRPr="00EC02CA">
        <w:rPr>
          <w:noProof/>
        </w:rPr>
      </w:r>
      <w:r w:rsidRPr="00EC02CA">
        <w:rPr>
          <w:noProof/>
        </w:rPr>
        <w:fldChar w:fldCharType="separate"/>
      </w:r>
      <w:r w:rsidR="007D7830">
        <w:rPr>
          <w:noProof/>
        </w:rPr>
        <w:t>9</w:t>
      </w:r>
      <w:r w:rsidRPr="00EC02CA">
        <w:rPr>
          <w:noProof/>
        </w:rPr>
        <w:fldChar w:fldCharType="end"/>
      </w:r>
    </w:p>
    <w:p w14:paraId="4E1C151B" w14:textId="340C6129"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2.3</w:t>
      </w:r>
      <w:r w:rsidRPr="00EC02CA">
        <w:rPr>
          <w:rFonts w:asciiTheme="minorHAnsi" w:eastAsiaTheme="minorEastAsia" w:hAnsiTheme="minorHAnsi"/>
          <w:noProof/>
          <w:kern w:val="2"/>
          <w:sz w:val="24"/>
          <w:lang w:eastAsia="en-GB"/>
          <w14:ligatures w14:val="standardContextual"/>
        </w:rPr>
        <w:tab/>
      </w:r>
      <w:r w:rsidRPr="00EC02CA">
        <w:rPr>
          <w:noProof/>
        </w:rPr>
        <w:t>Harms caused by sexual offending</w:t>
      </w:r>
      <w:r w:rsidRPr="00EC02CA">
        <w:rPr>
          <w:noProof/>
        </w:rPr>
        <w:tab/>
      </w:r>
      <w:r w:rsidRPr="00EC02CA">
        <w:rPr>
          <w:noProof/>
        </w:rPr>
        <w:fldChar w:fldCharType="begin"/>
      </w:r>
      <w:r w:rsidRPr="00EC02CA">
        <w:rPr>
          <w:noProof/>
        </w:rPr>
        <w:instrText xml:space="preserve"> PAGEREF _Toc218157257 \h </w:instrText>
      </w:r>
      <w:r w:rsidRPr="00EC02CA">
        <w:rPr>
          <w:noProof/>
        </w:rPr>
      </w:r>
      <w:r w:rsidRPr="00EC02CA">
        <w:rPr>
          <w:noProof/>
        </w:rPr>
        <w:fldChar w:fldCharType="separate"/>
      </w:r>
      <w:r w:rsidR="007D7830">
        <w:rPr>
          <w:noProof/>
        </w:rPr>
        <w:t>12</w:t>
      </w:r>
      <w:r w:rsidRPr="00EC02CA">
        <w:rPr>
          <w:noProof/>
        </w:rPr>
        <w:fldChar w:fldCharType="end"/>
      </w:r>
    </w:p>
    <w:p w14:paraId="26628201" w14:textId="229FB26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2.4</w:t>
      </w:r>
      <w:r w:rsidRPr="00EC02CA">
        <w:rPr>
          <w:rFonts w:asciiTheme="minorHAnsi" w:eastAsiaTheme="minorEastAsia" w:hAnsiTheme="minorHAnsi"/>
          <w:noProof/>
          <w:kern w:val="2"/>
          <w:sz w:val="24"/>
          <w:lang w:eastAsia="en-GB"/>
          <w14:ligatures w14:val="standardContextual"/>
        </w:rPr>
        <w:tab/>
      </w:r>
      <w:r w:rsidRPr="00EC02CA">
        <w:rPr>
          <w:noProof/>
        </w:rPr>
        <w:t>Prevalence of harmful sexual behaviour/sexual offending by young people</w:t>
      </w:r>
      <w:r w:rsidRPr="00EC02CA">
        <w:rPr>
          <w:noProof/>
        </w:rPr>
        <w:tab/>
      </w:r>
      <w:r w:rsidRPr="00EC02CA">
        <w:rPr>
          <w:noProof/>
        </w:rPr>
        <w:fldChar w:fldCharType="begin"/>
      </w:r>
      <w:r w:rsidRPr="00EC02CA">
        <w:rPr>
          <w:noProof/>
        </w:rPr>
        <w:instrText xml:space="preserve"> PAGEREF _Toc218157258 \h </w:instrText>
      </w:r>
      <w:r w:rsidRPr="00EC02CA">
        <w:rPr>
          <w:noProof/>
        </w:rPr>
      </w:r>
      <w:r w:rsidRPr="00EC02CA">
        <w:rPr>
          <w:noProof/>
        </w:rPr>
        <w:fldChar w:fldCharType="separate"/>
      </w:r>
      <w:r w:rsidR="007D7830">
        <w:rPr>
          <w:noProof/>
        </w:rPr>
        <w:t>14</w:t>
      </w:r>
      <w:r w:rsidRPr="00EC02CA">
        <w:rPr>
          <w:noProof/>
        </w:rPr>
        <w:fldChar w:fldCharType="end"/>
      </w:r>
    </w:p>
    <w:p w14:paraId="2C2227FF" w14:textId="08201DC2"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International literature</w:t>
      </w:r>
      <w:r w:rsidRPr="00EC02CA">
        <w:rPr>
          <w:noProof/>
        </w:rPr>
        <w:tab/>
      </w:r>
      <w:r w:rsidRPr="00EC02CA">
        <w:rPr>
          <w:noProof/>
        </w:rPr>
        <w:fldChar w:fldCharType="begin"/>
      </w:r>
      <w:r w:rsidRPr="00EC02CA">
        <w:rPr>
          <w:noProof/>
        </w:rPr>
        <w:instrText xml:space="preserve"> PAGEREF _Toc218157259 \h </w:instrText>
      </w:r>
      <w:r w:rsidRPr="00EC02CA">
        <w:rPr>
          <w:noProof/>
        </w:rPr>
      </w:r>
      <w:r w:rsidRPr="00EC02CA">
        <w:rPr>
          <w:noProof/>
        </w:rPr>
        <w:fldChar w:fldCharType="separate"/>
      </w:r>
      <w:r w:rsidR="007D7830">
        <w:rPr>
          <w:noProof/>
        </w:rPr>
        <w:t>16</w:t>
      </w:r>
      <w:r w:rsidRPr="00EC02CA">
        <w:rPr>
          <w:noProof/>
        </w:rPr>
        <w:fldChar w:fldCharType="end"/>
      </w:r>
    </w:p>
    <w:p w14:paraId="35652DFD" w14:textId="690A57FB"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Australian research</w:t>
      </w:r>
      <w:r w:rsidRPr="00EC02CA">
        <w:rPr>
          <w:noProof/>
        </w:rPr>
        <w:tab/>
      </w:r>
      <w:r w:rsidRPr="00EC02CA">
        <w:rPr>
          <w:noProof/>
        </w:rPr>
        <w:fldChar w:fldCharType="begin"/>
      </w:r>
      <w:r w:rsidRPr="00EC02CA">
        <w:rPr>
          <w:noProof/>
        </w:rPr>
        <w:instrText xml:space="preserve"> PAGEREF _Toc218157260 \h </w:instrText>
      </w:r>
      <w:r w:rsidRPr="00EC02CA">
        <w:rPr>
          <w:noProof/>
        </w:rPr>
      </w:r>
      <w:r w:rsidRPr="00EC02CA">
        <w:rPr>
          <w:noProof/>
        </w:rPr>
        <w:fldChar w:fldCharType="separate"/>
      </w:r>
      <w:r w:rsidR="007D7830">
        <w:rPr>
          <w:noProof/>
        </w:rPr>
        <w:t>17</w:t>
      </w:r>
      <w:r w:rsidRPr="00EC02CA">
        <w:rPr>
          <w:noProof/>
        </w:rPr>
        <w:fldChar w:fldCharType="end"/>
      </w:r>
    </w:p>
    <w:p w14:paraId="05A22046" w14:textId="7F29B90E"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Physical offending</w:t>
      </w:r>
      <w:r w:rsidRPr="00EC02CA">
        <w:rPr>
          <w:noProof/>
        </w:rPr>
        <w:tab/>
      </w:r>
      <w:r w:rsidRPr="00EC02CA">
        <w:rPr>
          <w:noProof/>
        </w:rPr>
        <w:fldChar w:fldCharType="begin"/>
      </w:r>
      <w:r w:rsidRPr="00EC02CA">
        <w:rPr>
          <w:noProof/>
        </w:rPr>
        <w:instrText xml:space="preserve"> PAGEREF _Toc218157261 \h </w:instrText>
      </w:r>
      <w:r w:rsidRPr="00EC02CA">
        <w:rPr>
          <w:noProof/>
        </w:rPr>
      </w:r>
      <w:r w:rsidRPr="00EC02CA">
        <w:rPr>
          <w:noProof/>
        </w:rPr>
        <w:fldChar w:fldCharType="separate"/>
      </w:r>
      <w:r w:rsidR="007D7830">
        <w:rPr>
          <w:noProof/>
        </w:rPr>
        <w:t>17</w:t>
      </w:r>
      <w:r w:rsidRPr="00EC02CA">
        <w:rPr>
          <w:noProof/>
        </w:rPr>
        <w:fldChar w:fldCharType="end"/>
      </w:r>
    </w:p>
    <w:p w14:paraId="37BCDD58" w14:textId="57CF9394"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Online offending</w:t>
      </w:r>
      <w:r w:rsidRPr="00EC02CA">
        <w:rPr>
          <w:noProof/>
        </w:rPr>
        <w:tab/>
      </w:r>
      <w:r w:rsidRPr="00EC02CA">
        <w:rPr>
          <w:noProof/>
        </w:rPr>
        <w:fldChar w:fldCharType="begin"/>
      </w:r>
      <w:r w:rsidRPr="00EC02CA">
        <w:rPr>
          <w:noProof/>
        </w:rPr>
        <w:instrText xml:space="preserve"> PAGEREF _Toc218157262 \h </w:instrText>
      </w:r>
      <w:r w:rsidRPr="00EC02CA">
        <w:rPr>
          <w:noProof/>
        </w:rPr>
      </w:r>
      <w:r w:rsidRPr="00EC02CA">
        <w:rPr>
          <w:noProof/>
        </w:rPr>
        <w:fldChar w:fldCharType="separate"/>
      </w:r>
      <w:r w:rsidR="007D7830">
        <w:rPr>
          <w:noProof/>
        </w:rPr>
        <w:t>20</w:t>
      </w:r>
      <w:r w:rsidRPr="00EC02CA">
        <w:rPr>
          <w:noProof/>
        </w:rPr>
        <w:fldChar w:fldCharType="end"/>
      </w:r>
    </w:p>
    <w:p w14:paraId="6384507C" w14:textId="0BB61BF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Tasmanian data</w:t>
      </w:r>
      <w:r w:rsidRPr="00EC02CA">
        <w:rPr>
          <w:noProof/>
        </w:rPr>
        <w:tab/>
      </w:r>
      <w:r w:rsidRPr="00EC02CA">
        <w:rPr>
          <w:noProof/>
        </w:rPr>
        <w:fldChar w:fldCharType="begin"/>
      </w:r>
      <w:r w:rsidRPr="00EC02CA">
        <w:rPr>
          <w:noProof/>
        </w:rPr>
        <w:instrText xml:space="preserve"> PAGEREF _Toc218157263 \h </w:instrText>
      </w:r>
      <w:r w:rsidRPr="00EC02CA">
        <w:rPr>
          <w:noProof/>
        </w:rPr>
      </w:r>
      <w:r w:rsidRPr="00EC02CA">
        <w:rPr>
          <w:noProof/>
        </w:rPr>
        <w:fldChar w:fldCharType="separate"/>
      </w:r>
      <w:r w:rsidR="007D7830">
        <w:rPr>
          <w:noProof/>
        </w:rPr>
        <w:t>22</w:t>
      </w:r>
      <w:r w:rsidRPr="00EC02CA">
        <w:rPr>
          <w:noProof/>
        </w:rPr>
        <w:fldChar w:fldCharType="end"/>
      </w:r>
    </w:p>
    <w:p w14:paraId="661084E1" w14:textId="22CE983E"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2.5</w:t>
      </w:r>
      <w:r w:rsidRPr="00EC02CA">
        <w:rPr>
          <w:rFonts w:asciiTheme="minorHAnsi" w:eastAsiaTheme="minorEastAsia" w:hAnsiTheme="minorHAnsi"/>
          <w:noProof/>
          <w:kern w:val="2"/>
          <w:sz w:val="24"/>
          <w:lang w:eastAsia="en-GB"/>
          <w14:ligatures w14:val="standardContextual"/>
        </w:rPr>
        <w:tab/>
      </w:r>
      <w:r w:rsidRPr="00EC02CA">
        <w:rPr>
          <w:noProof/>
        </w:rPr>
        <w:t>TLRI interviewees’ views on the prevalence of sexual offending by young people</w:t>
      </w:r>
      <w:r w:rsidRPr="00EC02CA">
        <w:rPr>
          <w:noProof/>
        </w:rPr>
        <w:tab/>
      </w:r>
      <w:r w:rsidRPr="00EC02CA">
        <w:rPr>
          <w:noProof/>
        </w:rPr>
        <w:fldChar w:fldCharType="begin"/>
      </w:r>
      <w:r w:rsidRPr="00EC02CA">
        <w:rPr>
          <w:noProof/>
        </w:rPr>
        <w:instrText xml:space="preserve"> PAGEREF _Toc218157264 \h </w:instrText>
      </w:r>
      <w:r w:rsidRPr="00EC02CA">
        <w:rPr>
          <w:noProof/>
        </w:rPr>
      </w:r>
      <w:r w:rsidRPr="00EC02CA">
        <w:rPr>
          <w:noProof/>
        </w:rPr>
        <w:fldChar w:fldCharType="separate"/>
      </w:r>
      <w:r w:rsidR="007D7830">
        <w:rPr>
          <w:noProof/>
        </w:rPr>
        <w:t>26</w:t>
      </w:r>
      <w:r w:rsidRPr="00EC02CA">
        <w:rPr>
          <w:noProof/>
        </w:rPr>
        <w:fldChar w:fldCharType="end"/>
      </w:r>
    </w:p>
    <w:p w14:paraId="22C691CB" w14:textId="7BE004FE"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2.6</w:t>
      </w:r>
      <w:r w:rsidRPr="00EC02CA">
        <w:rPr>
          <w:rFonts w:asciiTheme="minorHAnsi" w:eastAsiaTheme="minorEastAsia" w:hAnsiTheme="minorHAnsi"/>
          <w:noProof/>
          <w:kern w:val="2"/>
          <w:sz w:val="24"/>
          <w:lang w:eastAsia="en-GB"/>
          <w14:ligatures w14:val="standardContextual"/>
        </w:rPr>
        <w:tab/>
      </w:r>
      <w:r w:rsidRPr="00EC02CA">
        <w:rPr>
          <w:noProof/>
        </w:rPr>
        <w:t>Risk and protective factors associated with harmful sexual behaviour and youth sexual offending</w:t>
      </w:r>
      <w:r w:rsidRPr="00EC02CA">
        <w:rPr>
          <w:noProof/>
        </w:rPr>
        <w:tab/>
      </w:r>
      <w:r w:rsidRPr="00EC02CA">
        <w:rPr>
          <w:noProof/>
        </w:rPr>
        <w:fldChar w:fldCharType="begin"/>
      </w:r>
      <w:r w:rsidRPr="00EC02CA">
        <w:rPr>
          <w:noProof/>
        </w:rPr>
        <w:instrText xml:space="preserve"> PAGEREF _Toc218157265 \h </w:instrText>
      </w:r>
      <w:r w:rsidRPr="00EC02CA">
        <w:rPr>
          <w:noProof/>
        </w:rPr>
      </w:r>
      <w:r w:rsidRPr="00EC02CA">
        <w:rPr>
          <w:noProof/>
        </w:rPr>
        <w:fldChar w:fldCharType="separate"/>
      </w:r>
      <w:r w:rsidR="007D7830">
        <w:rPr>
          <w:noProof/>
        </w:rPr>
        <w:t>28</w:t>
      </w:r>
      <w:r w:rsidRPr="00EC02CA">
        <w:rPr>
          <w:noProof/>
        </w:rPr>
        <w:fldChar w:fldCharType="end"/>
      </w:r>
    </w:p>
    <w:p w14:paraId="36D3DB5C" w14:textId="303CAC9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2.7</w:t>
      </w:r>
      <w:r w:rsidRPr="00EC02CA">
        <w:rPr>
          <w:rFonts w:asciiTheme="minorHAnsi" w:eastAsiaTheme="minorEastAsia" w:hAnsiTheme="minorHAnsi"/>
          <w:noProof/>
          <w:kern w:val="2"/>
          <w:sz w:val="24"/>
          <w:lang w:eastAsia="en-GB"/>
          <w14:ligatures w14:val="standardContextual"/>
        </w:rPr>
        <w:tab/>
      </w:r>
      <w:r w:rsidRPr="00EC02CA">
        <w:rPr>
          <w:noProof/>
        </w:rPr>
        <w:t>Prevention Assessment Support Treatment (PAST) Program Review</w:t>
      </w:r>
      <w:r w:rsidRPr="00EC02CA">
        <w:rPr>
          <w:noProof/>
        </w:rPr>
        <w:tab/>
      </w:r>
      <w:r w:rsidRPr="00EC02CA">
        <w:rPr>
          <w:noProof/>
        </w:rPr>
        <w:fldChar w:fldCharType="begin"/>
      </w:r>
      <w:r w:rsidRPr="00EC02CA">
        <w:rPr>
          <w:noProof/>
        </w:rPr>
        <w:instrText xml:space="preserve"> PAGEREF _Toc218157266 \h </w:instrText>
      </w:r>
      <w:r w:rsidRPr="00EC02CA">
        <w:rPr>
          <w:noProof/>
        </w:rPr>
      </w:r>
      <w:r w:rsidRPr="00EC02CA">
        <w:rPr>
          <w:noProof/>
        </w:rPr>
        <w:fldChar w:fldCharType="separate"/>
      </w:r>
      <w:r w:rsidR="007D7830">
        <w:rPr>
          <w:noProof/>
        </w:rPr>
        <w:t>31</w:t>
      </w:r>
      <w:r w:rsidRPr="00EC02CA">
        <w:rPr>
          <w:noProof/>
        </w:rPr>
        <w:fldChar w:fldCharType="end"/>
      </w:r>
    </w:p>
    <w:p w14:paraId="78931E40" w14:textId="37059C06"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2.8</w:t>
      </w:r>
      <w:r w:rsidRPr="00EC02CA">
        <w:rPr>
          <w:rFonts w:asciiTheme="minorHAnsi" w:eastAsiaTheme="minorEastAsia" w:hAnsiTheme="minorHAnsi"/>
          <w:noProof/>
          <w:kern w:val="2"/>
          <w:sz w:val="24"/>
          <w:lang w:eastAsia="en-GB"/>
          <w14:ligatures w14:val="standardContextual"/>
        </w:rPr>
        <w:tab/>
      </w:r>
      <w:r w:rsidRPr="00EC02CA">
        <w:rPr>
          <w:noProof/>
        </w:rPr>
        <w:t>TLRI interviewees’ views on the nature of sexual offending by young people</w:t>
      </w:r>
      <w:r w:rsidRPr="00EC02CA">
        <w:rPr>
          <w:noProof/>
        </w:rPr>
        <w:tab/>
      </w:r>
      <w:r w:rsidRPr="00EC02CA">
        <w:rPr>
          <w:noProof/>
        </w:rPr>
        <w:fldChar w:fldCharType="begin"/>
      </w:r>
      <w:r w:rsidRPr="00EC02CA">
        <w:rPr>
          <w:noProof/>
        </w:rPr>
        <w:instrText xml:space="preserve"> PAGEREF _Toc218157267 \h </w:instrText>
      </w:r>
      <w:r w:rsidRPr="00EC02CA">
        <w:rPr>
          <w:noProof/>
        </w:rPr>
      </w:r>
      <w:r w:rsidRPr="00EC02CA">
        <w:rPr>
          <w:noProof/>
        </w:rPr>
        <w:fldChar w:fldCharType="separate"/>
      </w:r>
      <w:r w:rsidR="007D7830">
        <w:rPr>
          <w:noProof/>
        </w:rPr>
        <w:t>31</w:t>
      </w:r>
      <w:r w:rsidRPr="00EC02CA">
        <w:rPr>
          <w:noProof/>
        </w:rPr>
        <w:fldChar w:fldCharType="end"/>
      </w:r>
    </w:p>
    <w:p w14:paraId="3EFC888B" w14:textId="31235B66"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2.9</w:t>
      </w:r>
      <w:r w:rsidRPr="00EC02CA">
        <w:rPr>
          <w:rFonts w:asciiTheme="minorHAnsi" w:eastAsiaTheme="minorEastAsia" w:hAnsiTheme="minorHAnsi"/>
          <w:noProof/>
          <w:kern w:val="2"/>
          <w:sz w:val="24"/>
          <w:lang w:eastAsia="en-GB"/>
          <w14:ligatures w14:val="standardContextual"/>
        </w:rPr>
        <w:tab/>
      </w:r>
      <w:r w:rsidRPr="00EC02CA">
        <w:rPr>
          <w:noProof/>
        </w:rPr>
        <w:t>Recidivism rates for youth sexual offending</w:t>
      </w:r>
      <w:r w:rsidRPr="00EC02CA">
        <w:rPr>
          <w:noProof/>
        </w:rPr>
        <w:tab/>
      </w:r>
      <w:r w:rsidRPr="00EC02CA">
        <w:rPr>
          <w:noProof/>
        </w:rPr>
        <w:fldChar w:fldCharType="begin"/>
      </w:r>
      <w:r w:rsidRPr="00EC02CA">
        <w:rPr>
          <w:noProof/>
        </w:rPr>
        <w:instrText xml:space="preserve"> PAGEREF _Toc218157268 \h </w:instrText>
      </w:r>
      <w:r w:rsidRPr="00EC02CA">
        <w:rPr>
          <w:noProof/>
        </w:rPr>
      </w:r>
      <w:r w:rsidRPr="00EC02CA">
        <w:rPr>
          <w:noProof/>
        </w:rPr>
        <w:fldChar w:fldCharType="separate"/>
      </w:r>
      <w:r w:rsidR="007D7830">
        <w:rPr>
          <w:noProof/>
        </w:rPr>
        <w:t>34</w:t>
      </w:r>
      <w:r w:rsidRPr="00EC02CA">
        <w:rPr>
          <w:noProof/>
        </w:rPr>
        <w:fldChar w:fldCharType="end"/>
      </w:r>
    </w:p>
    <w:p w14:paraId="790F09BE" w14:textId="361CE79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Recidivism: international literature</w:t>
      </w:r>
      <w:r w:rsidRPr="00EC02CA">
        <w:rPr>
          <w:noProof/>
        </w:rPr>
        <w:tab/>
      </w:r>
      <w:r w:rsidRPr="00EC02CA">
        <w:rPr>
          <w:noProof/>
        </w:rPr>
        <w:fldChar w:fldCharType="begin"/>
      </w:r>
      <w:r w:rsidRPr="00EC02CA">
        <w:rPr>
          <w:noProof/>
        </w:rPr>
        <w:instrText xml:space="preserve"> PAGEREF _Toc218157269 \h </w:instrText>
      </w:r>
      <w:r w:rsidRPr="00EC02CA">
        <w:rPr>
          <w:noProof/>
        </w:rPr>
      </w:r>
      <w:r w:rsidRPr="00EC02CA">
        <w:rPr>
          <w:noProof/>
        </w:rPr>
        <w:fldChar w:fldCharType="separate"/>
      </w:r>
      <w:r w:rsidR="007D7830">
        <w:rPr>
          <w:noProof/>
        </w:rPr>
        <w:t>35</w:t>
      </w:r>
      <w:r w:rsidRPr="00EC02CA">
        <w:rPr>
          <w:noProof/>
        </w:rPr>
        <w:fldChar w:fldCharType="end"/>
      </w:r>
    </w:p>
    <w:p w14:paraId="50F5C8A4" w14:textId="624A2A0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Recidivism: Australian literature</w:t>
      </w:r>
      <w:r w:rsidRPr="00EC02CA">
        <w:rPr>
          <w:noProof/>
        </w:rPr>
        <w:tab/>
      </w:r>
      <w:r w:rsidRPr="00EC02CA">
        <w:rPr>
          <w:noProof/>
        </w:rPr>
        <w:fldChar w:fldCharType="begin"/>
      </w:r>
      <w:r w:rsidRPr="00EC02CA">
        <w:rPr>
          <w:noProof/>
        </w:rPr>
        <w:instrText xml:space="preserve"> PAGEREF _Toc218157270 \h </w:instrText>
      </w:r>
      <w:r w:rsidRPr="00EC02CA">
        <w:rPr>
          <w:noProof/>
        </w:rPr>
      </w:r>
      <w:r w:rsidRPr="00EC02CA">
        <w:rPr>
          <w:noProof/>
        </w:rPr>
        <w:fldChar w:fldCharType="separate"/>
      </w:r>
      <w:r w:rsidR="007D7830">
        <w:rPr>
          <w:noProof/>
        </w:rPr>
        <w:t>36</w:t>
      </w:r>
      <w:r w:rsidRPr="00EC02CA">
        <w:rPr>
          <w:noProof/>
        </w:rPr>
        <w:fldChar w:fldCharType="end"/>
      </w:r>
    </w:p>
    <w:p w14:paraId="001F16C5" w14:textId="63A30C05"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Recidivism: Tasmanian data</w:t>
      </w:r>
      <w:r w:rsidRPr="00EC02CA">
        <w:rPr>
          <w:noProof/>
        </w:rPr>
        <w:tab/>
      </w:r>
      <w:r w:rsidRPr="00EC02CA">
        <w:rPr>
          <w:noProof/>
        </w:rPr>
        <w:fldChar w:fldCharType="begin"/>
      </w:r>
      <w:r w:rsidRPr="00EC02CA">
        <w:rPr>
          <w:noProof/>
        </w:rPr>
        <w:instrText xml:space="preserve"> PAGEREF _Toc218157271 \h </w:instrText>
      </w:r>
      <w:r w:rsidRPr="00EC02CA">
        <w:rPr>
          <w:noProof/>
        </w:rPr>
      </w:r>
      <w:r w:rsidRPr="00EC02CA">
        <w:rPr>
          <w:noProof/>
        </w:rPr>
        <w:fldChar w:fldCharType="separate"/>
      </w:r>
      <w:r w:rsidR="007D7830">
        <w:rPr>
          <w:noProof/>
        </w:rPr>
        <w:t>38</w:t>
      </w:r>
      <w:r w:rsidRPr="00EC02CA">
        <w:rPr>
          <w:noProof/>
        </w:rPr>
        <w:fldChar w:fldCharType="end"/>
      </w:r>
    </w:p>
    <w:p w14:paraId="43B93937" w14:textId="04732B46" w:rsidR="002C7BBC" w:rsidRPr="00EC02CA" w:rsidRDefault="002C7BBC" w:rsidP="00783AFA">
      <w:pPr>
        <w:pStyle w:val="TOC1"/>
        <w:ind w:left="709" w:hanging="709"/>
        <w:rPr>
          <w:rFonts w:asciiTheme="minorHAnsi" w:eastAsiaTheme="minorEastAsia" w:hAnsiTheme="minorHAnsi"/>
          <w:kern w:val="2"/>
          <w:sz w:val="24"/>
          <w:lang w:eastAsia="en-GB"/>
          <w14:ligatures w14:val="standardContextual"/>
        </w:rPr>
      </w:pPr>
      <w:r w:rsidRPr="00EC02CA">
        <w:t xml:space="preserve">Part 3: </w:t>
      </w:r>
      <w:r w:rsidRPr="00EC02CA">
        <w:tab/>
        <w:t>A public health framework for responding to sexual offending and harmful sexual behaviour by young people</w:t>
      </w:r>
      <w:r w:rsidRPr="00EC02CA">
        <w:tab/>
      </w:r>
      <w:r w:rsidRPr="00EC02CA">
        <w:fldChar w:fldCharType="begin"/>
      </w:r>
      <w:r w:rsidRPr="00EC02CA">
        <w:instrText xml:space="preserve"> PAGEREF _Toc218157273 \h </w:instrText>
      </w:r>
      <w:r w:rsidRPr="00EC02CA">
        <w:fldChar w:fldCharType="separate"/>
      </w:r>
      <w:r w:rsidR="007D7830">
        <w:t>40</w:t>
      </w:r>
      <w:r w:rsidRPr="00EC02CA">
        <w:fldChar w:fldCharType="end"/>
      </w:r>
    </w:p>
    <w:p w14:paraId="33D4CEEC" w14:textId="7DFED369"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_Toc218157274 \h </w:instrText>
      </w:r>
      <w:r w:rsidRPr="00EC02CA">
        <w:rPr>
          <w:noProof/>
        </w:rPr>
      </w:r>
      <w:r w:rsidRPr="00EC02CA">
        <w:rPr>
          <w:noProof/>
        </w:rPr>
        <w:fldChar w:fldCharType="separate"/>
      </w:r>
      <w:r w:rsidR="007D7830">
        <w:rPr>
          <w:noProof/>
        </w:rPr>
        <w:t>40</w:t>
      </w:r>
      <w:r w:rsidRPr="00EC02CA">
        <w:rPr>
          <w:noProof/>
        </w:rPr>
        <w:fldChar w:fldCharType="end"/>
      </w:r>
    </w:p>
    <w:p w14:paraId="0612F0BB" w14:textId="36190A63"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3.2</w:t>
      </w:r>
      <w:r w:rsidRPr="00EC02CA">
        <w:rPr>
          <w:rFonts w:asciiTheme="minorHAnsi" w:eastAsiaTheme="minorEastAsia" w:hAnsiTheme="minorHAnsi"/>
          <w:noProof/>
          <w:kern w:val="2"/>
          <w:sz w:val="24"/>
          <w:lang w:eastAsia="en-GB"/>
          <w14:ligatures w14:val="standardContextual"/>
        </w:rPr>
        <w:tab/>
      </w:r>
      <w:r w:rsidRPr="00EC02CA">
        <w:rPr>
          <w:noProof/>
        </w:rPr>
        <w:t>A public health framework: Interventions for young people who commit sexual offences</w:t>
      </w:r>
      <w:r w:rsidRPr="00EC02CA">
        <w:rPr>
          <w:noProof/>
        </w:rPr>
        <w:tab/>
      </w:r>
      <w:r w:rsidRPr="00EC02CA">
        <w:rPr>
          <w:noProof/>
        </w:rPr>
        <w:fldChar w:fldCharType="begin"/>
      </w:r>
      <w:r w:rsidRPr="00EC02CA">
        <w:rPr>
          <w:noProof/>
        </w:rPr>
        <w:instrText xml:space="preserve"> PAGEREF _Toc218157275 \h </w:instrText>
      </w:r>
      <w:r w:rsidRPr="00EC02CA">
        <w:rPr>
          <w:noProof/>
        </w:rPr>
      </w:r>
      <w:r w:rsidRPr="00EC02CA">
        <w:rPr>
          <w:noProof/>
        </w:rPr>
        <w:fldChar w:fldCharType="separate"/>
      </w:r>
      <w:r w:rsidR="007D7830">
        <w:rPr>
          <w:noProof/>
        </w:rPr>
        <w:t>40</w:t>
      </w:r>
      <w:r w:rsidRPr="00EC02CA">
        <w:rPr>
          <w:noProof/>
        </w:rPr>
        <w:fldChar w:fldCharType="end"/>
      </w:r>
    </w:p>
    <w:p w14:paraId="1FA9E3DE" w14:textId="7C253EAB"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3.3</w:t>
      </w:r>
      <w:r w:rsidRPr="00EC02CA">
        <w:rPr>
          <w:rFonts w:asciiTheme="minorHAnsi" w:eastAsiaTheme="minorEastAsia" w:hAnsiTheme="minorHAnsi"/>
          <w:noProof/>
          <w:kern w:val="2"/>
          <w:sz w:val="24"/>
          <w:lang w:eastAsia="en-GB"/>
          <w14:ligatures w14:val="standardContextual"/>
        </w:rPr>
        <w:tab/>
      </w:r>
      <w:r w:rsidRPr="00EC02CA">
        <w:rPr>
          <w:noProof/>
        </w:rPr>
        <w:t>The role of the youth justice system</w:t>
      </w:r>
      <w:r w:rsidRPr="00EC02CA">
        <w:rPr>
          <w:noProof/>
        </w:rPr>
        <w:tab/>
      </w:r>
      <w:r w:rsidRPr="00EC02CA">
        <w:rPr>
          <w:noProof/>
        </w:rPr>
        <w:fldChar w:fldCharType="begin"/>
      </w:r>
      <w:r w:rsidRPr="00EC02CA">
        <w:rPr>
          <w:noProof/>
        </w:rPr>
        <w:instrText xml:space="preserve"> PAGEREF _Toc218157276 \h </w:instrText>
      </w:r>
      <w:r w:rsidRPr="00EC02CA">
        <w:rPr>
          <w:noProof/>
        </w:rPr>
      </w:r>
      <w:r w:rsidRPr="00EC02CA">
        <w:rPr>
          <w:noProof/>
        </w:rPr>
        <w:fldChar w:fldCharType="separate"/>
      </w:r>
      <w:r w:rsidR="007D7830">
        <w:rPr>
          <w:noProof/>
        </w:rPr>
        <w:t>42</w:t>
      </w:r>
      <w:r w:rsidRPr="00EC02CA">
        <w:rPr>
          <w:noProof/>
        </w:rPr>
        <w:fldChar w:fldCharType="end"/>
      </w:r>
    </w:p>
    <w:p w14:paraId="53977C63" w14:textId="6DA5D2BE"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3.4</w:t>
      </w:r>
      <w:r w:rsidRPr="00EC02CA">
        <w:rPr>
          <w:rFonts w:asciiTheme="minorHAnsi" w:eastAsiaTheme="minorEastAsia" w:hAnsiTheme="minorHAnsi"/>
          <w:noProof/>
          <w:kern w:val="2"/>
          <w:sz w:val="24"/>
          <w:lang w:eastAsia="en-GB"/>
          <w14:ligatures w14:val="standardContextual"/>
        </w:rPr>
        <w:tab/>
      </w:r>
      <w:r w:rsidRPr="00EC02CA">
        <w:rPr>
          <w:noProof/>
        </w:rPr>
        <w:t>The role of the child protection system</w:t>
      </w:r>
      <w:r w:rsidRPr="00EC02CA">
        <w:rPr>
          <w:noProof/>
        </w:rPr>
        <w:tab/>
      </w:r>
      <w:r w:rsidRPr="00EC02CA">
        <w:rPr>
          <w:noProof/>
        </w:rPr>
        <w:fldChar w:fldCharType="begin"/>
      </w:r>
      <w:r w:rsidRPr="00EC02CA">
        <w:rPr>
          <w:noProof/>
        </w:rPr>
        <w:instrText xml:space="preserve"> PAGEREF _Toc218157277 \h </w:instrText>
      </w:r>
      <w:r w:rsidRPr="00EC02CA">
        <w:rPr>
          <w:noProof/>
        </w:rPr>
      </w:r>
      <w:r w:rsidRPr="00EC02CA">
        <w:rPr>
          <w:noProof/>
        </w:rPr>
        <w:fldChar w:fldCharType="separate"/>
      </w:r>
      <w:r w:rsidR="007D7830">
        <w:rPr>
          <w:noProof/>
        </w:rPr>
        <w:t>42</w:t>
      </w:r>
      <w:r w:rsidRPr="00EC02CA">
        <w:rPr>
          <w:noProof/>
        </w:rPr>
        <w:fldChar w:fldCharType="end"/>
      </w:r>
    </w:p>
    <w:p w14:paraId="758BB967" w14:textId="4FA958A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3.5</w:t>
      </w:r>
      <w:r w:rsidRPr="00EC02CA">
        <w:rPr>
          <w:rFonts w:asciiTheme="minorHAnsi" w:eastAsiaTheme="minorEastAsia" w:hAnsiTheme="minorHAnsi"/>
          <w:noProof/>
          <w:kern w:val="2"/>
          <w:sz w:val="24"/>
          <w:lang w:eastAsia="en-GB"/>
          <w14:ligatures w14:val="standardContextual"/>
        </w:rPr>
        <w:tab/>
      </w:r>
      <w:r w:rsidRPr="00EC02CA">
        <w:rPr>
          <w:noProof/>
        </w:rPr>
        <w:t>The role of therapeutic interventions</w:t>
      </w:r>
      <w:r w:rsidRPr="00EC02CA">
        <w:rPr>
          <w:noProof/>
        </w:rPr>
        <w:tab/>
      </w:r>
      <w:r w:rsidRPr="00EC02CA">
        <w:rPr>
          <w:noProof/>
        </w:rPr>
        <w:fldChar w:fldCharType="begin"/>
      </w:r>
      <w:r w:rsidRPr="00EC02CA">
        <w:rPr>
          <w:noProof/>
        </w:rPr>
        <w:instrText xml:space="preserve"> PAGEREF _Toc218157278 \h </w:instrText>
      </w:r>
      <w:r w:rsidRPr="00EC02CA">
        <w:rPr>
          <w:noProof/>
        </w:rPr>
      </w:r>
      <w:r w:rsidRPr="00EC02CA">
        <w:rPr>
          <w:noProof/>
        </w:rPr>
        <w:fldChar w:fldCharType="separate"/>
      </w:r>
      <w:r w:rsidR="007D7830">
        <w:rPr>
          <w:noProof/>
        </w:rPr>
        <w:t>43</w:t>
      </w:r>
      <w:r w:rsidRPr="00EC02CA">
        <w:rPr>
          <w:noProof/>
        </w:rPr>
        <w:fldChar w:fldCharType="end"/>
      </w:r>
    </w:p>
    <w:p w14:paraId="0C54A3A6" w14:textId="4F1F7B45"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interviewees’ views</w:t>
      </w:r>
      <w:r w:rsidRPr="00EC02CA">
        <w:rPr>
          <w:noProof/>
        </w:rPr>
        <w:tab/>
      </w:r>
      <w:r w:rsidRPr="00EC02CA">
        <w:rPr>
          <w:noProof/>
        </w:rPr>
        <w:fldChar w:fldCharType="begin"/>
      </w:r>
      <w:r w:rsidRPr="00EC02CA">
        <w:rPr>
          <w:noProof/>
        </w:rPr>
        <w:instrText xml:space="preserve"> PAGEREF _Toc218157279 \h </w:instrText>
      </w:r>
      <w:r w:rsidRPr="00EC02CA">
        <w:rPr>
          <w:noProof/>
        </w:rPr>
      </w:r>
      <w:r w:rsidRPr="00EC02CA">
        <w:rPr>
          <w:noProof/>
        </w:rPr>
        <w:fldChar w:fldCharType="separate"/>
      </w:r>
      <w:r w:rsidR="007D7830">
        <w:rPr>
          <w:noProof/>
        </w:rPr>
        <w:t>46</w:t>
      </w:r>
      <w:r w:rsidRPr="00EC02CA">
        <w:rPr>
          <w:noProof/>
        </w:rPr>
        <w:fldChar w:fldCharType="end"/>
      </w:r>
    </w:p>
    <w:p w14:paraId="2616DB1E" w14:textId="098CD310"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3.6</w:t>
      </w:r>
      <w:r w:rsidRPr="00EC02CA">
        <w:rPr>
          <w:rFonts w:asciiTheme="minorHAnsi" w:eastAsiaTheme="minorEastAsia" w:hAnsiTheme="minorHAnsi"/>
          <w:noProof/>
          <w:kern w:val="2"/>
          <w:sz w:val="24"/>
          <w:lang w:eastAsia="en-GB"/>
          <w14:ligatures w14:val="standardContextual"/>
        </w:rPr>
        <w:tab/>
      </w:r>
      <w:r w:rsidRPr="00EC02CA">
        <w:rPr>
          <w:noProof/>
        </w:rPr>
        <w:t>The role of education</w:t>
      </w:r>
      <w:r w:rsidRPr="00EC02CA">
        <w:rPr>
          <w:noProof/>
        </w:rPr>
        <w:tab/>
      </w:r>
      <w:r w:rsidRPr="00EC02CA">
        <w:rPr>
          <w:noProof/>
        </w:rPr>
        <w:fldChar w:fldCharType="begin"/>
      </w:r>
      <w:r w:rsidRPr="00EC02CA">
        <w:rPr>
          <w:noProof/>
        </w:rPr>
        <w:instrText xml:space="preserve"> PAGEREF _Toc218157280 \h </w:instrText>
      </w:r>
      <w:r w:rsidRPr="00EC02CA">
        <w:rPr>
          <w:noProof/>
        </w:rPr>
      </w:r>
      <w:r w:rsidRPr="00EC02CA">
        <w:rPr>
          <w:noProof/>
        </w:rPr>
        <w:fldChar w:fldCharType="separate"/>
      </w:r>
      <w:r w:rsidR="007D7830">
        <w:rPr>
          <w:noProof/>
        </w:rPr>
        <w:t>47</w:t>
      </w:r>
      <w:r w:rsidRPr="00EC02CA">
        <w:rPr>
          <w:noProof/>
        </w:rPr>
        <w:fldChar w:fldCharType="end"/>
      </w:r>
    </w:p>
    <w:p w14:paraId="55E0D022" w14:textId="1496A68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interviewees’ views</w:t>
      </w:r>
      <w:r w:rsidRPr="00EC02CA">
        <w:rPr>
          <w:noProof/>
        </w:rPr>
        <w:tab/>
      </w:r>
      <w:r w:rsidRPr="00EC02CA">
        <w:rPr>
          <w:noProof/>
        </w:rPr>
        <w:fldChar w:fldCharType="begin"/>
      </w:r>
      <w:r w:rsidRPr="00EC02CA">
        <w:rPr>
          <w:noProof/>
        </w:rPr>
        <w:instrText xml:space="preserve"> PAGEREF _Toc218157281 \h </w:instrText>
      </w:r>
      <w:r w:rsidRPr="00EC02CA">
        <w:rPr>
          <w:noProof/>
        </w:rPr>
      </w:r>
      <w:r w:rsidRPr="00EC02CA">
        <w:rPr>
          <w:noProof/>
        </w:rPr>
        <w:fldChar w:fldCharType="separate"/>
      </w:r>
      <w:r w:rsidR="007D7830">
        <w:rPr>
          <w:noProof/>
        </w:rPr>
        <w:t>48</w:t>
      </w:r>
      <w:r w:rsidRPr="00EC02CA">
        <w:rPr>
          <w:noProof/>
        </w:rPr>
        <w:fldChar w:fldCharType="end"/>
      </w:r>
    </w:p>
    <w:p w14:paraId="2C9D9812" w14:textId="317F123F"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3.7</w:t>
      </w:r>
      <w:r w:rsidRPr="00EC02CA">
        <w:rPr>
          <w:rFonts w:asciiTheme="minorHAnsi" w:eastAsiaTheme="minorEastAsia" w:hAnsiTheme="minorHAnsi"/>
          <w:noProof/>
          <w:kern w:val="2"/>
          <w:sz w:val="24"/>
          <w:lang w:eastAsia="en-GB"/>
          <w14:ligatures w14:val="standardContextual"/>
        </w:rPr>
        <w:tab/>
      </w:r>
      <w:r w:rsidRPr="00EC02CA">
        <w:rPr>
          <w:noProof/>
        </w:rPr>
        <w:t>The need for further collaboration</w:t>
      </w:r>
      <w:r w:rsidRPr="00EC02CA">
        <w:rPr>
          <w:noProof/>
        </w:rPr>
        <w:tab/>
      </w:r>
      <w:r w:rsidRPr="00EC02CA">
        <w:rPr>
          <w:noProof/>
        </w:rPr>
        <w:fldChar w:fldCharType="begin"/>
      </w:r>
      <w:r w:rsidRPr="00EC02CA">
        <w:rPr>
          <w:noProof/>
        </w:rPr>
        <w:instrText xml:space="preserve"> PAGEREF _Toc218157282 \h </w:instrText>
      </w:r>
      <w:r w:rsidRPr="00EC02CA">
        <w:rPr>
          <w:noProof/>
        </w:rPr>
      </w:r>
      <w:r w:rsidRPr="00EC02CA">
        <w:rPr>
          <w:noProof/>
        </w:rPr>
        <w:fldChar w:fldCharType="separate"/>
      </w:r>
      <w:r w:rsidR="007D7830">
        <w:rPr>
          <w:noProof/>
        </w:rPr>
        <w:t>49</w:t>
      </w:r>
      <w:r w:rsidRPr="00EC02CA">
        <w:rPr>
          <w:noProof/>
        </w:rPr>
        <w:fldChar w:fldCharType="end"/>
      </w:r>
    </w:p>
    <w:p w14:paraId="34DFBDB6" w14:textId="58C05E1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interviewees’ views</w:t>
      </w:r>
      <w:r w:rsidRPr="00EC02CA">
        <w:rPr>
          <w:noProof/>
        </w:rPr>
        <w:tab/>
      </w:r>
      <w:r w:rsidRPr="00EC02CA">
        <w:rPr>
          <w:noProof/>
        </w:rPr>
        <w:fldChar w:fldCharType="begin"/>
      </w:r>
      <w:r w:rsidRPr="00EC02CA">
        <w:rPr>
          <w:noProof/>
        </w:rPr>
        <w:instrText xml:space="preserve"> PAGEREF _Toc218157283 \h </w:instrText>
      </w:r>
      <w:r w:rsidRPr="00EC02CA">
        <w:rPr>
          <w:noProof/>
        </w:rPr>
      </w:r>
      <w:r w:rsidRPr="00EC02CA">
        <w:rPr>
          <w:noProof/>
        </w:rPr>
        <w:fldChar w:fldCharType="separate"/>
      </w:r>
      <w:r w:rsidR="007D7830">
        <w:rPr>
          <w:noProof/>
        </w:rPr>
        <w:t>50</w:t>
      </w:r>
      <w:r w:rsidRPr="00EC02CA">
        <w:rPr>
          <w:noProof/>
        </w:rPr>
        <w:fldChar w:fldCharType="end"/>
      </w:r>
    </w:p>
    <w:p w14:paraId="067DBA6D" w14:textId="4E1A72E6"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4: </w:t>
      </w:r>
      <w:r w:rsidRPr="00EC02CA">
        <w:tab/>
        <w:t>Criminal responsibility for sexual offences</w:t>
      </w:r>
      <w:r w:rsidRPr="00EC02CA">
        <w:tab/>
      </w:r>
      <w:r w:rsidRPr="00EC02CA">
        <w:fldChar w:fldCharType="begin"/>
      </w:r>
      <w:r w:rsidRPr="00EC02CA">
        <w:instrText xml:space="preserve"> PAGEREF _Toc218157285 \h </w:instrText>
      </w:r>
      <w:r w:rsidRPr="00EC02CA">
        <w:fldChar w:fldCharType="separate"/>
      </w:r>
      <w:r w:rsidR="007D7830">
        <w:t>52</w:t>
      </w:r>
      <w:r w:rsidRPr="00EC02CA">
        <w:fldChar w:fldCharType="end"/>
      </w:r>
    </w:p>
    <w:p w14:paraId="206589C4" w14:textId="6AB2872B"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4.1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_Toc218157286 \h </w:instrText>
      </w:r>
      <w:r w:rsidRPr="00EC02CA">
        <w:rPr>
          <w:noProof/>
        </w:rPr>
      </w:r>
      <w:r w:rsidRPr="00EC02CA">
        <w:rPr>
          <w:noProof/>
        </w:rPr>
        <w:fldChar w:fldCharType="separate"/>
      </w:r>
      <w:r w:rsidR="007D7830">
        <w:rPr>
          <w:noProof/>
        </w:rPr>
        <w:t>52</w:t>
      </w:r>
      <w:r w:rsidRPr="00EC02CA">
        <w:rPr>
          <w:noProof/>
        </w:rPr>
        <w:fldChar w:fldCharType="end"/>
      </w:r>
    </w:p>
    <w:p w14:paraId="7262F772" w14:textId="1E6118C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4.2</w:t>
      </w:r>
      <w:r w:rsidRPr="00EC02CA">
        <w:rPr>
          <w:rFonts w:asciiTheme="minorHAnsi" w:eastAsiaTheme="minorEastAsia" w:hAnsiTheme="minorHAnsi"/>
          <w:noProof/>
          <w:kern w:val="2"/>
          <w:sz w:val="24"/>
          <w:lang w:eastAsia="en-GB"/>
          <w14:ligatures w14:val="standardContextual"/>
        </w:rPr>
        <w:tab/>
      </w:r>
      <w:r w:rsidRPr="00EC02CA">
        <w:rPr>
          <w:noProof/>
        </w:rPr>
        <w:t>The minimum age of criminal responsibility</w:t>
      </w:r>
      <w:r w:rsidRPr="00EC02CA">
        <w:rPr>
          <w:noProof/>
        </w:rPr>
        <w:tab/>
      </w:r>
      <w:r w:rsidRPr="00EC02CA">
        <w:rPr>
          <w:noProof/>
        </w:rPr>
        <w:fldChar w:fldCharType="begin"/>
      </w:r>
      <w:r w:rsidRPr="00EC02CA">
        <w:rPr>
          <w:noProof/>
        </w:rPr>
        <w:instrText xml:space="preserve"> PAGEREF _Toc218157287 \h </w:instrText>
      </w:r>
      <w:r w:rsidRPr="00EC02CA">
        <w:rPr>
          <w:noProof/>
        </w:rPr>
      </w:r>
      <w:r w:rsidRPr="00EC02CA">
        <w:rPr>
          <w:noProof/>
        </w:rPr>
        <w:fldChar w:fldCharType="separate"/>
      </w:r>
      <w:r w:rsidR="007D7830">
        <w:rPr>
          <w:noProof/>
        </w:rPr>
        <w:t>52</w:t>
      </w:r>
      <w:r w:rsidRPr="00EC02CA">
        <w:rPr>
          <w:noProof/>
        </w:rPr>
        <w:fldChar w:fldCharType="end"/>
      </w:r>
    </w:p>
    <w:p w14:paraId="59BBC90C" w14:textId="3DE0971D"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Reforms to the law in relation to the minimum age of criminal responsibility</w:t>
      </w:r>
      <w:r w:rsidRPr="00EC02CA">
        <w:rPr>
          <w:noProof/>
        </w:rPr>
        <w:tab/>
      </w:r>
      <w:r w:rsidRPr="00EC02CA">
        <w:rPr>
          <w:noProof/>
        </w:rPr>
        <w:fldChar w:fldCharType="begin"/>
      </w:r>
      <w:r w:rsidRPr="00EC02CA">
        <w:rPr>
          <w:noProof/>
        </w:rPr>
        <w:instrText xml:space="preserve"> PAGEREF _Toc218157288 \h </w:instrText>
      </w:r>
      <w:r w:rsidRPr="00EC02CA">
        <w:rPr>
          <w:noProof/>
        </w:rPr>
      </w:r>
      <w:r w:rsidRPr="00EC02CA">
        <w:rPr>
          <w:noProof/>
        </w:rPr>
        <w:fldChar w:fldCharType="separate"/>
      </w:r>
      <w:r w:rsidR="007D7830">
        <w:rPr>
          <w:noProof/>
        </w:rPr>
        <w:t>53</w:t>
      </w:r>
      <w:r w:rsidRPr="00EC02CA">
        <w:rPr>
          <w:noProof/>
        </w:rPr>
        <w:fldChar w:fldCharType="end"/>
      </w:r>
    </w:p>
    <w:p w14:paraId="141CBC23" w14:textId="0A9AF8EE"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interviewees’ views</w:t>
      </w:r>
      <w:r w:rsidRPr="00EC02CA">
        <w:rPr>
          <w:noProof/>
        </w:rPr>
        <w:tab/>
      </w:r>
      <w:r w:rsidRPr="00EC02CA">
        <w:rPr>
          <w:noProof/>
        </w:rPr>
        <w:fldChar w:fldCharType="begin"/>
      </w:r>
      <w:r w:rsidRPr="00EC02CA">
        <w:rPr>
          <w:noProof/>
        </w:rPr>
        <w:instrText xml:space="preserve"> PAGEREF _Toc218157289 \h </w:instrText>
      </w:r>
      <w:r w:rsidRPr="00EC02CA">
        <w:rPr>
          <w:noProof/>
        </w:rPr>
      </w:r>
      <w:r w:rsidRPr="00EC02CA">
        <w:rPr>
          <w:noProof/>
        </w:rPr>
        <w:fldChar w:fldCharType="separate"/>
      </w:r>
      <w:r w:rsidR="007D7830">
        <w:rPr>
          <w:noProof/>
        </w:rPr>
        <w:t>54</w:t>
      </w:r>
      <w:r w:rsidRPr="00EC02CA">
        <w:rPr>
          <w:noProof/>
        </w:rPr>
        <w:fldChar w:fldCharType="end"/>
      </w:r>
    </w:p>
    <w:p w14:paraId="2D6A37F9" w14:textId="70E4AC5F"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views and recommendations</w:t>
      </w:r>
      <w:r w:rsidRPr="00EC02CA">
        <w:rPr>
          <w:noProof/>
        </w:rPr>
        <w:tab/>
      </w:r>
      <w:r w:rsidRPr="00EC02CA">
        <w:rPr>
          <w:noProof/>
        </w:rPr>
        <w:fldChar w:fldCharType="begin"/>
      </w:r>
      <w:r w:rsidRPr="00EC02CA">
        <w:rPr>
          <w:noProof/>
        </w:rPr>
        <w:instrText xml:space="preserve"> PAGEREF _Toc218157290 \h </w:instrText>
      </w:r>
      <w:r w:rsidRPr="00EC02CA">
        <w:rPr>
          <w:noProof/>
        </w:rPr>
      </w:r>
      <w:r w:rsidRPr="00EC02CA">
        <w:rPr>
          <w:noProof/>
        </w:rPr>
        <w:fldChar w:fldCharType="separate"/>
      </w:r>
      <w:r w:rsidR="007D7830">
        <w:rPr>
          <w:noProof/>
        </w:rPr>
        <w:t>55</w:t>
      </w:r>
      <w:r w:rsidRPr="00EC02CA">
        <w:rPr>
          <w:noProof/>
        </w:rPr>
        <w:fldChar w:fldCharType="end"/>
      </w:r>
    </w:p>
    <w:p w14:paraId="5EF21A35" w14:textId="469C3756"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4.3</w:t>
      </w:r>
      <w:r w:rsidRPr="00EC02CA">
        <w:rPr>
          <w:rFonts w:asciiTheme="minorHAnsi" w:eastAsiaTheme="minorEastAsia" w:hAnsiTheme="minorHAnsi"/>
          <w:noProof/>
          <w:kern w:val="2"/>
          <w:sz w:val="24"/>
          <w:lang w:eastAsia="en-GB"/>
          <w14:ligatures w14:val="standardContextual"/>
        </w:rPr>
        <w:tab/>
      </w:r>
      <w:r w:rsidRPr="00EC02CA">
        <w:rPr>
          <w:noProof/>
        </w:rPr>
        <w:t>Sexual offences in Tasmania</w:t>
      </w:r>
      <w:r w:rsidRPr="00EC02CA">
        <w:rPr>
          <w:noProof/>
        </w:rPr>
        <w:tab/>
      </w:r>
      <w:r w:rsidRPr="00EC02CA">
        <w:rPr>
          <w:noProof/>
        </w:rPr>
        <w:fldChar w:fldCharType="begin"/>
      </w:r>
      <w:r w:rsidRPr="00EC02CA">
        <w:rPr>
          <w:noProof/>
        </w:rPr>
        <w:instrText xml:space="preserve"> PAGEREF _Toc218157291 \h </w:instrText>
      </w:r>
      <w:r w:rsidRPr="00EC02CA">
        <w:rPr>
          <w:noProof/>
        </w:rPr>
      </w:r>
      <w:r w:rsidRPr="00EC02CA">
        <w:rPr>
          <w:noProof/>
        </w:rPr>
        <w:fldChar w:fldCharType="separate"/>
      </w:r>
      <w:r w:rsidR="007D7830">
        <w:rPr>
          <w:noProof/>
        </w:rPr>
        <w:t>55</w:t>
      </w:r>
      <w:r w:rsidRPr="00EC02CA">
        <w:rPr>
          <w:noProof/>
        </w:rPr>
        <w:fldChar w:fldCharType="end"/>
      </w:r>
    </w:p>
    <w:p w14:paraId="08E4396D" w14:textId="11D40529"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Physical offending</w:t>
      </w:r>
      <w:r w:rsidRPr="00EC02CA">
        <w:rPr>
          <w:noProof/>
        </w:rPr>
        <w:tab/>
      </w:r>
      <w:r w:rsidRPr="00EC02CA">
        <w:rPr>
          <w:noProof/>
        </w:rPr>
        <w:fldChar w:fldCharType="begin"/>
      </w:r>
      <w:r w:rsidRPr="00EC02CA">
        <w:rPr>
          <w:noProof/>
        </w:rPr>
        <w:instrText xml:space="preserve"> PAGEREF _Toc218157292 \h </w:instrText>
      </w:r>
      <w:r w:rsidRPr="00EC02CA">
        <w:rPr>
          <w:noProof/>
        </w:rPr>
      </w:r>
      <w:r w:rsidRPr="00EC02CA">
        <w:rPr>
          <w:noProof/>
        </w:rPr>
        <w:fldChar w:fldCharType="separate"/>
      </w:r>
      <w:r w:rsidR="007D7830">
        <w:rPr>
          <w:noProof/>
        </w:rPr>
        <w:t>56</w:t>
      </w:r>
      <w:r w:rsidRPr="00EC02CA">
        <w:rPr>
          <w:noProof/>
        </w:rPr>
        <w:fldChar w:fldCharType="end"/>
      </w:r>
    </w:p>
    <w:p w14:paraId="367BB9BA" w14:textId="0001299E"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Online offending</w:t>
      </w:r>
      <w:r w:rsidRPr="00EC02CA">
        <w:rPr>
          <w:noProof/>
        </w:rPr>
        <w:tab/>
      </w:r>
      <w:r w:rsidRPr="00EC02CA">
        <w:rPr>
          <w:noProof/>
        </w:rPr>
        <w:fldChar w:fldCharType="begin"/>
      </w:r>
      <w:r w:rsidRPr="00EC02CA">
        <w:rPr>
          <w:noProof/>
        </w:rPr>
        <w:instrText xml:space="preserve"> PAGEREF _Toc218157293 \h </w:instrText>
      </w:r>
      <w:r w:rsidRPr="00EC02CA">
        <w:rPr>
          <w:noProof/>
        </w:rPr>
      </w:r>
      <w:r w:rsidRPr="00EC02CA">
        <w:rPr>
          <w:noProof/>
        </w:rPr>
        <w:fldChar w:fldCharType="separate"/>
      </w:r>
      <w:r w:rsidR="007D7830">
        <w:rPr>
          <w:noProof/>
        </w:rPr>
        <w:t>57</w:t>
      </w:r>
      <w:r w:rsidRPr="00EC02CA">
        <w:rPr>
          <w:noProof/>
        </w:rPr>
        <w:fldChar w:fldCharType="end"/>
      </w:r>
    </w:p>
    <w:p w14:paraId="4390F813" w14:textId="510CF17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Previous consideration of the law in relation to sexual offences and young people</w:t>
      </w:r>
      <w:r w:rsidRPr="00EC02CA">
        <w:rPr>
          <w:noProof/>
        </w:rPr>
        <w:tab/>
      </w:r>
      <w:r w:rsidRPr="00EC02CA">
        <w:rPr>
          <w:noProof/>
        </w:rPr>
        <w:fldChar w:fldCharType="begin"/>
      </w:r>
      <w:r w:rsidRPr="00EC02CA">
        <w:rPr>
          <w:noProof/>
        </w:rPr>
        <w:instrText xml:space="preserve"> PAGEREF _Toc218157294 \h </w:instrText>
      </w:r>
      <w:r w:rsidRPr="00EC02CA">
        <w:rPr>
          <w:noProof/>
        </w:rPr>
      </w:r>
      <w:r w:rsidRPr="00EC02CA">
        <w:rPr>
          <w:noProof/>
        </w:rPr>
        <w:fldChar w:fldCharType="separate"/>
      </w:r>
      <w:r w:rsidR="007D7830">
        <w:rPr>
          <w:noProof/>
        </w:rPr>
        <w:t>59</w:t>
      </w:r>
      <w:r w:rsidRPr="00EC02CA">
        <w:rPr>
          <w:noProof/>
        </w:rPr>
        <w:fldChar w:fldCharType="end"/>
      </w:r>
    </w:p>
    <w:p w14:paraId="2B89D323" w14:textId="7EADA51A"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interviewees’ views</w:t>
      </w:r>
      <w:r w:rsidRPr="00EC02CA">
        <w:rPr>
          <w:noProof/>
        </w:rPr>
        <w:tab/>
      </w:r>
      <w:r w:rsidRPr="00EC02CA">
        <w:rPr>
          <w:noProof/>
        </w:rPr>
        <w:fldChar w:fldCharType="begin"/>
      </w:r>
      <w:r w:rsidRPr="00EC02CA">
        <w:rPr>
          <w:noProof/>
        </w:rPr>
        <w:instrText xml:space="preserve"> PAGEREF _Toc218157295 \h </w:instrText>
      </w:r>
      <w:r w:rsidRPr="00EC02CA">
        <w:rPr>
          <w:noProof/>
        </w:rPr>
      </w:r>
      <w:r w:rsidRPr="00EC02CA">
        <w:rPr>
          <w:noProof/>
        </w:rPr>
        <w:fldChar w:fldCharType="separate"/>
      </w:r>
      <w:r w:rsidR="007D7830">
        <w:rPr>
          <w:noProof/>
        </w:rPr>
        <w:t>60</w:t>
      </w:r>
      <w:r w:rsidRPr="00EC02CA">
        <w:rPr>
          <w:noProof/>
        </w:rPr>
        <w:fldChar w:fldCharType="end"/>
      </w:r>
    </w:p>
    <w:p w14:paraId="61759E36" w14:textId="360134F7"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TLRI views and recommendations</w:t>
      </w:r>
      <w:r w:rsidRPr="00EC02CA">
        <w:rPr>
          <w:noProof/>
        </w:rPr>
        <w:tab/>
      </w:r>
      <w:r w:rsidRPr="00EC02CA">
        <w:rPr>
          <w:noProof/>
        </w:rPr>
        <w:fldChar w:fldCharType="begin"/>
      </w:r>
      <w:r w:rsidRPr="00EC02CA">
        <w:rPr>
          <w:noProof/>
        </w:rPr>
        <w:instrText xml:space="preserve"> PAGEREF _Toc218157296 \h </w:instrText>
      </w:r>
      <w:r w:rsidRPr="00EC02CA">
        <w:rPr>
          <w:noProof/>
        </w:rPr>
      </w:r>
      <w:r w:rsidRPr="00EC02CA">
        <w:rPr>
          <w:noProof/>
        </w:rPr>
        <w:fldChar w:fldCharType="separate"/>
      </w:r>
      <w:r w:rsidR="007D7830">
        <w:rPr>
          <w:noProof/>
        </w:rPr>
        <w:t>61</w:t>
      </w:r>
      <w:r w:rsidRPr="00EC02CA">
        <w:rPr>
          <w:noProof/>
        </w:rPr>
        <w:fldChar w:fldCharType="end"/>
      </w:r>
    </w:p>
    <w:p w14:paraId="784355CE" w14:textId="7AD69F0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Recommendations</w:t>
      </w:r>
      <w:r w:rsidRPr="00EC02CA">
        <w:rPr>
          <w:noProof/>
        </w:rPr>
        <w:tab/>
      </w:r>
      <w:r w:rsidRPr="00EC02CA">
        <w:rPr>
          <w:noProof/>
        </w:rPr>
        <w:fldChar w:fldCharType="begin"/>
      </w:r>
      <w:r w:rsidRPr="00EC02CA">
        <w:rPr>
          <w:noProof/>
        </w:rPr>
        <w:instrText xml:space="preserve"> PAGEREF _Toc218157297 \h </w:instrText>
      </w:r>
      <w:r w:rsidRPr="00EC02CA">
        <w:rPr>
          <w:noProof/>
        </w:rPr>
      </w:r>
      <w:r w:rsidRPr="00EC02CA">
        <w:rPr>
          <w:noProof/>
        </w:rPr>
        <w:fldChar w:fldCharType="separate"/>
      </w:r>
      <w:r w:rsidR="007D7830">
        <w:rPr>
          <w:noProof/>
        </w:rPr>
        <w:t>65</w:t>
      </w:r>
      <w:r w:rsidRPr="00EC02CA">
        <w:rPr>
          <w:noProof/>
        </w:rPr>
        <w:fldChar w:fldCharType="end"/>
      </w:r>
    </w:p>
    <w:p w14:paraId="4A3FB805" w14:textId="06F27DC3"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5: </w:t>
      </w:r>
      <w:r w:rsidRPr="00EC02CA">
        <w:tab/>
        <w:t>The Tasmanian youth justice system</w:t>
      </w:r>
      <w:r w:rsidRPr="00EC02CA">
        <w:tab/>
      </w:r>
      <w:r w:rsidRPr="00EC02CA">
        <w:fldChar w:fldCharType="begin"/>
      </w:r>
      <w:r w:rsidRPr="00EC02CA">
        <w:instrText xml:space="preserve"> PAGEREF _Toc218157299 \h </w:instrText>
      </w:r>
      <w:r w:rsidRPr="00EC02CA">
        <w:fldChar w:fldCharType="separate"/>
      </w:r>
      <w:r w:rsidR="007D7830">
        <w:t>66</w:t>
      </w:r>
      <w:r w:rsidRPr="00EC02CA">
        <w:fldChar w:fldCharType="end"/>
      </w:r>
    </w:p>
    <w:p w14:paraId="09837F25" w14:textId="70EBEBE1"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_Toc218157300 \h </w:instrText>
      </w:r>
      <w:r w:rsidRPr="00EC02CA">
        <w:rPr>
          <w:noProof/>
        </w:rPr>
      </w:r>
      <w:r w:rsidRPr="00EC02CA">
        <w:rPr>
          <w:noProof/>
        </w:rPr>
        <w:fldChar w:fldCharType="separate"/>
      </w:r>
      <w:r w:rsidR="007D7830">
        <w:rPr>
          <w:noProof/>
        </w:rPr>
        <w:t>66</w:t>
      </w:r>
      <w:r w:rsidRPr="00EC02CA">
        <w:rPr>
          <w:noProof/>
        </w:rPr>
        <w:fldChar w:fldCharType="end"/>
      </w:r>
    </w:p>
    <w:p w14:paraId="14B1746D" w14:textId="1230EE34"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5.2</w:t>
      </w:r>
      <w:r w:rsidRPr="00EC02CA">
        <w:rPr>
          <w:rFonts w:asciiTheme="minorHAnsi" w:eastAsiaTheme="minorEastAsia" w:hAnsiTheme="minorHAnsi"/>
          <w:noProof/>
          <w:kern w:val="2"/>
          <w:sz w:val="24"/>
          <w:lang w:eastAsia="en-GB"/>
          <w14:ligatures w14:val="standardContextual"/>
        </w:rPr>
        <w:tab/>
      </w:r>
      <w:r w:rsidRPr="00EC02CA">
        <w:rPr>
          <w:noProof/>
        </w:rPr>
        <w:t>Development of the Tasmania’s youth justice philosophy</w:t>
      </w:r>
      <w:r w:rsidRPr="00EC02CA">
        <w:rPr>
          <w:noProof/>
        </w:rPr>
        <w:tab/>
      </w:r>
      <w:r w:rsidRPr="00EC02CA">
        <w:rPr>
          <w:noProof/>
        </w:rPr>
        <w:fldChar w:fldCharType="begin"/>
      </w:r>
      <w:r w:rsidRPr="00EC02CA">
        <w:rPr>
          <w:noProof/>
        </w:rPr>
        <w:instrText xml:space="preserve"> PAGEREF _Toc218157301 \h </w:instrText>
      </w:r>
      <w:r w:rsidRPr="00EC02CA">
        <w:rPr>
          <w:noProof/>
        </w:rPr>
      </w:r>
      <w:r w:rsidRPr="00EC02CA">
        <w:rPr>
          <w:noProof/>
        </w:rPr>
        <w:fldChar w:fldCharType="separate"/>
      </w:r>
      <w:r w:rsidR="007D7830">
        <w:rPr>
          <w:noProof/>
        </w:rPr>
        <w:t>66</w:t>
      </w:r>
      <w:r w:rsidRPr="00EC02CA">
        <w:rPr>
          <w:noProof/>
        </w:rPr>
        <w:fldChar w:fldCharType="end"/>
      </w:r>
    </w:p>
    <w:p w14:paraId="76CC4619" w14:textId="78921299"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5.3</w:t>
      </w:r>
      <w:r w:rsidRPr="00EC02CA">
        <w:rPr>
          <w:rFonts w:asciiTheme="minorHAnsi" w:eastAsiaTheme="minorEastAsia" w:hAnsiTheme="minorHAnsi"/>
          <w:noProof/>
          <w:kern w:val="2"/>
          <w:sz w:val="24"/>
          <w:lang w:eastAsia="en-GB"/>
          <w14:ligatures w14:val="standardContextual"/>
        </w:rPr>
        <w:tab/>
      </w:r>
      <w:r w:rsidRPr="00EC02CA">
        <w:rPr>
          <w:noProof/>
        </w:rPr>
        <w:t xml:space="preserve">The </w:t>
      </w:r>
      <w:r w:rsidRPr="00EC02CA">
        <w:rPr>
          <w:i/>
          <w:iCs/>
          <w:noProof/>
        </w:rPr>
        <w:t xml:space="preserve">Youth Justice Act 1997 </w:t>
      </w:r>
      <w:r w:rsidRPr="00EC02CA">
        <w:rPr>
          <w:noProof/>
        </w:rPr>
        <w:t>(Tas): Objectives and principles</w:t>
      </w:r>
      <w:r w:rsidRPr="00EC02CA">
        <w:rPr>
          <w:noProof/>
        </w:rPr>
        <w:tab/>
      </w:r>
      <w:r w:rsidRPr="00EC02CA">
        <w:rPr>
          <w:noProof/>
        </w:rPr>
        <w:fldChar w:fldCharType="begin"/>
      </w:r>
      <w:r w:rsidRPr="00EC02CA">
        <w:rPr>
          <w:noProof/>
        </w:rPr>
        <w:instrText xml:space="preserve"> PAGEREF _Toc218157302 \h </w:instrText>
      </w:r>
      <w:r w:rsidRPr="00EC02CA">
        <w:rPr>
          <w:noProof/>
        </w:rPr>
      </w:r>
      <w:r w:rsidRPr="00EC02CA">
        <w:rPr>
          <w:noProof/>
        </w:rPr>
        <w:fldChar w:fldCharType="separate"/>
      </w:r>
      <w:r w:rsidR="007D7830">
        <w:rPr>
          <w:noProof/>
        </w:rPr>
        <w:t>70</w:t>
      </w:r>
      <w:r w:rsidRPr="00EC02CA">
        <w:rPr>
          <w:noProof/>
        </w:rPr>
        <w:fldChar w:fldCharType="end"/>
      </w:r>
    </w:p>
    <w:p w14:paraId="15AA1862" w14:textId="3C9F68EC"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5.4</w:t>
      </w:r>
      <w:r w:rsidRPr="00EC02CA">
        <w:rPr>
          <w:rFonts w:asciiTheme="minorHAnsi" w:eastAsiaTheme="minorEastAsia" w:hAnsiTheme="minorHAnsi"/>
          <w:noProof/>
          <w:kern w:val="2"/>
          <w:sz w:val="24"/>
          <w:lang w:eastAsia="en-GB"/>
          <w14:ligatures w14:val="standardContextual"/>
        </w:rPr>
        <w:tab/>
      </w:r>
      <w:r w:rsidRPr="00EC02CA">
        <w:rPr>
          <w:noProof/>
        </w:rPr>
        <w:t xml:space="preserve">The </w:t>
      </w:r>
      <w:r w:rsidRPr="00EC02CA">
        <w:rPr>
          <w:i/>
          <w:iCs/>
          <w:noProof/>
        </w:rPr>
        <w:t xml:space="preserve">Youth Justice Act 1997 </w:t>
      </w:r>
      <w:r w:rsidRPr="00EC02CA">
        <w:rPr>
          <w:noProof/>
        </w:rPr>
        <w:t>(Tas) and the agencies involved in the youth justice system</w:t>
      </w:r>
      <w:r w:rsidRPr="00EC02CA">
        <w:rPr>
          <w:noProof/>
        </w:rPr>
        <w:tab/>
      </w:r>
      <w:r w:rsidRPr="00EC02CA">
        <w:rPr>
          <w:noProof/>
        </w:rPr>
        <w:fldChar w:fldCharType="begin"/>
      </w:r>
      <w:r w:rsidRPr="00EC02CA">
        <w:rPr>
          <w:noProof/>
        </w:rPr>
        <w:instrText xml:space="preserve"> PAGEREF _Toc218157303 \h </w:instrText>
      </w:r>
      <w:r w:rsidRPr="00EC02CA">
        <w:rPr>
          <w:noProof/>
        </w:rPr>
      </w:r>
      <w:r w:rsidRPr="00EC02CA">
        <w:rPr>
          <w:noProof/>
        </w:rPr>
        <w:fldChar w:fldCharType="separate"/>
      </w:r>
      <w:r w:rsidR="007D7830">
        <w:rPr>
          <w:noProof/>
        </w:rPr>
        <w:t>71</w:t>
      </w:r>
      <w:r w:rsidRPr="00EC02CA">
        <w:rPr>
          <w:noProof/>
        </w:rPr>
        <w:fldChar w:fldCharType="end"/>
      </w:r>
    </w:p>
    <w:p w14:paraId="39761F46" w14:textId="03A4E8E2"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5.5</w:t>
      </w:r>
      <w:r w:rsidRPr="00EC02CA">
        <w:rPr>
          <w:rFonts w:asciiTheme="minorHAnsi" w:eastAsiaTheme="minorEastAsia" w:hAnsiTheme="minorHAnsi"/>
          <w:noProof/>
          <w:kern w:val="2"/>
          <w:sz w:val="24"/>
          <w:lang w:eastAsia="en-GB"/>
          <w14:ligatures w14:val="standardContextual"/>
        </w:rPr>
        <w:tab/>
      </w:r>
      <w:r w:rsidRPr="00EC02CA">
        <w:rPr>
          <w:noProof/>
        </w:rPr>
        <w:t>The Magistrates Court (Youth Justice Division)</w:t>
      </w:r>
      <w:r w:rsidRPr="00EC02CA">
        <w:rPr>
          <w:noProof/>
        </w:rPr>
        <w:tab/>
      </w:r>
      <w:r w:rsidRPr="00EC02CA">
        <w:rPr>
          <w:noProof/>
        </w:rPr>
        <w:fldChar w:fldCharType="begin"/>
      </w:r>
      <w:r w:rsidRPr="00EC02CA">
        <w:rPr>
          <w:noProof/>
        </w:rPr>
        <w:instrText xml:space="preserve"> PAGEREF _Toc218157304 \h </w:instrText>
      </w:r>
      <w:r w:rsidRPr="00EC02CA">
        <w:rPr>
          <w:noProof/>
        </w:rPr>
      </w:r>
      <w:r w:rsidRPr="00EC02CA">
        <w:rPr>
          <w:noProof/>
        </w:rPr>
        <w:fldChar w:fldCharType="separate"/>
      </w:r>
      <w:r w:rsidR="007D7830">
        <w:rPr>
          <w:noProof/>
        </w:rPr>
        <w:t>73</w:t>
      </w:r>
      <w:r w:rsidRPr="00EC02CA">
        <w:rPr>
          <w:noProof/>
        </w:rPr>
        <w:fldChar w:fldCharType="end"/>
      </w:r>
    </w:p>
    <w:p w14:paraId="039A98B3" w14:textId="162B0D6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Jurisdiction of the Youth Justice Division</w:t>
      </w:r>
      <w:r w:rsidRPr="00EC02CA">
        <w:rPr>
          <w:noProof/>
        </w:rPr>
        <w:tab/>
      </w:r>
      <w:r w:rsidRPr="00EC02CA">
        <w:rPr>
          <w:noProof/>
        </w:rPr>
        <w:fldChar w:fldCharType="begin"/>
      </w:r>
      <w:r w:rsidRPr="00EC02CA">
        <w:rPr>
          <w:noProof/>
        </w:rPr>
        <w:instrText xml:space="preserve"> PAGEREF _Toc218157305 \h </w:instrText>
      </w:r>
      <w:r w:rsidRPr="00EC02CA">
        <w:rPr>
          <w:noProof/>
        </w:rPr>
      </w:r>
      <w:r w:rsidRPr="00EC02CA">
        <w:rPr>
          <w:noProof/>
        </w:rPr>
        <w:fldChar w:fldCharType="separate"/>
      </w:r>
      <w:r w:rsidR="007D7830">
        <w:rPr>
          <w:noProof/>
        </w:rPr>
        <w:t>74</w:t>
      </w:r>
      <w:r w:rsidRPr="00EC02CA">
        <w:rPr>
          <w:noProof/>
        </w:rPr>
        <w:fldChar w:fldCharType="end"/>
      </w:r>
    </w:p>
    <w:p w14:paraId="5CE0BD74" w14:textId="033EA45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Definition of ‘youth’</w:t>
      </w:r>
      <w:r w:rsidRPr="00EC02CA">
        <w:rPr>
          <w:noProof/>
        </w:rPr>
        <w:tab/>
      </w:r>
      <w:r w:rsidRPr="00EC02CA">
        <w:rPr>
          <w:noProof/>
        </w:rPr>
        <w:fldChar w:fldCharType="begin"/>
      </w:r>
      <w:r w:rsidRPr="00EC02CA">
        <w:rPr>
          <w:noProof/>
        </w:rPr>
        <w:instrText xml:space="preserve"> PAGEREF _Toc218157306 \h </w:instrText>
      </w:r>
      <w:r w:rsidRPr="00EC02CA">
        <w:rPr>
          <w:noProof/>
        </w:rPr>
      </w:r>
      <w:r w:rsidRPr="00EC02CA">
        <w:rPr>
          <w:noProof/>
        </w:rPr>
        <w:fldChar w:fldCharType="separate"/>
      </w:r>
      <w:r w:rsidR="007D7830">
        <w:rPr>
          <w:noProof/>
        </w:rPr>
        <w:t>74</w:t>
      </w:r>
      <w:r w:rsidRPr="00EC02CA">
        <w:rPr>
          <w:noProof/>
        </w:rPr>
        <w:fldChar w:fldCharType="end"/>
      </w:r>
    </w:p>
    <w:p w14:paraId="34D0EE59" w14:textId="0B7BA215"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Prescribed offences</w:t>
      </w:r>
      <w:r w:rsidRPr="00EC02CA">
        <w:rPr>
          <w:noProof/>
        </w:rPr>
        <w:tab/>
      </w:r>
      <w:r w:rsidRPr="00EC02CA">
        <w:rPr>
          <w:noProof/>
        </w:rPr>
        <w:fldChar w:fldCharType="begin"/>
      </w:r>
      <w:r w:rsidRPr="00EC02CA">
        <w:rPr>
          <w:noProof/>
        </w:rPr>
        <w:instrText xml:space="preserve"> PAGEREF _Toc218157307 \h </w:instrText>
      </w:r>
      <w:r w:rsidRPr="00EC02CA">
        <w:rPr>
          <w:noProof/>
        </w:rPr>
      </w:r>
      <w:r w:rsidRPr="00EC02CA">
        <w:rPr>
          <w:noProof/>
        </w:rPr>
        <w:fldChar w:fldCharType="separate"/>
      </w:r>
      <w:r w:rsidR="007D7830">
        <w:rPr>
          <w:noProof/>
        </w:rPr>
        <w:t>74</w:t>
      </w:r>
      <w:r w:rsidRPr="00EC02CA">
        <w:rPr>
          <w:noProof/>
        </w:rPr>
        <w:fldChar w:fldCharType="end"/>
      </w:r>
    </w:p>
    <w:p w14:paraId="4E5492B0" w14:textId="74C5CCAE"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Other matters relating to jurisdiction</w:t>
      </w:r>
      <w:r w:rsidRPr="00EC02CA">
        <w:rPr>
          <w:noProof/>
        </w:rPr>
        <w:tab/>
      </w:r>
      <w:r w:rsidRPr="00EC02CA">
        <w:rPr>
          <w:noProof/>
        </w:rPr>
        <w:fldChar w:fldCharType="begin"/>
      </w:r>
      <w:r w:rsidRPr="00EC02CA">
        <w:rPr>
          <w:noProof/>
        </w:rPr>
        <w:instrText xml:space="preserve"> PAGEREF _Toc218157308 \h </w:instrText>
      </w:r>
      <w:r w:rsidRPr="00EC02CA">
        <w:rPr>
          <w:noProof/>
        </w:rPr>
      </w:r>
      <w:r w:rsidRPr="00EC02CA">
        <w:rPr>
          <w:noProof/>
        </w:rPr>
        <w:fldChar w:fldCharType="separate"/>
      </w:r>
      <w:r w:rsidR="007D7830">
        <w:rPr>
          <w:noProof/>
        </w:rPr>
        <w:t>75</w:t>
      </w:r>
      <w:r w:rsidRPr="00EC02CA">
        <w:rPr>
          <w:noProof/>
        </w:rPr>
        <w:fldChar w:fldCharType="end"/>
      </w:r>
    </w:p>
    <w:p w14:paraId="1D8C5949" w14:textId="31517883"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5.6</w:t>
      </w:r>
      <w:r w:rsidRPr="00EC02CA">
        <w:rPr>
          <w:rFonts w:asciiTheme="minorHAnsi" w:eastAsiaTheme="minorEastAsia" w:hAnsiTheme="minorHAnsi"/>
          <w:noProof/>
          <w:kern w:val="2"/>
          <w:sz w:val="24"/>
          <w:lang w:eastAsia="en-GB"/>
          <w14:ligatures w14:val="standardContextual"/>
        </w:rPr>
        <w:tab/>
      </w:r>
      <w:r w:rsidRPr="00EC02CA">
        <w:rPr>
          <w:noProof/>
        </w:rPr>
        <w:t xml:space="preserve">Statutory framework for diversion under the </w:t>
      </w:r>
      <w:r w:rsidRPr="00EC02CA">
        <w:rPr>
          <w:i/>
          <w:iCs/>
          <w:noProof/>
        </w:rPr>
        <w:t xml:space="preserve">Youth Justice Act 1997 </w:t>
      </w:r>
      <w:r w:rsidRPr="00EC02CA">
        <w:rPr>
          <w:noProof/>
        </w:rPr>
        <w:t>(Tas)</w:t>
      </w:r>
      <w:r w:rsidRPr="00EC02CA">
        <w:rPr>
          <w:noProof/>
        </w:rPr>
        <w:tab/>
      </w:r>
      <w:r w:rsidRPr="00EC02CA">
        <w:rPr>
          <w:noProof/>
        </w:rPr>
        <w:fldChar w:fldCharType="begin"/>
      </w:r>
      <w:r w:rsidRPr="00EC02CA">
        <w:rPr>
          <w:noProof/>
        </w:rPr>
        <w:instrText xml:space="preserve"> PAGEREF _Toc218157309 \h </w:instrText>
      </w:r>
      <w:r w:rsidRPr="00EC02CA">
        <w:rPr>
          <w:noProof/>
        </w:rPr>
      </w:r>
      <w:r w:rsidRPr="00EC02CA">
        <w:rPr>
          <w:noProof/>
        </w:rPr>
        <w:fldChar w:fldCharType="separate"/>
      </w:r>
      <w:r w:rsidR="007D7830">
        <w:rPr>
          <w:noProof/>
        </w:rPr>
        <w:t>75</w:t>
      </w:r>
      <w:r w:rsidRPr="00EC02CA">
        <w:rPr>
          <w:noProof/>
        </w:rPr>
        <w:fldChar w:fldCharType="end"/>
      </w:r>
    </w:p>
    <w:p w14:paraId="2C49F5DA" w14:textId="2E4B19AE"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Pre-court diversion</w:t>
      </w:r>
      <w:r w:rsidRPr="00EC02CA">
        <w:rPr>
          <w:noProof/>
        </w:rPr>
        <w:tab/>
      </w:r>
      <w:r w:rsidRPr="00EC02CA">
        <w:rPr>
          <w:noProof/>
        </w:rPr>
        <w:fldChar w:fldCharType="begin"/>
      </w:r>
      <w:r w:rsidRPr="00EC02CA">
        <w:rPr>
          <w:noProof/>
        </w:rPr>
        <w:instrText xml:space="preserve"> PAGEREF _Toc218157310 \h </w:instrText>
      </w:r>
      <w:r w:rsidRPr="00EC02CA">
        <w:rPr>
          <w:noProof/>
        </w:rPr>
      </w:r>
      <w:r w:rsidRPr="00EC02CA">
        <w:rPr>
          <w:noProof/>
        </w:rPr>
        <w:fldChar w:fldCharType="separate"/>
      </w:r>
      <w:r w:rsidR="007D7830">
        <w:rPr>
          <w:noProof/>
        </w:rPr>
        <w:t>76</w:t>
      </w:r>
      <w:r w:rsidRPr="00EC02CA">
        <w:rPr>
          <w:noProof/>
        </w:rPr>
        <w:fldChar w:fldCharType="end"/>
      </w:r>
    </w:p>
    <w:p w14:paraId="2C6965BE" w14:textId="2C1254D8"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Informal cautions</w:t>
      </w:r>
      <w:r w:rsidRPr="00EC02CA">
        <w:rPr>
          <w:noProof/>
        </w:rPr>
        <w:tab/>
      </w:r>
      <w:r w:rsidRPr="00EC02CA">
        <w:rPr>
          <w:noProof/>
        </w:rPr>
        <w:fldChar w:fldCharType="begin"/>
      </w:r>
      <w:r w:rsidRPr="00EC02CA">
        <w:rPr>
          <w:noProof/>
        </w:rPr>
        <w:instrText xml:space="preserve"> PAGEREF _Toc218157311 \h </w:instrText>
      </w:r>
      <w:r w:rsidRPr="00EC02CA">
        <w:rPr>
          <w:noProof/>
        </w:rPr>
      </w:r>
      <w:r w:rsidRPr="00EC02CA">
        <w:rPr>
          <w:noProof/>
        </w:rPr>
        <w:fldChar w:fldCharType="separate"/>
      </w:r>
      <w:r w:rsidR="007D7830">
        <w:rPr>
          <w:noProof/>
        </w:rPr>
        <w:t>77</w:t>
      </w:r>
      <w:r w:rsidRPr="00EC02CA">
        <w:rPr>
          <w:noProof/>
        </w:rPr>
        <w:fldChar w:fldCharType="end"/>
      </w:r>
    </w:p>
    <w:p w14:paraId="6270F0AE" w14:textId="7AB7887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Formal cautions and community conferences</w:t>
      </w:r>
      <w:r w:rsidRPr="00EC02CA">
        <w:rPr>
          <w:noProof/>
        </w:rPr>
        <w:tab/>
      </w:r>
      <w:r w:rsidRPr="00EC02CA">
        <w:rPr>
          <w:noProof/>
        </w:rPr>
        <w:fldChar w:fldCharType="begin"/>
      </w:r>
      <w:r w:rsidRPr="00EC02CA">
        <w:rPr>
          <w:noProof/>
        </w:rPr>
        <w:instrText xml:space="preserve"> PAGEREF _Toc218157312 \h </w:instrText>
      </w:r>
      <w:r w:rsidRPr="00EC02CA">
        <w:rPr>
          <w:noProof/>
        </w:rPr>
      </w:r>
      <w:r w:rsidRPr="00EC02CA">
        <w:rPr>
          <w:noProof/>
        </w:rPr>
        <w:fldChar w:fldCharType="separate"/>
      </w:r>
      <w:r w:rsidR="007D7830">
        <w:rPr>
          <w:noProof/>
        </w:rPr>
        <w:t>77</w:t>
      </w:r>
      <w:r w:rsidRPr="00EC02CA">
        <w:rPr>
          <w:noProof/>
        </w:rPr>
        <w:fldChar w:fldCharType="end"/>
      </w:r>
    </w:p>
    <w:p w14:paraId="21CE2811" w14:textId="78CA5F93"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Diversionary powers of the Court</w:t>
      </w:r>
      <w:r w:rsidRPr="00EC02CA">
        <w:rPr>
          <w:noProof/>
        </w:rPr>
        <w:tab/>
      </w:r>
      <w:r w:rsidRPr="00EC02CA">
        <w:rPr>
          <w:noProof/>
        </w:rPr>
        <w:fldChar w:fldCharType="begin"/>
      </w:r>
      <w:r w:rsidRPr="00EC02CA">
        <w:rPr>
          <w:noProof/>
        </w:rPr>
        <w:instrText xml:space="preserve"> PAGEREF _Toc218157313 \h </w:instrText>
      </w:r>
      <w:r w:rsidRPr="00EC02CA">
        <w:rPr>
          <w:noProof/>
        </w:rPr>
      </w:r>
      <w:r w:rsidRPr="00EC02CA">
        <w:rPr>
          <w:noProof/>
        </w:rPr>
        <w:fldChar w:fldCharType="separate"/>
      </w:r>
      <w:r w:rsidR="007D7830">
        <w:rPr>
          <w:noProof/>
        </w:rPr>
        <w:t>80</w:t>
      </w:r>
      <w:r w:rsidRPr="00EC02CA">
        <w:rPr>
          <w:noProof/>
        </w:rPr>
        <w:fldChar w:fldCharType="end"/>
      </w:r>
    </w:p>
    <w:p w14:paraId="7CE3DA61" w14:textId="49E3AE93"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5.7</w:t>
      </w:r>
      <w:r w:rsidRPr="00EC02CA">
        <w:rPr>
          <w:rFonts w:asciiTheme="minorHAnsi" w:eastAsiaTheme="minorEastAsia" w:hAnsiTheme="minorHAnsi"/>
          <w:noProof/>
          <w:kern w:val="2"/>
          <w:sz w:val="24"/>
          <w:lang w:eastAsia="en-GB"/>
          <w14:ligatures w14:val="standardContextual"/>
        </w:rPr>
        <w:tab/>
      </w:r>
      <w:r w:rsidRPr="00EC02CA">
        <w:rPr>
          <w:noProof/>
        </w:rPr>
        <w:t>Pre-court powers of diversion used by Australia Federal Police</w:t>
      </w:r>
      <w:r w:rsidRPr="00EC02CA">
        <w:rPr>
          <w:noProof/>
        </w:rPr>
        <w:tab/>
      </w:r>
      <w:r w:rsidRPr="00EC02CA">
        <w:rPr>
          <w:noProof/>
        </w:rPr>
        <w:fldChar w:fldCharType="begin"/>
      </w:r>
      <w:r w:rsidRPr="00EC02CA">
        <w:rPr>
          <w:noProof/>
        </w:rPr>
        <w:instrText xml:space="preserve"> PAGEREF _Toc218157314 \h </w:instrText>
      </w:r>
      <w:r w:rsidRPr="00EC02CA">
        <w:rPr>
          <w:noProof/>
        </w:rPr>
      </w:r>
      <w:r w:rsidRPr="00EC02CA">
        <w:rPr>
          <w:noProof/>
        </w:rPr>
        <w:fldChar w:fldCharType="separate"/>
      </w:r>
      <w:r w:rsidR="007D7830">
        <w:rPr>
          <w:noProof/>
        </w:rPr>
        <w:t>80</w:t>
      </w:r>
      <w:r w:rsidRPr="00EC02CA">
        <w:rPr>
          <w:noProof/>
        </w:rPr>
        <w:fldChar w:fldCharType="end"/>
      </w:r>
    </w:p>
    <w:p w14:paraId="4C3DC302" w14:textId="0F1431B6"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5.8</w:t>
      </w:r>
      <w:r w:rsidRPr="00EC02CA">
        <w:rPr>
          <w:rFonts w:asciiTheme="minorHAnsi" w:eastAsiaTheme="minorEastAsia" w:hAnsiTheme="minorHAnsi"/>
          <w:noProof/>
          <w:kern w:val="2"/>
          <w:sz w:val="24"/>
          <w:lang w:eastAsia="en-GB"/>
          <w14:ligatures w14:val="standardContextual"/>
        </w:rPr>
        <w:tab/>
      </w:r>
      <w:r w:rsidRPr="00EC02CA">
        <w:rPr>
          <w:noProof/>
        </w:rPr>
        <w:t>Commission of Inquiry and government response</w:t>
      </w:r>
      <w:r w:rsidRPr="00EC02CA">
        <w:rPr>
          <w:noProof/>
        </w:rPr>
        <w:tab/>
      </w:r>
      <w:r w:rsidRPr="00EC02CA">
        <w:rPr>
          <w:noProof/>
        </w:rPr>
        <w:fldChar w:fldCharType="begin"/>
      </w:r>
      <w:r w:rsidRPr="00EC02CA">
        <w:rPr>
          <w:noProof/>
        </w:rPr>
        <w:instrText xml:space="preserve"> PAGEREF _Toc218157315 \h </w:instrText>
      </w:r>
      <w:r w:rsidRPr="00EC02CA">
        <w:rPr>
          <w:noProof/>
        </w:rPr>
      </w:r>
      <w:r w:rsidRPr="00EC02CA">
        <w:rPr>
          <w:noProof/>
        </w:rPr>
        <w:fldChar w:fldCharType="separate"/>
      </w:r>
      <w:r w:rsidR="007D7830">
        <w:rPr>
          <w:noProof/>
        </w:rPr>
        <w:t>81</w:t>
      </w:r>
      <w:r w:rsidRPr="00EC02CA">
        <w:rPr>
          <w:noProof/>
        </w:rPr>
        <w:fldChar w:fldCharType="end"/>
      </w:r>
    </w:p>
    <w:p w14:paraId="786F02A8" w14:textId="35B4E63F"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6: </w:t>
      </w:r>
      <w:r w:rsidRPr="00EC02CA">
        <w:tab/>
        <w:t>Reporting allegations of sexual offending by young people and attrition</w:t>
      </w:r>
      <w:r w:rsidRPr="00EC02CA">
        <w:tab/>
      </w:r>
      <w:r w:rsidRPr="00EC02CA">
        <w:fldChar w:fldCharType="begin"/>
      </w:r>
      <w:r w:rsidRPr="00EC02CA">
        <w:instrText xml:space="preserve"> PAGEREF _Toc218157318 \h </w:instrText>
      </w:r>
      <w:r w:rsidRPr="00EC02CA">
        <w:fldChar w:fldCharType="separate"/>
      </w:r>
      <w:r w:rsidR="007D7830">
        <w:t>84</w:t>
      </w:r>
      <w:r w:rsidRPr="00EC02CA">
        <w:fldChar w:fldCharType="end"/>
      </w:r>
    </w:p>
    <w:p w14:paraId="55C5EC8D" w14:textId="10EC6D96"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6.1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_Toc218157319 \h </w:instrText>
      </w:r>
      <w:r w:rsidRPr="00EC02CA">
        <w:rPr>
          <w:noProof/>
        </w:rPr>
      </w:r>
      <w:r w:rsidRPr="00EC02CA">
        <w:rPr>
          <w:noProof/>
        </w:rPr>
        <w:fldChar w:fldCharType="separate"/>
      </w:r>
      <w:r w:rsidR="007D7830">
        <w:rPr>
          <w:noProof/>
        </w:rPr>
        <w:t>84</w:t>
      </w:r>
      <w:r w:rsidRPr="00EC02CA">
        <w:rPr>
          <w:noProof/>
        </w:rPr>
        <w:fldChar w:fldCharType="end"/>
      </w:r>
    </w:p>
    <w:p w14:paraId="2510D14A" w14:textId="59C49E20"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6.2</w:t>
      </w:r>
      <w:r w:rsidRPr="00EC02CA">
        <w:rPr>
          <w:rFonts w:asciiTheme="minorHAnsi" w:eastAsiaTheme="minorEastAsia" w:hAnsiTheme="minorHAnsi"/>
          <w:noProof/>
          <w:kern w:val="2"/>
          <w:sz w:val="24"/>
          <w:lang w:eastAsia="en-GB"/>
          <w14:ligatures w14:val="standardContextual"/>
        </w:rPr>
        <w:tab/>
      </w:r>
      <w:r w:rsidRPr="00EC02CA">
        <w:rPr>
          <w:noProof/>
        </w:rPr>
        <w:t>Reporting pathways into the criminal justice system in response to allegations of sexual offending by young people</w:t>
      </w:r>
      <w:r w:rsidRPr="00EC02CA">
        <w:rPr>
          <w:noProof/>
        </w:rPr>
        <w:tab/>
      </w:r>
      <w:r w:rsidRPr="00EC02CA">
        <w:rPr>
          <w:noProof/>
        </w:rPr>
        <w:fldChar w:fldCharType="begin"/>
      </w:r>
      <w:r w:rsidRPr="00EC02CA">
        <w:rPr>
          <w:noProof/>
        </w:rPr>
        <w:instrText xml:space="preserve"> PAGEREF _Toc218157320 \h </w:instrText>
      </w:r>
      <w:r w:rsidRPr="00EC02CA">
        <w:rPr>
          <w:noProof/>
        </w:rPr>
      </w:r>
      <w:r w:rsidRPr="00EC02CA">
        <w:rPr>
          <w:noProof/>
        </w:rPr>
        <w:fldChar w:fldCharType="separate"/>
      </w:r>
      <w:r w:rsidR="007D7830">
        <w:rPr>
          <w:noProof/>
        </w:rPr>
        <w:t>84</w:t>
      </w:r>
      <w:r w:rsidRPr="00EC02CA">
        <w:rPr>
          <w:noProof/>
        </w:rPr>
        <w:fldChar w:fldCharType="end"/>
      </w:r>
    </w:p>
    <w:p w14:paraId="1139C539" w14:textId="16E310B2"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Strong Families, Safe Kids Advice and Referral Line</w:t>
      </w:r>
      <w:r w:rsidRPr="00EC02CA">
        <w:rPr>
          <w:noProof/>
        </w:rPr>
        <w:tab/>
      </w:r>
      <w:r w:rsidRPr="00EC02CA">
        <w:rPr>
          <w:noProof/>
        </w:rPr>
        <w:fldChar w:fldCharType="begin"/>
      </w:r>
      <w:r w:rsidRPr="00EC02CA">
        <w:rPr>
          <w:noProof/>
        </w:rPr>
        <w:instrText xml:space="preserve"> PAGEREF _Toc218157321 \h </w:instrText>
      </w:r>
      <w:r w:rsidRPr="00EC02CA">
        <w:rPr>
          <w:noProof/>
        </w:rPr>
      </w:r>
      <w:r w:rsidRPr="00EC02CA">
        <w:rPr>
          <w:noProof/>
        </w:rPr>
        <w:fldChar w:fldCharType="separate"/>
      </w:r>
      <w:r w:rsidR="007D7830">
        <w:rPr>
          <w:noProof/>
        </w:rPr>
        <w:t>86</w:t>
      </w:r>
      <w:r w:rsidRPr="00EC02CA">
        <w:rPr>
          <w:noProof/>
        </w:rPr>
        <w:fldChar w:fldCharType="end"/>
      </w:r>
    </w:p>
    <w:p w14:paraId="704FDE2A" w14:textId="5DD9CE2D"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Reports to Tasmania Police</w:t>
      </w:r>
      <w:r w:rsidRPr="00EC02CA">
        <w:rPr>
          <w:noProof/>
        </w:rPr>
        <w:tab/>
      </w:r>
      <w:r w:rsidRPr="00EC02CA">
        <w:rPr>
          <w:noProof/>
        </w:rPr>
        <w:fldChar w:fldCharType="begin"/>
      </w:r>
      <w:r w:rsidRPr="00EC02CA">
        <w:rPr>
          <w:noProof/>
        </w:rPr>
        <w:instrText xml:space="preserve"> PAGEREF _Toc218157322 \h </w:instrText>
      </w:r>
      <w:r w:rsidRPr="00EC02CA">
        <w:rPr>
          <w:noProof/>
        </w:rPr>
      </w:r>
      <w:r w:rsidRPr="00EC02CA">
        <w:rPr>
          <w:noProof/>
        </w:rPr>
        <w:fldChar w:fldCharType="separate"/>
      </w:r>
      <w:r w:rsidR="007D7830">
        <w:rPr>
          <w:noProof/>
        </w:rPr>
        <w:t>87</w:t>
      </w:r>
      <w:r w:rsidRPr="00EC02CA">
        <w:rPr>
          <w:noProof/>
        </w:rPr>
        <w:fldChar w:fldCharType="end"/>
      </w:r>
    </w:p>
    <w:p w14:paraId="430AF5E2" w14:textId="0C2DD2D5"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6.3</w:t>
      </w:r>
      <w:r w:rsidRPr="00EC02CA">
        <w:rPr>
          <w:rFonts w:asciiTheme="minorHAnsi" w:eastAsiaTheme="minorEastAsia" w:hAnsiTheme="minorHAnsi"/>
          <w:noProof/>
          <w:kern w:val="2"/>
          <w:sz w:val="24"/>
          <w:lang w:eastAsia="en-GB"/>
          <w14:ligatures w14:val="standardContextual"/>
        </w:rPr>
        <w:tab/>
      </w:r>
      <w:r w:rsidRPr="00EC02CA">
        <w:rPr>
          <w:noProof/>
        </w:rPr>
        <w:t>TLRI interviewees’ views</w:t>
      </w:r>
      <w:r w:rsidRPr="00EC02CA">
        <w:rPr>
          <w:noProof/>
        </w:rPr>
        <w:tab/>
      </w:r>
      <w:r w:rsidRPr="00EC02CA">
        <w:rPr>
          <w:noProof/>
        </w:rPr>
        <w:fldChar w:fldCharType="begin"/>
      </w:r>
      <w:r w:rsidRPr="00EC02CA">
        <w:rPr>
          <w:noProof/>
        </w:rPr>
        <w:instrText xml:space="preserve"> PAGEREF _Toc218157323 \h </w:instrText>
      </w:r>
      <w:r w:rsidRPr="00EC02CA">
        <w:rPr>
          <w:noProof/>
        </w:rPr>
      </w:r>
      <w:r w:rsidRPr="00EC02CA">
        <w:rPr>
          <w:noProof/>
        </w:rPr>
        <w:fldChar w:fldCharType="separate"/>
      </w:r>
      <w:r w:rsidR="007D7830">
        <w:rPr>
          <w:noProof/>
        </w:rPr>
        <w:t>88</w:t>
      </w:r>
      <w:r w:rsidRPr="00EC02CA">
        <w:rPr>
          <w:noProof/>
        </w:rPr>
        <w:fldChar w:fldCharType="end"/>
      </w:r>
    </w:p>
    <w:p w14:paraId="1687A5E9" w14:textId="2CF49E8F"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6.4</w:t>
      </w:r>
      <w:r w:rsidRPr="00EC02CA">
        <w:rPr>
          <w:rFonts w:asciiTheme="minorHAnsi" w:eastAsiaTheme="minorEastAsia" w:hAnsiTheme="minorHAnsi"/>
          <w:noProof/>
          <w:kern w:val="2"/>
          <w:sz w:val="24"/>
          <w:lang w:eastAsia="en-GB"/>
          <w14:ligatures w14:val="standardContextual"/>
        </w:rPr>
        <w:tab/>
      </w:r>
      <w:r w:rsidRPr="00EC02CA">
        <w:rPr>
          <w:noProof/>
        </w:rPr>
        <w:t>Previous research</w:t>
      </w:r>
      <w:r w:rsidRPr="00EC02CA">
        <w:rPr>
          <w:noProof/>
        </w:rPr>
        <w:tab/>
      </w:r>
      <w:r w:rsidRPr="00EC02CA">
        <w:rPr>
          <w:noProof/>
        </w:rPr>
        <w:fldChar w:fldCharType="begin"/>
      </w:r>
      <w:r w:rsidRPr="00EC02CA">
        <w:rPr>
          <w:noProof/>
        </w:rPr>
        <w:instrText xml:space="preserve"> PAGEREF _Toc218157324 \h </w:instrText>
      </w:r>
      <w:r w:rsidRPr="00EC02CA">
        <w:rPr>
          <w:noProof/>
        </w:rPr>
      </w:r>
      <w:r w:rsidRPr="00EC02CA">
        <w:rPr>
          <w:noProof/>
        </w:rPr>
        <w:fldChar w:fldCharType="separate"/>
      </w:r>
      <w:r w:rsidR="007D7830">
        <w:rPr>
          <w:noProof/>
        </w:rPr>
        <w:t>93</w:t>
      </w:r>
      <w:r w:rsidRPr="00EC02CA">
        <w:rPr>
          <w:noProof/>
        </w:rPr>
        <w:fldChar w:fldCharType="end"/>
      </w:r>
    </w:p>
    <w:p w14:paraId="6CF4A812" w14:textId="50C593BF"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Barriers to reporting allegations of sexual offending</w:t>
      </w:r>
      <w:r w:rsidRPr="00EC02CA">
        <w:rPr>
          <w:noProof/>
        </w:rPr>
        <w:tab/>
      </w:r>
      <w:r w:rsidRPr="00EC02CA">
        <w:rPr>
          <w:noProof/>
        </w:rPr>
        <w:fldChar w:fldCharType="begin"/>
      </w:r>
      <w:r w:rsidRPr="00EC02CA">
        <w:rPr>
          <w:noProof/>
        </w:rPr>
        <w:instrText xml:space="preserve"> PAGEREF _Toc218157325 \h </w:instrText>
      </w:r>
      <w:r w:rsidRPr="00EC02CA">
        <w:rPr>
          <w:noProof/>
        </w:rPr>
      </w:r>
      <w:r w:rsidRPr="00EC02CA">
        <w:rPr>
          <w:noProof/>
        </w:rPr>
        <w:fldChar w:fldCharType="separate"/>
      </w:r>
      <w:r w:rsidR="007D7830">
        <w:rPr>
          <w:noProof/>
        </w:rPr>
        <w:t>93</w:t>
      </w:r>
      <w:r w:rsidRPr="00EC02CA">
        <w:rPr>
          <w:noProof/>
        </w:rPr>
        <w:fldChar w:fldCharType="end"/>
      </w:r>
    </w:p>
    <w:p w14:paraId="00E09EDF" w14:textId="1A6CF89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Attrition in the criminal justice system</w:t>
      </w:r>
      <w:r w:rsidRPr="00EC02CA">
        <w:rPr>
          <w:noProof/>
        </w:rPr>
        <w:tab/>
      </w:r>
      <w:r w:rsidRPr="00EC02CA">
        <w:rPr>
          <w:noProof/>
        </w:rPr>
        <w:fldChar w:fldCharType="begin"/>
      </w:r>
      <w:r w:rsidRPr="00EC02CA">
        <w:rPr>
          <w:noProof/>
        </w:rPr>
        <w:instrText xml:space="preserve"> PAGEREF _Toc218157326 \h </w:instrText>
      </w:r>
      <w:r w:rsidRPr="00EC02CA">
        <w:rPr>
          <w:noProof/>
        </w:rPr>
      </w:r>
      <w:r w:rsidRPr="00EC02CA">
        <w:rPr>
          <w:noProof/>
        </w:rPr>
        <w:fldChar w:fldCharType="separate"/>
      </w:r>
      <w:r w:rsidR="007D7830">
        <w:rPr>
          <w:noProof/>
        </w:rPr>
        <w:t>96</w:t>
      </w:r>
      <w:r w:rsidRPr="00EC02CA">
        <w:rPr>
          <w:noProof/>
        </w:rPr>
        <w:fldChar w:fldCharType="end"/>
      </w:r>
    </w:p>
    <w:p w14:paraId="443B8CE1" w14:textId="6A200ED5"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6.5</w:t>
      </w:r>
      <w:r w:rsidRPr="00EC02CA">
        <w:rPr>
          <w:rFonts w:asciiTheme="minorHAnsi" w:eastAsiaTheme="minorEastAsia" w:hAnsiTheme="minorHAnsi"/>
          <w:noProof/>
          <w:kern w:val="2"/>
          <w:sz w:val="24"/>
          <w:lang w:eastAsia="en-GB"/>
          <w14:ligatures w14:val="standardContextual"/>
        </w:rPr>
        <w:tab/>
      </w:r>
      <w:r w:rsidRPr="00EC02CA">
        <w:rPr>
          <w:noProof/>
        </w:rPr>
        <w:t>TLRI’s views and recommendations</w:t>
      </w:r>
      <w:r w:rsidRPr="00EC02CA">
        <w:rPr>
          <w:noProof/>
        </w:rPr>
        <w:tab/>
      </w:r>
      <w:r w:rsidRPr="00EC02CA">
        <w:rPr>
          <w:noProof/>
        </w:rPr>
        <w:fldChar w:fldCharType="begin"/>
      </w:r>
      <w:r w:rsidRPr="00EC02CA">
        <w:rPr>
          <w:noProof/>
        </w:rPr>
        <w:instrText xml:space="preserve"> PAGEREF _Toc218157327 \h </w:instrText>
      </w:r>
      <w:r w:rsidRPr="00EC02CA">
        <w:rPr>
          <w:noProof/>
        </w:rPr>
      </w:r>
      <w:r w:rsidRPr="00EC02CA">
        <w:rPr>
          <w:noProof/>
        </w:rPr>
        <w:fldChar w:fldCharType="separate"/>
      </w:r>
      <w:r w:rsidR="007D7830">
        <w:rPr>
          <w:noProof/>
        </w:rPr>
        <w:t>98</w:t>
      </w:r>
      <w:r w:rsidRPr="00EC02CA">
        <w:rPr>
          <w:noProof/>
        </w:rPr>
        <w:fldChar w:fldCharType="end"/>
      </w:r>
    </w:p>
    <w:p w14:paraId="3B987299" w14:textId="13285634"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Recommendations</w:t>
      </w:r>
      <w:r w:rsidRPr="00EC02CA">
        <w:rPr>
          <w:noProof/>
        </w:rPr>
        <w:tab/>
      </w:r>
      <w:r w:rsidRPr="00EC02CA">
        <w:rPr>
          <w:noProof/>
        </w:rPr>
        <w:fldChar w:fldCharType="begin"/>
      </w:r>
      <w:r w:rsidRPr="00EC02CA">
        <w:rPr>
          <w:noProof/>
        </w:rPr>
        <w:instrText xml:space="preserve"> PAGEREF _Toc218157328 \h </w:instrText>
      </w:r>
      <w:r w:rsidRPr="00EC02CA">
        <w:rPr>
          <w:noProof/>
        </w:rPr>
      </w:r>
      <w:r w:rsidRPr="00EC02CA">
        <w:rPr>
          <w:noProof/>
        </w:rPr>
        <w:fldChar w:fldCharType="separate"/>
      </w:r>
      <w:r w:rsidR="007D7830">
        <w:rPr>
          <w:noProof/>
        </w:rPr>
        <w:t>101</w:t>
      </w:r>
      <w:r w:rsidRPr="00EC02CA">
        <w:rPr>
          <w:noProof/>
        </w:rPr>
        <w:fldChar w:fldCharType="end"/>
      </w:r>
    </w:p>
    <w:p w14:paraId="62713B3C" w14:textId="78FFAD18"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7: </w:t>
      </w:r>
      <w:r w:rsidRPr="00EC02CA">
        <w:tab/>
        <w:t>Pre-plea diversion in the Tasmanian youth justice system and sexual offending</w:t>
      </w:r>
      <w:r w:rsidRPr="00EC02CA">
        <w:tab/>
      </w:r>
      <w:r w:rsidRPr="00EC02CA">
        <w:fldChar w:fldCharType="begin"/>
      </w:r>
      <w:r w:rsidRPr="00EC02CA">
        <w:instrText xml:space="preserve"> PAGEREF _Toc218157331 \h </w:instrText>
      </w:r>
      <w:r w:rsidRPr="00EC02CA">
        <w:fldChar w:fldCharType="separate"/>
      </w:r>
      <w:r w:rsidR="007D7830">
        <w:t>102</w:t>
      </w:r>
      <w:r w:rsidRPr="00EC02CA">
        <w:fldChar w:fldCharType="end"/>
      </w:r>
    </w:p>
    <w:p w14:paraId="2CFA5CF7" w14:textId="39CFA40E"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_Toc218157332 \h </w:instrText>
      </w:r>
      <w:r w:rsidRPr="00EC02CA">
        <w:rPr>
          <w:noProof/>
        </w:rPr>
      </w:r>
      <w:r w:rsidRPr="00EC02CA">
        <w:rPr>
          <w:noProof/>
        </w:rPr>
        <w:fldChar w:fldCharType="separate"/>
      </w:r>
      <w:r w:rsidR="007D7830">
        <w:rPr>
          <w:noProof/>
        </w:rPr>
        <w:t>102</w:t>
      </w:r>
      <w:r w:rsidRPr="00EC02CA">
        <w:rPr>
          <w:noProof/>
        </w:rPr>
        <w:fldChar w:fldCharType="end"/>
      </w:r>
    </w:p>
    <w:p w14:paraId="1BCD465A" w14:textId="33E2610E"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7.2</w:t>
      </w:r>
      <w:r w:rsidRPr="00EC02CA">
        <w:rPr>
          <w:rFonts w:asciiTheme="minorHAnsi" w:eastAsiaTheme="minorEastAsia" w:hAnsiTheme="minorHAnsi"/>
          <w:noProof/>
          <w:kern w:val="2"/>
          <w:sz w:val="24"/>
          <w:lang w:eastAsia="en-GB"/>
          <w14:ligatures w14:val="standardContextual"/>
        </w:rPr>
        <w:tab/>
      </w:r>
      <w:r w:rsidRPr="00EC02CA">
        <w:rPr>
          <w:noProof/>
        </w:rPr>
        <w:t>Use of diversion in Tasmania</w:t>
      </w:r>
      <w:r w:rsidRPr="00EC02CA">
        <w:rPr>
          <w:noProof/>
        </w:rPr>
        <w:tab/>
      </w:r>
      <w:r w:rsidRPr="00EC02CA">
        <w:rPr>
          <w:noProof/>
        </w:rPr>
        <w:fldChar w:fldCharType="begin"/>
      </w:r>
      <w:r w:rsidRPr="00EC02CA">
        <w:rPr>
          <w:noProof/>
        </w:rPr>
        <w:instrText xml:space="preserve"> PAGEREF _Toc218157333 \h </w:instrText>
      </w:r>
      <w:r w:rsidRPr="00EC02CA">
        <w:rPr>
          <w:noProof/>
        </w:rPr>
      </w:r>
      <w:r w:rsidRPr="00EC02CA">
        <w:rPr>
          <w:noProof/>
        </w:rPr>
        <w:fldChar w:fldCharType="separate"/>
      </w:r>
      <w:r w:rsidR="007D7830">
        <w:rPr>
          <w:noProof/>
        </w:rPr>
        <w:t>102</w:t>
      </w:r>
      <w:r w:rsidRPr="00EC02CA">
        <w:rPr>
          <w:noProof/>
        </w:rPr>
        <w:fldChar w:fldCharType="end"/>
      </w:r>
    </w:p>
    <w:p w14:paraId="2D109D46" w14:textId="635E7A5B"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Official data sources</w:t>
      </w:r>
      <w:r w:rsidRPr="00EC02CA">
        <w:rPr>
          <w:noProof/>
        </w:rPr>
        <w:tab/>
      </w:r>
      <w:r w:rsidRPr="00EC02CA">
        <w:rPr>
          <w:noProof/>
        </w:rPr>
        <w:fldChar w:fldCharType="begin"/>
      </w:r>
      <w:r w:rsidRPr="00EC02CA">
        <w:rPr>
          <w:noProof/>
        </w:rPr>
        <w:instrText xml:space="preserve"> PAGEREF _Toc218157334 \h </w:instrText>
      </w:r>
      <w:r w:rsidRPr="00EC02CA">
        <w:rPr>
          <w:noProof/>
        </w:rPr>
      </w:r>
      <w:r w:rsidRPr="00EC02CA">
        <w:rPr>
          <w:noProof/>
        </w:rPr>
        <w:fldChar w:fldCharType="separate"/>
      </w:r>
      <w:r w:rsidR="007D7830">
        <w:rPr>
          <w:noProof/>
        </w:rPr>
        <w:t>102</w:t>
      </w:r>
      <w:r w:rsidRPr="00EC02CA">
        <w:rPr>
          <w:noProof/>
        </w:rPr>
        <w:fldChar w:fldCharType="end"/>
      </w:r>
    </w:p>
    <w:p w14:paraId="716E5135" w14:textId="30E5B7A7"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Use of diversionary procedures: Tasmania Police</w:t>
      </w:r>
      <w:r w:rsidRPr="00EC02CA">
        <w:rPr>
          <w:noProof/>
        </w:rPr>
        <w:tab/>
      </w:r>
      <w:r w:rsidRPr="00EC02CA">
        <w:rPr>
          <w:noProof/>
        </w:rPr>
        <w:fldChar w:fldCharType="begin"/>
      </w:r>
      <w:r w:rsidRPr="00EC02CA">
        <w:rPr>
          <w:noProof/>
        </w:rPr>
        <w:instrText xml:space="preserve"> PAGEREF _Toc218157335 \h </w:instrText>
      </w:r>
      <w:r w:rsidRPr="00EC02CA">
        <w:rPr>
          <w:noProof/>
        </w:rPr>
      </w:r>
      <w:r w:rsidRPr="00EC02CA">
        <w:rPr>
          <w:noProof/>
        </w:rPr>
        <w:fldChar w:fldCharType="separate"/>
      </w:r>
      <w:r w:rsidR="007D7830">
        <w:rPr>
          <w:noProof/>
        </w:rPr>
        <w:t>102</w:t>
      </w:r>
      <w:r w:rsidRPr="00EC02CA">
        <w:rPr>
          <w:noProof/>
        </w:rPr>
        <w:fldChar w:fldCharType="end"/>
      </w:r>
    </w:p>
    <w:p w14:paraId="302E42BC" w14:textId="1D46D424"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Use of informal cautions: Tasmania Police</w:t>
      </w:r>
      <w:r w:rsidRPr="00EC02CA">
        <w:rPr>
          <w:noProof/>
        </w:rPr>
        <w:tab/>
      </w:r>
      <w:r w:rsidRPr="00EC02CA">
        <w:rPr>
          <w:noProof/>
        </w:rPr>
        <w:fldChar w:fldCharType="begin"/>
      </w:r>
      <w:r w:rsidRPr="00EC02CA">
        <w:rPr>
          <w:noProof/>
        </w:rPr>
        <w:instrText xml:space="preserve"> PAGEREF _Toc218157336 \h </w:instrText>
      </w:r>
      <w:r w:rsidRPr="00EC02CA">
        <w:rPr>
          <w:noProof/>
        </w:rPr>
      </w:r>
      <w:r w:rsidRPr="00EC02CA">
        <w:rPr>
          <w:noProof/>
        </w:rPr>
        <w:fldChar w:fldCharType="separate"/>
      </w:r>
      <w:r w:rsidR="007D7830">
        <w:rPr>
          <w:noProof/>
        </w:rPr>
        <w:t>105</w:t>
      </w:r>
      <w:r w:rsidRPr="00EC02CA">
        <w:rPr>
          <w:noProof/>
        </w:rPr>
        <w:fldChar w:fldCharType="end"/>
      </w:r>
    </w:p>
    <w:p w14:paraId="79C2F019" w14:textId="168A210D"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Use of formal cautions: Tasmania Police and AFP</w:t>
      </w:r>
      <w:r w:rsidRPr="00EC02CA">
        <w:rPr>
          <w:noProof/>
        </w:rPr>
        <w:tab/>
      </w:r>
      <w:r w:rsidRPr="00EC02CA">
        <w:rPr>
          <w:noProof/>
        </w:rPr>
        <w:fldChar w:fldCharType="begin"/>
      </w:r>
      <w:r w:rsidRPr="00EC02CA">
        <w:rPr>
          <w:noProof/>
        </w:rPr>
        <w:instrText xml:space="preserve"> PAGEREF _Toc218157337 \h </w:instrText>
      </w:r>
      <w:r w:rsidRPr="00EC02CA">
        <w:rPr>
          <w:noProof/>
        </w:rPr>
      </w:r>
      <w:r w:rsidRPr="00EC02CA">
        <w:rPr>
          <w:noProof/>
        </w:rPr>
        <w:fldChar w:fldCharType="separate"/>
      </w:r>
      <w:r w:rsidR="007D7830">
        <w:rPr>
          <w:noProof/>
        </w:rPr>
        <w:t>106</w:t>
      </w:r>
      <w:r w:rsidRPr="00EC02CA">
        <w:rPr>
          <w:noProof/>
        </w:rPr>
        <w:fldChar w:fldCharType="end"/>
      </w:r>
    </w:p>
    <w:p w14:paraId="4681EC10" w14:textId="67577325"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Use of Community Conferences: Tasmania Police</w:t>
      </w:r>
      <w:r w:rsidRPr="00EC02CA">
        <w:rPr>
          <w:noProof/>
        </w:rPr>
        <w:tab/>
      </w:r>
      <w:r w:rsidRPr="00EC02CA">
        <w:rPr>
          <w:noProof/>
        </w:rPr>
        <w:fldChar w:fldCharType="begin"/>
      </w:r>
      <w:r w:rsidRPr="00EC02CA">
        <w:rPr>
          <w:noProof/>
        </w:rPr>
        <w:instrText xml:space="preserve"> PAGEREF _Toc218157338 \h </w:instrText>
      </w:r>
      <w:r w:rsidRPr="00EC02CA">
        <w:rPr>
          <w:noProof/>
        </w:rPr>
      </w:r>
      <w:r w:rsidRPr="00EC02CA">
        <w:rPr>
          <w:noProof/>
        </w:rPr>
        <w:fldChar w:fldCharType="separate"/>
      </w:r>
      <w:r w:rsidR="007D7830">
        <w:rPr>
          <w:noProof/>
        </w:rPr>
        <w:t>106</w:t>
      </w:r>
      <w:r w:rsidRPr="00EC02CA">
        <w:rPr>
          <w:noProof/>
        </w:rPr>
        <w:fldChar w:fldCharType="end"/>
      </w:r>
    </w:p>
    <w:p w14:paraId="0149FAC2" w14:textId="31ACDA45"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7.3</w:t>
      </w:r>
      <w:r w:rsidRPr="00EC02CA">
        <w:rPr>
          <w:rFonts w:asciiTheme="minorHAnsi" w:eastAsiaTheme="minorEastAsia" w:hAnsiTheme="minorHAnsi"/>
          <w:noProof/>
          <w:kern w:val="2"/>
          <w:sz w:val="24"/>
          <w:lang w:eastAsia="en-GB"/>
          <w14:ligatures w14:val="standardContextual"/>
        </w:rPr>
        <w:tab/>
      </w:r>
      <w:r w:rsidRPr="00EC02CA">
        <w:rPr>
          <w:noProof/>
        </w:rPr>
        <w:t>TLRI Interviews</w:t>
      </w:r>
      <w:r w:rsidRPr="00EC02CA">
        <w:rPr>
          <w:noProof/>
        </w:rPr>
        <w:tab/>
      </w:r>
      <w:r w:rsidRPr="00EC02CA">
        <w:rPr>
          <w:noProof/>
        </w:rPr>
        <w:fldChar w:fldCharType="begin"/>
      </w:r>
      <w:r w:rsidRPr="00EC02CA">
        <w:rPr>
          <w:noProof/>
        </w:rPr>
        <w:instrText xml:space="preserve"> PAGEREF _Toc218157339 \h </w:instrText>
      </w:r>
      <w:r w:rsidRPr="00EC02CA">
        <w:rPr>
          <w:noProof/>
        </w:rPr>
      </w:r>
      <w:r w:rsidRPr="00EC02CA">
        <w:rPr>
          <w:noProof/>
        </w:rPr>
        <w:fldChar w:fldCharType="separate"/>
      </w:r>
      <w:r w:rsidR="007D7830">
        <w:rPr>
          <w:noProof/>
        </w:rPr>
        <w:t>108</w:t>
      </w:r>
      <w:r w:rsidRPr="00EC02CA">
        <w:rPr>
          <w:noProof/>
        </w:rPr>
        <w:fldChar w:fldCharType="end"/>
      </w:r>
    </w:p>
    <w:p w14:paraId="0E2588E5" w14:textId="26907986"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7.4</w:t>
      </w:r>
      <w:r w:rsidRPr="00EC02CA">
        <w:rPr>
          <w:rFonts w:asciiTheme="minorHAnsi" w:eastAsiaTheme="minorEastAsia" w:hAnsiTheme="minorHAnsi"/>
          <w:noProof/>
          <w:kern w:val="2"/>
          <w:sz w:val="24"/>
          <w:lang w:eastAsia="en-GB"/>
          <w14:ligatures w14:val="standardContextual"/>
        </w:rPr>
        <w:tab/>
      </w:r>
      <w:r w:rsidRPr="00EC02CA">
        <w:rPr>
          <w:noProof/>
        </w:rPr>
        <w:t>The Tasmanian Commission of Inquiry and government response</w:t>
      </w:r>
      <w:r w:rsidRPr="00EC02CA">
        <w:rPr>
          <w:noProof/>
        </w:rPr>
        <w:tab/>
      </w:r>
      <w:r w:rsidRPr="00EC02CA">
        <w:rPr>
          <w:noProof/>
        </w:rPr>
        <w:fldChar w:fldCharType="begin"/>
      </w:r>
      <w:r w:rsidRPr="00EC02CA">
        <w:rPr>
          <w:noProof/>
        </w:rPr>
        <w:instrText xml:space="preserve"> PAGEREF _Toc218157340 \h </w:instrText>
      </w:r>
      <w:r w:rsidRPr="00EC02CA">
        <w:rPr>
          <w:noProof/>
        </w:rPr>
      </w:r>
      <w:r w:rsidRPr="00EC02CA">
        <w:rPr>
          <w:noProof/>
        </w:rPr>
        <w:fldChar w:fldCharType="separate"/>
      </w:r>
      <w:r w:rsidR="007D7830">
        <w:rPr>
          <w:noProof/>
        </w:rPr>
        <w:t>113</w:t>
      </w:r>
      <w:r w:rsidRPr="00EC02CA">
        <w:rPr>
          <w:noProof/>
        </w:rPr>
        <w:fldChar w:fldCharType="end"/>
      </w:r>
    </w:p>
    <w:p w14:paraId="5101774F" w14:textId="10D33B21"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7.5</w:t>
      </w:r>
      <w:r w:rsidRPr="00EC02CA">
        <w:rPr>
          <w:rFonts w:asciiTheme="minorHAnsi" w:eastAsiaTheme="minorEastAsia" w:hAnsiTheme="minorHAnsi"/>
          <w:noProof/>
          <w:kern w:val="2"/>
          <w:sz w:val="24"/>
          <w:lang w:eastAsia="en-GB"/>
          <w14:ligatures w14:val="standardContextual"/>
        </w:rPr>
        <w:tab/>
      </w:r>
      <w:r w:rsidRPr="00EC02CA">
        <w:rPr>
          <w:noProof/>
        </w:rPr>
        <w:t>Use of diversion for sexual offences committed by youth offenders in other jurisdictions</w:t>
      </w:r>
      <w:r w:rsidRPr="00EC02CA">
        <w:rPr>
          <w:noProof/>
        </w:rPr>
        <w:tab/>
      </w:r>
      <w:r w:rsidRPr="00EC02CA">
        <w:rPr>
          <w:noProof/>
        </w:rPr>
        <w:fldChar w:fldCharType="begin"/>
      </w:r>
      <w:r w:rsidRPr="00EC02CA">
        <w:rPr>
          <w:noProof/>
        </w:rPr>
        <w:instrText xml:space="preserve"> PAGEREF _Toc218157341 \h </w:instrText>
      </w:r>
      <w:r w:rsidRPr="00EC02CA">
        <w:rPr>
          <w:noProof/>
        </w:rPr>
      </w:r>
      <w:r w:rsidRPr="00EC02CA">
        <w:rPr>
          <w:noProof/>
        </w:rPr>
        <w:fldChar w:fldCharType="separate"/>
      </w:r>
      <w:r w:rsidR="007D7830">
        <w:rPr>
          <w:noProof/>
        </w:rPr>
        <w:t>114</w:t>
      </w:r>
      <w:r w:rsidRPr="00EC02CA">
        <w:rPr>
          <w:noProof/>
        </w:rPr>
        <w:fldChar w:fldCharType="end"/>
      </w:r>
    </w:p>
    <w:p w14:paraId="404AE6EE" w14:textId="3EE08EB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Police cautions</w:t>
      </w:r>
      <w:r w:rsidRPr="00EC02CA">
        <w:rPr>
          <w:noProof/>
        </w:rPr>
        <w:tab/>
      </w:r>
      <w:r w:rsidRPr="00EC02CA">
        <w:rPr>
          <w:noProof/>
        </w:rPr>
        <w:fldChar w:fldCharType="begin"/>
      </w:r>
      <w:r w:rsidRPr="00EC02CA">
        <w:rPr>
          <w:noProof/>
        </w:rPr>
        <w:instrText xml:space="preserve"> PAGEREF _Toc218157342 \h </w:instrText>
      </w:r>
      <w:r w:rsidRPr="00EC02CA">
        <w:rPr>
          <w:noProof/>
        </w:rPr>
      </w:r>
      <w:r w:rsidRPr="00EC02CA">
        <w:rPr>
          <w:noProof/>
        </w:rPr>
        <w:fldChar w:fldCharType="separate"/>
      </w:r>
      <w:r w:rsidR="007D7830">
        <w:rPr>
          <w:noProof/>
        </w:rPr>
        <w:t>114</w:t>
      </w:r>
      <w:r w:rsidRPr="00EC02CA">
        <w:rPr>
          <w:noProof/>
        </w:rPr>
        <w:fldChar w:fldCharType="end"/>
      </w:r>
    </w:p>
    <w:p w14:paraId="148A16CC" w14:textId="040BE622"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Referral to conferences</w:t>
      </w:r>
      <w:r w:rsidRPr="00EC02CA">
        <w:rPr>
          <w:noProof/>
        </w:rPr>
        <w:tab/>
      </w:r>
      <w:r w:rsidRPr="00EC02CA">
        <w:rPr>
          <w:noProof/>
        </w:rPr>
        <w:fldChar w:fldCharType="begin"/>
      </w:r>
      <w:r w:rsidRPr="00EC02CA">
        <w:rPr>
          <w:noProof/>
        </w:rPr>
        <w:instrText xml:space="preserve"> PAGEREF _Toc218157343 \h </w:instrText>
      </w:r>
      <w:r w:rsidRPr="00EC02CA">
        <w:rPr>
          <w:noProof/>
        </w:rPr>
      </w:r>
      <w:r w:rsidRPr="00EC02CA">
        <w:rPr>
          <w:noProof/>
        </w:rPr>
        <w:fldChar w:fldCharType="separate"/>
      </w:r>
      <w:r w:rsidR="007D7830">
        <w:rPr>
          <w:noProof/>
        </w:rPr>
        <w:t>115</w:t>
      </w:r>
      <w:r w:rsidRPr="00EC02CA">
        <w:rPr>
          <w:noProof/>
        </w:rPr>
        <w:fldChar w:fldCharType="end"/>
      </w:r>
    </w:p>
    <w:p w14:paraId="10995DE3" w14:textId="22BD44C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7.6</w:t>
      </w:r>
      <w:r w:rsidRPr="00EC02CA">
        <w:rPr>
          <w:rFonts w:asciiTheme="minorHAnsi" w:eastAsiaTheme="minorEastAsia" w:hAnsiTheme="minorHAnsi"/>
          <w:noProof/>
          <w:kern w:val="2"/>
          <w:sz w:val="24"/>
          <w:lang w:eastAsia="en-GB"/>
          <w14:ligatures w14:val="standardContextual"/>
        </w:rPr>
        <w:tab/>
      </w:r>
      <w:r w:rsidRPr="00EC02CA">
        <w:rPr>
          <w:noProof/>
        </w:rPr>
        <w:t>Diversion through the use of formal cautions and conferencing for sexual offending</w:t>
      </w:r>
      <w:r w:rsidRPr="00EC02CA">
        <w:rPr>
          <w:noProof/>
        </w:rPr>
        <w:tab/>
      </w:r>
      <w:r w:rsidRPr="00EC02CA">
        <w:rPr>
          <w:noProof/>
        </w:rPr>
        <w:fldChar w:fldCharType="begin"/>
      </w:r>
      <w:r w:rsidRPr="00EC02CA">
        <w:rPr>
          <w:noProof/>
        </w:rPr>
        <w:instrText xml:space="preserve"> PAGEREF _Toc218157344 \h </w:instrText>
      </w:r>
      <w:r w:rsidRPr="00EC02CA">
        <w:rPr>
          <w:noProof/>
        </w:rPr>
      </w:r>
      <w:r w:rsidRPr="00EC02CA">
        <w:rPr>
          <w:noProof/>
        </w:rPr>
        <w:fldChar w:fldCharType="separate"/>
      </w:r>
      <w:r w:rsidR="007D7830">
        <w:rPr>
          <w:noProof/>
        </w:rPr>
        <w:t>116</w:t>
      </w:r>
      <w:r w:rsidRPr="00EC02CA">
        <w:rPr>
          <w:noProof/>
        </w:rPr>
        <w:fldChar w:fldCharType="end"/>
      </w:r>
    </w:p>
    <w:p w14:paraId="66B395C5" w14:textId="0BEBD568"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7.7</w:t>
      </w:r>
      <w:r w:rsidRPr="00EC02CA">
        <w:rPr>
          <w:rFonts w:asciiTheme="minorHAnsi" w:eastAsiaTheme="minorEastAsia" w:hAnsiTheme="minorHAnsi"/>
          <w:noProof/>
          <w:kern w:val="2"/>
          <w:sz w:val="24"/>
          <w:lang w:eastAsia="en-GB"/>
          <w14:ligatures w14:val="standardContextual"/>
        </w:rPr>
        <w:tab/>
      </w:r>
      <w:r w:rsidRPr="00EC02CA">
        <w:rPr>
          <w:noProof/>
        </w:rPr>
        <w:t>TLRI views and recommendations</w:t>
      </w:r>
      <w:r w:rsidRPr="00EC02CA">
        <w:rPr>
          <w:noProof/>
        </w:rPr>
        <w:tab/>
      </w:r>
      <w:r w:rsidRPr="00EC02CA">
        <w:rPr>
          <w:noProof/>
        </w:rPr>
        <w:fldChar w:fldCharType="begin"/>
      </w:r>
      <w:r w:rsidRPr="00EC02CA">
        <w:rPr>
          <w:noProof/>
        </w:rPr>
        <w:instrText xml:space="preserve"> PAGEREF _Toc218157345 \h </w:instrText>
      </w:r>
      <w:r w:rsidRPr="00EC02CA">
        <w:rPr>
          <w:noProof/>
        </w:rPr>
      </w:r>
      <w:r w:rsidRPr="00EC02CA">
        <w:rPr>
          <w:noProof/>
        </w:rPr>
        <w:fldChar w:fldCharType="separate"/>
      </w:r>
      <w:r w:rsidR="007D7830">
        <w:rPr>
          <w:noProof/>
        </w:rPr>
        <w:t>119</w:t>
      </w:r>
      <w:r w:rsidRPr="00EC02CA">
        <w:rPr>
          <w:noProof/>
        </w:rPr>
        <w:fldChar w:fldCharType="end"/>
      </w:r>
    </w:p>
    <w:p w14:paraId="12858B46" w14:textId="0D281A6D"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Eligibility for diversion</w:t>
      </w:r>
      <w:r w:rsidRPr="00EC02CA">
        <w:rPr>
          <w:noProof/>
        </w:rPr>
        <w:tab/>
      </w:r>
      <w:r w:rsidRPr="00EC02CA">
        <w:rPr>
          <w:noProof/>
        </w:rPr>
        <w:fldChar w:fldCharType="begin"/>
      </w:r>
      <w:r w:rsidRPr="00EC02CA">
        <w:rPr>
          <w:noProof/>
        </w:rPr>
        <w:instrText xml:space="preserve"> PAGEREF _Toc218157346 \h </w:instrText>
      </w:r>
      <w:r w:rsidRPr="00EC02CA">
        <w:rPr>
          <w:noProof/>
        </w:rPr>
      </w:r>
      <w:r w:rsidRPr="00EC02CA">
        <w:rPr>
          <w:noProof/>
        </w:rPr>
        <w:fldChar w:fldCharType="separate"/>
      </w:r>
      <w:r w:rsidR="007D7830">
        <w:rPr>
          <w:noProof/>
        </w:rPr>
        <w:t>119</w:t>
      </w:r>
      <w:r w:rsidRPr="00EC02CA">
        <w:rPr>
          <w:noProof/>
        </w:rPr>
        <w:fldChar w:fldCharType="end"/>
      </w:r>
    </w:p>
    <w:p w14:paraId="283CB4B4" w14:textId="17F6ECB8"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Formal cautions</w:t>
      </w:r>
      <w:r w:rsidRPr="00EC02CA">
        <w:rPr>
          <w:noProof/>
        </w:rPr>
        <w:tab/>
      </w:r>
      <w:r w:rsidRPr="00EC02CA">
        <w:rPr>
          <w:noProof/>
        </w:rPr>
        <w:fldChar w:fldCharType="begin"/>
      </w:r>
      <w:r w:rsidRPr="00EC02CA">
        <w:rPr>
          <w:noProof/>
        </w:rPr>
        <w:instrText xml:space="preserve"> PAGEREF _Toc218157347 \h </w:instrText>
      </w:r>
      <w:r w:rsidRPr="00EC02CA">
        <w:rPr>
          <w:noProof/>
        </w:rPr>
      </w:r>
      <w:r w:rsidRPr="00EC02CA">
        <w:rPr>
          <w:noProof/>
        </w:rPr>
        <w:fldChar w:fldCharType="separate"/>
      </w:r>
      <w:r w:rsidR="007D7830">
        <w:rPr>
          <w:noProof/>
        </w:rPr>
        <w:t>122</w:t>
      </w:r>
      <w:r w:rsidRPr="00EC02CA">
        <w:rPr>
          <w:noProof/>
        </w:rPr>
        <w:fldChar w:fldCharType="end"/>
      </w:r>
    </w:p>
    <w:p w14:paraId="3BED20AD" w14:textId="23931CF7"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Community conferences</w:t>
      </w:r>
      <w:r w:rsidRPr="00EC02CA">
        <w:rPr>
          <w:noProof/>
        </w:rPr>
        <w:tab/>
      </w:r>
      <w:r w:rsidRPr="00EC02CA">
        <w:rPr>
          <w:noProof/>
        </w:rPr>
        <w:fldChar w:fldCharType="begin"/>
      </w:r>
      <w:r w:rsidRPr="00EC02CA">
        <w:rPr>
          <w:noProof/>
        </w:rPr>
        <w:instrText xml:space="preserve"> PAGEREF _Toc218157348 \h </w:instrText>
      </w:r>
      <w:r w:rsidRPr="00EC02CA">
        <w:rPr>
          <w:noProof/>
        </w:rPr>
      </w:r>
      <w:r w:rsidRPr="00EC02CA">
        <w:rPr>
          <w:noProof/>
        </w:rPr>
        <w:fldChar w:fldCharType="separate"/>
      </w:r>
      <w:r w:rsidR="007D7830">
        <w:rPr>
          <w:noProof/>
        </w:rPr>
        <w:t>124</w:t>
      </w:r>
      <w:r w:rsidRPr="00EC02CA">
        <w:rPr>
          <w:noProof/>
        </w:rPr>
        <w:fldChar w:fldCharType="end"/>
      </w:r>
    </w:p>
    <w:p w14:paraId="130B6B09" w14:textId="4CBD2B71"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Recommendations</w:t>
      </w:r>
      <w:r w:rsidRPr="00EC02CA">
        <w:rPr>
          <w:noProof/>
        </w:rPr>
        <w:tab/>
      </w:r>
      <w:r w:rsidRPr="00EC02CA">
        <w:rPr>
          <w:noProof/>
        </w:rPr>
        <w:fldChar w:fldCharType="begin"/>
      </w:r>
      <w:r w:rsidRPr="00EC02CA">
        <w:rPr>
          <w:noProof/>
        </w:rPr>
        <w:instrText xml:space="preserve"> PAGEREF _Toc218157349 \h </w:instrText>
      </w:r>
      <w:r w:rsidRPr="00EC02CA">
        <w:rPr>
          <w:noProof/>
        </w:rPr>
      </w:r>
      <w:r w:rsidRPr="00EC02CA">
        <w:rPr>
          <w:noProof/>
        </w:rPr>
        <w:fldChar w:fldCharType="separate"/>
      </w:r>
      <w:r w:rsidR="007D7830">
        <w:rPr>
          <w:noProof/>
        </w:rPr>
        <w:t>125</w:t>
      </w:r>
      <w:r w:rsidRPr="00EC02CA">
        <w:rPr>
          <w:noProof/>
        </w:rPr>
        <w:fldChar w:fldCharType="end"/>
      </w:r>
    </w:p>
    <w:p w14:paraId="3815F81C" w14:textId="5EB72A58" w:rsidR="002C7BBC" w:rsidRPr="00EC02CA" w:rsidRDefault="002C7BBC" w:rsidP="00667095">
      <w:pPr>
        <w:pStyle w:val="TOC1"/>
        <w:rPr>
          <w:rFonts w:asciiTheme="minorHAnsi" w:eastAsiaTheme="minorEastAsia" w:hAnsiTheme="minorHAnsi"/>
          <w:kern w:val="2"/>
          <w:sz w:val="24"/>
          <w:lang w:eastAsia="en-GB"/>
          <w14:ligatures w14:val="standardContextual"/>
        </w:rPr>
      </w:pPr>
      <w:r w:rsidRPr="00EC02CA">
        <w:t xml:space="preserve">Part 8: </w:t>
      </w:r>
      <w:r w:rsidRPr="00EC02CA">
        <w:tab/>
        <w:t>Tasmanian courts and sexual offending by young people</w:t>
      </w:r>
      <w:r w:rsidRPr="00EC02CA">
        <w:tab/>
      </w:r>
      <w:r w:rsidRPr="00EC02CA">
        <w:fldChar w:fldCharType="begin"/>
      </w:r>
      <w:r w:rsidRPr="00EC02CA">
        <w:instrText xml:space="preserve"> PAGEREF _Toc218157351 \h </w:instrText>
      </w:r>
      <w:r w:rsidRPr="00EC02CA">
        <w:fldChar w:fldCharType="separate"/>
      </w:r>
      <w:r w:rsidR="007D7830">
        <w:t>126</w:t>
      </w:r>
      <w:r w:rsidRPr="00EC02CA">
        <w:fldChar w:fldCharType="end"/>
      </w:r>
    </w:p>
    <w:p w14:paraId="3DDC1AB8" w14:textId="40CE7E98"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8.1</w:t>
      </w:r>
      <w:r w:rsidRPr="00EC02CA">
        <w:rPr>
          <w:rFonts w:asciiTheme="minorHAnsi" w:eastAsiaTheme="minorEastAsia" w:hAnsiTheme="minorHAnsi"/>
          <w:noProof/>
          <w:kern w:val="2"/>
          <w:sz w:val="24"/>
          <w:lang w:eastAsia="en-GB"/>
          <w14:ligatures w14:val="standardContextual"/>
        </w:rPr>
        <w:tab/>
      </w:r>
      <w:r w:rsidRPr="00EC02CA">
        <w:rPr>
          <w:noProof/>
        </w:rPr>
        <w:t>Introduction</w:t>
      </w:r>
      <w:r w:rsidRPr="00EC02CA">
        <w:rPr>
          <w:noProof/>
        </w:rPr>
        <w:tab/>
      </w:r>
      <w:r w:rsidRPr="00EC02CA">
        <w:rPr>
          <w:noProof/>
        </w:rPr>
        <w:fldChar w:fldCharType="begin"/>
      </w:r>
      <w:r w:rsidRPr="00EC02CA">
        <w:rPr>
          <w:noProof/>
        </w:rPr>
        <w:instrText xml:space="preserve"> PAGEREF _Toc218157352 \h </w:instrText>
      </w:r>
      <w:r w:rsidRPr="00EC02CA">
        <w:rPr>
          <w:noProof/>
        </w:rPr>
      </w:r>
      <w:r w:rsidRPr="00EC02CA">
        <w:rPr>
          <w:noProof/>
        </w:rPr>
        <w:fldChar w:fldCharType="separate"/>
      </w:r>
      <w:r w:rsidR="007D7830">
        <w:rPr>
          <w:noProof/>
        </w:rPr>
        <w:t>126</w:t>
      </w:r>
      <w:r w:rsidRPr="00EC02CA">
        <w:rPr>
          <w:noProof/>
        </w:rPr>
        <w:fldChar w:fldCharType="end"/>
      </w:r>
    </w:p>
    <w:p w14:paraId="3FF9E8CC" w14:textId="160DD325"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8.2</w:t>
      </w:r>
      <w:r w:rsidRPr="00EC02CA">
        <w:rPr>
          <w:rFonts w:asciiTheme="minorHAnsi" w:eastAsiaTheme="minorEastAsia" w:hAnsiTheme="minorHAnsi"/>
          <w:noProof/>
          <w:kern w:val="2"/>
          <w:sz w:val="24"/>
          <w:lang w:eastAsia="en-GB"/>
          <w14:ligatures w14:val="standardContextual"/>
        </w:rPr>
        <w:tab/>
      </w:r>
      <w:r w:rsidRPr="00EC02CA">
        <w:rPr>
          <w:noProof/>
        </w:rPr>
        <w:t>The Magistrates Court (Youth Justice Division)</w:t>
      </w:r>
      <w:r w:rsidRPr="00EC02CA">
        <w:rPr>
          <w:noProof/>
        </w:rPr>
        <w:tab/>
      </w:r>
      <w:r w:rsidRPr="00EC02CA">
        <w:rPr>
          <w:noProof/>
        </w:rPr>
        <w:fldChar w:fldCharType="begin"/>
      </w:r>
      <w:r w:rsidRPr="00EC02CA">
        <w:rPr>
          <w:noProof/>
        </w:rPr>
        <w:instrText xml:space="preserve"> PAGEREF _Toc218157353 \h </w:instrText>
      </w:r>
      <w:r w:rsidRPr="00EC02CA">
        <w:rPr>
          <w:noProof/>
        </w:rPr>
      </w:r>
      <w:r w:rsidRPr="00EC02CA">
        <w:rPr>
          <w:noProof/>
        </w:rPr>
        <w:fldChar w:fldCharType="separate"/>
      </w:r>
      <w:r w:rsidR="007D7830">
        <w:rPr>
          <w:noProof/>
        </w:rPr>
        <w:t>126</w:t>
      </w:r>
      <w:r w:rsidRPr="00EC02CA">
        <w:rPr>
          <w:noProof/>
        </w:rPr>
        <w:fldChar w:fldCharType="end"/>
      </w:r>
    </w:p>
    <w:p w14:paraId="7164BFC9" w14:textId="194732CE"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Young people finalised in the Youth Justice Division for sexual offences</w:t>
      </w:r>
      <w:r w:rsidRPr="00EC02CA">
        <w:rPr>
          <w:noProof/>
        </w:rPr>
        <w:tab/>
      </w:r>
      <w:r w:rsidRPr="00EC02CA">
        <w:rPr>
          <w:noProof/>
        </w:rPr>
        <w:fldChar w:fldCharType="begin"/>
      </w:r>
      <w:r w:rsidRPr="00EC02CA">
        <w:rPr>
          <w:noProof/>
        </w:rPr>
        <w:instrText xml:space="preserve"> PAGEREF _Toc218157354 \h </w:instrText>
      </w:r>
      <w:r w:rsidRPr="00EC02CA">
        <w:rPr>
          <w:noProof/>
        </w:rPr>
      </w:r>
      <w:r w:rsidRPr="00EC02CA">
        <w:rPr>
          <w:noProof/>
        </w:rPr>
        <w:fldChar w:fldCharType="separate"/>
      </w:r>
      <w:r w:rsidR="007D7830">
        <w:rPr>
          <w:noProof/>
        </w:rPr>
        <w:t>127</w:t>
      </w:r>
      <w:r w:rsidRPr="00EC02CA">
        <w:rPr>
          <w:noProof/>
        </w:rPr>
        <w:fldChar w:fldCharType="end"/>
      </w:r>
    </w:p>
    <w:p w14:paraId="411E6E84" w14:textId="2840DC8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 xml:space="preserve">Powers of under the </w:t>
      </w:r>
      <w:r w:rsidRPr="00EC02CA">
        <w:rPr>
          <w:i/>
          <w:iCs/>
          <w:noProof/>
        </w:rPr>
        <w:t xml:space="preserve">Youth Justice Act 1997 </w:t>
      </w:r>
      <w:r w:rsidRPr="00EC02CA">
        <w:rPr>
          <w:noProof/>
        </w:rPr>
        <w:t>(Tas) for the court</w:t>
      </w:r>
      <w:r w:rsidRPr="00EC02CA">
        <w:rPr>
          <w:i/>
          <w:iCs/>
          <w:noProof/>
        </w:rPr>
        <w:t xml:space="preserve"> </w:t>
      </w:r>
      <w:r w:rsidRPr="00EC02CA">
        <w:rPr>
          <w:noProof/>
        </w:rPr>
        <w:t>to divert a young person</w:t>
      </w:r>
      <w:r w:rsidRPr="00EC02CA">
        <w:rPr>
          <w:noProof/>
        </w:rPr>
        <w:tab/>
      </w:r>
      <w:r w:rsidRPr="00EC02CA">
        <w:rPr>
          <w:noProof/>
        </w:rPr>
        <w:fldChar w:fldCharType="begin"/>
      </w:r>
      <w:r w:rsidRPr="00EC02CA">
        <w:rPr>
          <w:noProof/>
        </w:rPr>
        <w:instrText xml:space="preserve"> PAGEREF _Toc218157355 \h </w:instrText>
      </w:r>
      <w:r w:rsidRPr="00EC02CA">
        <w:rPr>
          <w:noProof/>
        </w:rPr>
      </w:r>
      <w:r w:rsidRPr="00EC02CA">
        <w:rPr>
          <w:noProof/>
        </w:rPr>
        <w:fldChar w:fldCharType="separate"/>
      </w:r>
      <w:r w:rsidR="007D7830">
        <w:rPr>
          <w:noProof/>
        </w:rPr>
        <w:t>129</w:t>
      </w:r>
      <w:r w:rsidRPr="00EC02CA">
        <w:rPr>
          <w:noProof/>
        </w:rPr>
        <w:fldChar w:fldCharType="end"/>
      </w:r>
    </w:p>
    <w:p w14:paraId="47829864" w14:textId="1A570654"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Sentencing on the Youth Justice Division</w:t>
      </w:r>
      <w:r w:rsidRPr="00EC02CA">
        <w:rPr>
          <w:noProof/>
        </w:rPr>
        <w:tab/>
      </w:r>
      <w:r w:rsidRPr="00EC02CA">
        <w:rPr>
          <w:noProof/>
        </w:rPr>
        <w:fldChar w:fldCharType="begin"/>
      </w:r>
      <w:r w:rsidRPr="00EC02CA">
        <w:rPr>
          <w:noProof/>
        </w:rPr>
        <w:instrText xml:space="preserve"> PAGEREF _Toc218157356 \h </w:instrText>
      </w:r>
      <w:r w:rsidRPr="00EC02CA">
        <w:rPr>
          <w:noProof/>
        </w:rPr>
      </w:r>
      <w:r w:rsidRPr="00EC02CA">
        <w:rPr>
          <w:noProof/>
        </w:rPr>
        <w:fldChar w:fldCharType="separate"/>
      </w:r>
      <w:r w:rsidR="007D7830">
        <w:rPr>
          <w:noProof/>
        </w:rPr>
        <w:t>129</w:t>
      </w:r>
      <w:r w:rsidRPr="00EC02CA">
        <w:rPr>
          <w:noProof/>
        </w:rPr>
        <w:fldChar w:fldCharType="end"/>
      </w:r>
    </w:p>
    <w:p w14:paraId="781D1761" w14:textId="1B816261"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Sentencing young people for sexual offences in the Youth Justice Division</w:t>
      </w:r>
      <w:r w:rsidRPr="00EC02CA">
        <w:rPr>
          <w:noProof/>
        </w:rPr>
        <w:tab/>
      </w:r>
      <w:r w:rsidRPr="00EC02CA">
        <w:rPr>
          <w:noProof/>
        </w:rPr>
        <w:fldChar w:fldCharType="begin"/>
      </w:r>
      <w:r w:rsidRPr="00EC02CA">
        <w:rPr>
          <w:noProof/>
        </w:rPr>
        <w:instrText xml:space="preserve"> PAGEREF _Toc218157357 \h </w:instrText>
      </w:r>
      <w:r w:rsidRPr="00EC02CA">
        <w:rPr>
          <w:noProof/>
        </w:rPr>
      </w:r>
      <w:r w:rsidRPr="00EC02CA">
        <w:rPr>
          <w:noProof/>
        </w:rPr>
        <w:fldChar w:fldCharType="separate"/>
      </w:r>
      <w:r w:rsidR="007D7830">
        <w:rPr>
          <w:noProof/>
        </w:rPr>
        <w:t>130</w:t>
      </w:r>
      <w:r w:rsidRPr="00EC02CA">
        <w:rPr>
          <w:noProof/>
        </w:rPr>
        <w:fldChar w:fldCharType="end"/>
      </w:r>
    </w:p>
    <w:p w14:paraId="0F16E964" w14:textId="3DC4DB0C"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8.3</w:t>
      </w:r>
      <w:r w:rsidRPr="00EC02CA">
        <w:rPr>
          <w:rFonts w:asciiTheme="minorHAnsi" w:eastAsiaTheme="minorEastAsia" w:hAnsiTheme="minorHAnsi"/>
          <w:noProof/>
          <w:kern w:val="2"/>
          <w:sz w:val="24"/>
          <w:lang w:eastAsia="en-GB"/>
          <w14:ligatures w14:val="standardContextual"/>
        </w:rPr>
        <w:tab/>
      </w:r>
      <w:r w:rsidRPr="00EC02CA">
        <w:rPr>
          <w:noProof/>
        </w:rPr>
        <w:t>The Supreme Court</w:t>
      </w:r>
      <w:r w:rsidRPr="00EC02CA">
        <w:rPr>
          <w:noProof/>
        </w:rPr>
        <w:tab/>
      </w:r>
      <w:r w:rsidRPr="00EC02CA">
        <w:rPr>
          <w:noProof/>
        </w:rPr>
        <w:fldChar w:fldCharType="begin"/>
      </w:r>
      <w:r w:rsidRPr="00EC02CA">
        <w:rPr>
          <w:noProof/>
        </w:rPr>
        <w:instrText xml:space="preserve"> PAGEREF _Toc218157358 \h </w:instrText>
      </w:r>
      <w:r w:rsidRPr="00EC02CA">
        <w:rPr>
          <w:noProof/>
        </w:rPr>
      </w:r>
      <w:r w:rsidRPr="00EC02CA">
        <w:rPr>
          <w:noProof/>
        </w:rPr>
        <w:fldChar w:fldCharType="separate"/>
      </w:r>
      <w:r w:rsidR="007D7830">
        <w:rPr>
          <w:noProof/>
        </w:rPr>
        <w:t>131</w:t>
      </w:r>
      <w:r w:rsidRPr="00EC02CA">
        <w:rPr>
          <w:noProof/>
        </w:rPr>
        <w:fldChar w:fldCharType="end"/>
      </w:r>
    </w:p>
    <w:p w14:paraId="7D044C42" w14:textId="53589915"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Jurisdiction</w:t>
      </w:r>
      <w:r w:rsidRPr="00EC02CA">
        <w:rPr>
          <w:noProof/>
        </w:rPr>
        <w:tab/>
      </w:r>
      <w:r w:rsidRPr="00EC02CA">
        <w:rPr>
          <w:noProof/>
        </w:rPr>
        <w:fldChar w:fldCharType="begin"/>
      </w:r>
      <w:r w:rsidRPr="00EC02CA">
        <w:rPr>
          <w:noProof/>
        </w:rPr>
        <w:instrText xml:space="preserve"> PAGEREF _Toc218157359 \h </w:instrText>
      </w:r>
      <w:r w:rsidRPr="00EC02CA">
        <w:rPr>
          <w:noProof/>
        </w:rPr>
      </w:r>
      <w:r w:rsidRPr="00EC02CA">
        <w:rPr>
          <w:noProof/>
        </w:rPr>
        <w:fldChar w:fldCharType="separate"/>
      </w:r>
      <w:r w:rsidR="007D7830">
        <w:rPr>
          <w:noProof/>
        </w:rPr>
        <w:t>131</w:t>
      </w:r>
      <w:r w:rsidRPr="00EC02CA">
        <w:rPr>
          <w:noProof/>
        </w:rPr>
        <w:fldChar w:fldCharType="end"/>
      </w:r>
    </w:p>
    <w:p w14:paraId="28EE8341" w14:textId="51110879"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Young people finalised in the Supreme Court for sexual offences</w:t>
      </w:r>
      <w:r w:rsidRPr="00EC02CA">
        <w:rPr>
          <w:noProof/>
        </w:rPr>
        <w:tab/>
      </w:r>
      <w:r w:rsidRPr="00EC02CA">
        <w:rPr>
          <w:noProof/>
        </w:rPr>
        <w:fldChar w:fldCharType="begin"/>
      </w:r>
      <w:r w:rsidRPr="00EC02CA">
        <w:rPr>
          <w:noProof/>
        </w:rPr>
        <w:instrText xml:space="preserve"> PAGEREF _Toc218157360 \h </w:instrText>
      </w:r>
      <w:r w:rsidRPr="00EC02CA">
        <w:rPr>
          <w:noProof/>
        </w:rPr>
      </w:r>
      <w:r w:rsidRPr="00EC02CA">
        <w:rPr>
          <w:noProof/>
        </w:rPr>
        <w:fldChar w:fldCharType="separate"/>
      </w:r>
      <w:r w:rsidR="007D7830">
        <w:rPr>
          <w:noProof/>
        </w:rPr>
        <w:t>131</w:t>
      </w:r>
      <w:r w:rsidRPr="00EC02CA">
        <w:rPr>
          <w:noProof/>
        </w:rPr>
        <w:fldChar w:fldCharType="end"/>
      </w:r>
    </w:p>
    <w:p w14:paraId="612E1114" w14:textId="3E242FBC"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Powers of diversion for young offenders in the Supreme Court</w:t>
      </w:r>
      <w:r w:rsidRPr="00EC02CA">
        <w:rPr>
          <w:noProof/>
        </w:rPr>
        <w:tab/>
      </w:r>
      <w:r w:rsidRPr="00EC02CA">
        <w:rPr>
          <w:noProof/>
        </w:rPr>
        <w:fldChar w:fldCharType="begin"/>
      </w:r>
      <w:r w:rsidRPr="00EC02CA">
        <w:rPr>
          <w:noProof/>
        </w:rPr>
        <w:instrText xml:space="preserve"> PAGEREF _Toc218157361 \h </w:instrText>
      </w:r>
      <w:r w:rsidRPr="00EC02CA">
        <w:rPr>
          <w:noProof/>
        </w:rPr>
      </w:r>
      <w:r w:rsidRPr="00EC02CA">
        <w:rPr>
          <w:noProof/>
        </w:rPr>
        <w:fldChar w:fldCharType="separate"/>
      </w:r>
      <w:r w:rsidR="007D7830">
        <w:rPr>
          <w:noProof/>
        </w:rPr>
        <w:t>133</w:t>
      </w:r>
      <w:r w:rsidRPr="00EC02CA">
        <w:rPr>
          <w:noProof/>
        </w:rPr>
        <w:fldChar w:fldCharType="end"/>
      </w:r>
    </w:p>
    <w:p w14:paraId="3F521C82" w14:textId="1E784DBD"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 xml:space="preserve">Sentencing under the </w:t>
      </w:r>
      <w:r w:rsidRPr="00EC02CA">
        <w:rPr>
          <w:i/>
          <w:iCs/>
          <w:noProof/>
        </w:rPr>
        <w:t xml:space="preserve">Sentencing Act 1997 </w:t>
      </w:r>
      <w:r w:rsidRPr="00EC02CA">
        <w:rPr>
          <w:noProof/>
        </w:rPr>
        <w:t>(Tas)</w:t>
      </w:r>
      <w:r w:rsidRPr="00EC02CA">
        <w:rPr>
          <w:noProof/>
        </w:rPr>
        <w:tab/>
      </w:r>
      <w:r w:rsidRPr="00EC02CA">
        <w:rPr>
          <w:noProof/>
        </w:rPr>
        <w:fldChar w:fldCharType="begin"/>
      </w:r>
      <w:r w:rsidRPr="00EC02CA">
        <w:rPr>
          <w:noProof/>
        </w:rPr>
        <w:instrText xml:space="preserve"> PAGEREF _Toc218157362 \h </w:instrText>
      </w:r>
      <w:r w:rsidRPr="00EC02CA">
        <w:rPr>
          <w:noProof/>
        </w:rPr>
      </w:r>
      <w:r w:rsidRPr="00EC02CA">
        <w:rPr>
          <w:noProof/>
        </w:rPr>
        <w:fldChar w:fldCharType="separate"/>
      </w:r>
      <w:r w:rsidR="007D7830">
        <w:rPr>
          <w:noProof/>
        </w:rPr>
        <w:t>134</w:t>
      </w:r>
      <w:r w:rsidRPr="00EC02CA">
        <w:rPr>
          <w:noProof/>
        </w:rPr>
        <w:fldChar w:fldCharType="end"/>
      </w:r>
    </w:p>
    <w:p w14:paraId="4C1C84D0" w14:textId="43105205"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Sentencing young people for sexual offences in the Supreme Court</w:t>
      </w:r>
      <w:r w:rsidRPr="00EC02CA">
        <w:rPr>
          <w:noProof/>
        </w:rPr>
        <w:tab/>
      </w:r>
      <w:r w:rsidRPr="00EC02CA">
        <w:rPr>
          <w:noProof/>
        </w:rPr>
        <w:fldChar w:fldCharType="begin"/>
      </w:r>
      <w:r w:rsidRPr="00EC02CA">
        <w:rPr>
          <w:noProof/>
        </w:rPr>
        <w:instrText xml:space="preserve"> PAGEREF _Toc218157363 \h </w:instrText>
      </w:r>
      <w:r w:rsidRPr="00EC02CA">
        <w:rPr>
          <w:noProof/>
        </w:rPr>
      </w:r>
      <w:r w:rsidRPr="00EC02CA">
        <w:rPr>
          <w:noProof/>
        </w:rPr>
        <w:fldChar w:fldCharType="separate"/>
      </w:r>
      <w:r w:rsidR="007D7830">
        <w:rPr>
          <w:noProof/>
        </w:rPr>
        <w:t>136</w:t>
      </w:r>
      <w:r w:rsidRPr="00EC02CA">
        <w:rPr>
          <w:noProof/>
        </w:rPr>
        <w:fldChar w:fldCharType="end"/>
      </w:r>
    </w:p>
    <w:p w14:paraId="7D1FF461" w14:textId="57B96399"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8.4</w:t>
      </w:r>
      <w:r w:rsidRPr="00EC02CA">
        <w:rPr>
          <w:rFonts w:asciiTheme="minorHAnsi" w:eastAsiaTheme="minorEastAsia" w:hAnsiTheme="minorHAnsi"/>
          <w:noProof/>
          <w:kern w:val="2"/>
          <w:sz w:val="24"/>
          <w:lang w:eastAsia="en-GB"/>
          <w14:ligatures w14:val="standardContextual"/>
        </w:rPr>
        <w:tab/>
      </w:r>
      <w:r w:rsidRPr="00EC02CA">
        <w:rPr>
          <w:noProof/>
        </w:rPr>
        <w:t>Community Protection Offender Register</w:t>
      </w:r>
      <w:r w:rsidRPr="00EC02CA">
        <w:rPr>
          <w:noProof/>
        </w:rPr>
        <w:tab/>
      </w:r>
      <w:r w:rsidRPr="00EC02CA">
        <w:rPr>
          <w:noProof/>
        </w:rPr>
        <w:fldChar w:fldCharType="begin"/>
      </w:r>
      <w:r w:rsidRPr="00EC02CA">
        <w:rPr>
          <w:noProof/>
        </w:rPr>
        <w:instrText xml:space="preserve"> PAGEREF _Toc218157364 \h </w:instrText>
      </w:r>
      <w:r w:rsidRPr="00EC02CA">
        <w:rPr>
          <w:noProof/>
        </w:rPr>
      </w:r>
      <w:r w:rsidRPr="00EC02CA">
        <w:rPr>
          <w:noProof/>
        </w:rPr>
        <w:fldChar w:fldCharType="separate"/>
      </w:r>
      <w:r w:rsidR="007D7830">
        <w:rPr>
          <w:noProof/>
        </w:rPr>
        <w:t>139</w:t>
      </w:r>
      <w:r w:rsidRPr="00EC02CA">
        <w:rPr>
          <w:noProof/>
        </w:rPr>
        <w:fldChar w:fldCharType="end"/>
      </w:r>
    </w:p>
    <w:p w14:paraId="4DEF1EC1" w14:textId="62014A44"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8.5</w:t>
      </w:r>
      <w:r w:rsidRPr="00EC02CA">
        <w:rPr>
          <w:rFonts w:asciiTheme="minorHAnsi" w:eastAsiaTheme="minorEastAsia" w:hAnsiTheme="minorHAnsi"/>
          <w:noProof/>
          <w:kern w:val="2"/>
          <w:sz w:val="24"/>
          <w:lang w:eastAsia="en-GB"/>
          <w14:ligatures w14:val="standardContextual"/>
        </w:rPr>
        <w:tab/>
      </w:r>
      <w:r w:rsidRPr="00EC02CA">
        <w:rPr>
          <w:noProof/>
        </w:rPr>
        <w:t>Consequences of a conviction or a finding of guilt</w:t>
      </w:r>
      <w:r w:rsidRPr="00EC02CA">
        <w:rPr>
          <w:noProof/>
        </w:rPr>
        <w:tab/>
      </w:r>
      <w:r w:rsidRPr="00EC02CA">
        <w:rPr>
          <w:noProof/>
        </w:rPr>
        <w:fldChar w:fldCharType="begin"/>
      </w:r>
      <w:r w:rsidRPr="00EC02CA">
        <w:rPr>
          <w:noProof/>
        </w:rPr>
        <w:instrText xml:space="preserve"> PAGEREF _Toc218157365 \h </w:instrText>
      </w:r>
      <w:r w:rsidRPr="00EC02CA">
        <w:rPr>
          <w:noProof/>
        </w:rPr>
      </w:r>
      <w:r w:rsidRPr="00EC02CA">
        <w:rPr>
          <w:noProof/>
        </w:rPr>
        <w:fldChar w:fldCharType="separate"/>
      </w:r>
      <w:r w:rsidR="007D7830">
        <w:rPr>
          <w:noProof/>
        </w:rPr>
        <w:t>140</w:t>
      </w:r>
      <w:r w:rsidRPr="00EC02CA">
        <w:rPr>
          <w:noProof/>
        </w:rPr>
        <w:fldChar w:fldCharType="end"/>
      </w:r>
    </w:p>
    <w:p w14:paraId="697BB325" w14:textId="7F1F2E6F"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8.6</w:t>
      </w:r>
      <w:r w:rsidRPr="00EC02CA">
        <w:rPr>
          <w:rFonts w:asciiTheme="minorHAnsi" w:eastAsiaTheme="minorEastAsia" w:hAnsiTheme="minorHAnsi"/>
          <w:noProof/>
          <w:kern w:val="2"/>
          <w:sz w:val="24"/>
          <w:lang w:eastAsia="en-GB"/>
          <w14:ligatures w14:val="standardContextual"/>
        </w:rPr>
        <w:tab/>
      </w:r>
      <w:r w:rsidRPr="00EC02CA">
        <w:rPr>
          <w:noProof/>
        </w:rPr>
        <w:t>TLRI interviewees’ views</w:t>
      </w:r>
      <w:r w:rsidRPr="00EC02CA">
        <w:rPr>
          <w:noProof/>
        </w:rPr>
        <w:tab/>
      </w:r>
      <w:r w:rsidRPr="00EC02CA">
        <w:rPr>
          <w:noProof/>
        </w:rPr>
        <w:fldChar w:fldCharType="begin"/>
      </w:r>
      <w:r w:rsidRPr="00EC02CA">
        <w:rPr>
          <w:noProof/>
        </w:rPr>
        <w:instrText xml:space="preserve"> PAGEREF _Toc218157366 \h </w:instrText>
      </w:r>
      <w:r w:rsidRPr="00EC02CA">
        <w:rPr>
          <w:noProof/>
        </w:rPr>
      </w:r>
      <w:r w:rsidRPr="00EC02CA">
        <w:rPr>
          <w:noProof/>
        </w:rPr>
        <w:fldChar w:fldCharType="separate"/>
      </w:r>
      <w:r w:rsidR="007D7830">
        <w:rPr>
          <w:noProof/>
        </w:rPr>
        <w:t>141</w:t>
      </w:r>
      <w:r w:rsidRPr="00EC02CA">
        <w:rPr>
          <w:noProof/>
        </w:rPr>
        <w:fldChar w:fldCharType="end"/>
      </w:r>
    </w:p>
    <w:p w14:paraId="499474E6" w14:textId="017EC380"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8.7</w:t>
      </w:r>
      <w:r w:rsidRPr="00EC02CA">
        <w:rPr>
          <w:rFonts w:asciiTheme="minorHAnsi" w:eastAsiaTheme="minorEastAsia" w:hAnsiTheme="minorHAnsi"/>
          <w:noProof/>
          <w:kern w:val="2"/>
          <w:sz w:val="24"/>
          <w:lang w:eastAsia="en-GB"/>
          <w14:ligatures w14:val="standardContextual"/>
        </w:rPr>
        <w:tab/>
      </w:r>
      <w:r w:rsidRPr="00EC02CA">
        <w:rPr>
          <w:noProof/>
        </w:rPr>
        <w:t>The Commission of Inquiry and government response</w:t>
      </w:r>
      <w:r w:rsidRPr="00EC02CA">
        <w:rPr>
          <w:noProof/>
        </w:rPr>
        <w:tab/>
      </w:r>
      <w:r w:rsidRPr="00EC02CA">
        <w:rPr>
          <w:noProof/>
        </w:rPr>
        <w:fldChar w:fldCharType="begin"/>
      </w:r>
      <w:r w:rsidRPr="00EC02CA">
        <w:rPr>
          <w:noProof/>
        </w:rPr>
        <w:instrText xml:space="preserve"> PAGEREF _Toc218157367 \h </w:instrText>
      </w:r>
      <w:r w:rsidRPr="00EC02CA">
        <w:rPr>
          <w:noProof/>
        </w:rPr>
      </w:r>
      <w:r w:rsidRPr="00EC02CA">
        <w:rPr>
          <w:noProof/>
        </w:rPr>
        <w:fldChar w:fldCharType="separate"/>
      </w:r>
      <w:r w:rsidR="007D7830">
        <w:rPr>
          <w:noProof/>
        </w:rPr>
        <w:t>142</w:t>
      </w:r>
      <w:r w:rsidRPr="00EC02CA">
        <w:rPr>
          <w:noProof/>
        </w:rPr>
        <w:fldChar w:fldCharType="end"/>
      </w:r>
    </w:p>
    <w:p w14:paraId="5F5568F4" w14:textId="7137FA27" w:rsidR="002C7BBC" w:rsidRPr="00EC02CA" w:rsidRDefault="002C7BBC">
      <w:pPr>
        <w:pStyle w:val="TOC2"/>
        <w:tabs>
          <w:tab w:val="right" w:leader="dot" w:pos="9016"/>
        </w:tabs>
        <w:rPr>
          <w:rFonts w:asciiTheme="minorHAnsi" w:eastAsiaTheme="minorEastAsia" w:hAnsiTheme="minorHAnsi"/>
          <w:noProof/>
          <w:kern w:val="2"/>
          <w:sz w:val="24"/>
          <w:lang w:eastAsia="en-GB"/>
          <w14:ligatures w14:val="standardContextual"/>
        </w:rPr>
      </w:pPr>
      <w:r w:rsidRPr="00EC02CA">
        <w:rPr>
          <w:noProof/>
        </w:rPr>
        <w:t>8.8</w:t>
      </w:r>
      <w:r w:rsidRPr="00EC02CA">
        <w:rPr>
          <w:rFonts w:asciiTheme="minorHAnsi" w:eastAsiaTheme="minorEastAsia" w:hAnsiTheme="minorHAnsi"/>
          <w:noProof/>
          <w:kern w:val="2"/>
          <w:sz w:val="24"/>
          <w:lang w:eastAsia="en-GB"/>
          <w14:ligatures w14:val="standardContextual"/>
        </w:rPr>
        <w:tab/>
      </w:r>
      <w:r w:rsidRPr="00EC02CA">
        <w:rPr>
          <w:noProof/>
        </w:rPr>
        <w:t>TLRI views and recommendations</w:t>
      </w:r>
      <w:r w:rsidRPr="00EC02CA">
        <w:rPr>
          <w:noProof/>
        </w:rPr>
        <w:tab/>
      </w:r>
      <w:r w:rsidRPr="00EC02CA">
        <w:rPr>
          <w:noProof/>
        </w:rPr>
        <w:fldChar w:fldCharType="begin"/>
      </w:r>
      <w:r w:rsidRPr="00EC02CA">
        <w:rPr>
          <w:noProof/>
        </w:rPr>
        <w:instrText xml:space="preserve"> PAGEREF _Toc218157368 \h </w:instrText>
      </w:r>
      <w:r w:rsidRPr="00EC02CA">
        <w:rPr>
          <w:noProof/>
        </w:rPr>
      </w:r>
      <w:r w:rsidRPr="00EC02CA">
        <w:rPr>
          <w:noProof/>
        </w:rPr>
        <w:fldChar w:fldCharType="separate"/>
      </w:r>
      <w:r w:rsidR="007D7830">
        <w:rPr>
          <w:noProof/>
        </w:rPr>
        <w:t>143</w:t>
      </w:r>
      <w:r w:rsidRPr="00EC02CA">
        <w:rPr>
          <w:noProof/>
        </w:rPr>
        <w:fldChar w:fldCharType="end"/>
      </w:r>
    </w:p>
    <w:p w14:paraId="6AA84AD4" w14:textId="7BB10E72"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Addressing delay</w:t>
      </w:r>
      <w:r w:rsidRPr="00EC02CA">
        <w:rPr>
          <w:noProof/>
        </w:rPr>
        <w:tab/>
      </w:r>
      <w:r w:rsidRPr="00EC02CA">
        <w:rPr>
          <w:noProof/>
        </w:rPr>
        <w:fldChar w:fldCharType="begin"/>
      </w:r>
      <w:r w:rsidRPr="00EC02CA">
        <w:rPr>
          <w:noProof/>
        </w:rPr>
        <w:instrText xml:space="preserve"> PAGEREF _Toc218157369 \h </w:instrText>
      </w:r>
      <w:r w:rsidRPr="00EC02CA">
        <w:rPr>
          <w:noProof/>
        </w:rPr>
      </w:r>
      <w:r w:rsidRPr="00EC02CA">
        <w:rPr>
          <w:noProof/>
        </w:rPr>
        <w:fldChar w:fldCharType="separate"/>
      </w:r>
      <w:r w:rsidR="007D7830">
        <w:rPr>
          <w:noProof/>
        </w:rPr>
        <w:t>143</w:t>
      </w:r>
      <w:r w:rsidRPr="00EC02CA">
        <w:rPr>
          <w:noProof/>
        </w:rPr>
        <w:fldChar w:fldCharType="end"/>
      </w:r>
    </w:p>
    <w:p w14:paraId="554BA053" w14:textId="319E9430"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Diversion</w:t>
      </w:r>
      <w:r w:rsidRPr="00EC02CA">
        <w:rPr>
          <w:noProof/>
        </w:rPr>
        <w:tab/>
      </w:r>
      <w:r w:rsidRPr="00EC02CA">
        <w:rPr>
          <w:noProof/>
        </w:rPr>
        <w:fldChar w:fldCharType="begin"/>
      </w:r>
      <w:r w:rsidRPr="00EC02CA">
        <w:rPr>
          <w:noProof/>
        </w:rPr>
        <w:instrText xml:space="preserve"> PAGEREF _Toc218157370 \h </w:instrText>
      </w:r>
      <w:r w:rsidRPr="00EC02CA">
        <w:rPr>
          <w:noProof/>
        </w:rPr>
      </w:r>
      <w:r w:rsidRPr="00EC02CA">
        <w:rPr>
          <w:noProof/>
        </w:rPr>
        <w:fldChar w:fldCharType="separate"/>
      </w:r>
      <w:r w:rsidR="007D7830">
        <w:rPr>
          <w:noProof/>
        </w:rPr>
        <w:t>144</w:t>
      </w:r>
      <w:r w:rsidRPr="00EC02CA">
        <w:rPr>
          <w:noProof/>
        </w:rPr>
        <w:fldChar w:fldCharType="end"/>
      </w:r>
    </w:p>
    <w:p w14:paraId="51526CEA" w14:textId="5C15F303"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Diversion to community conference/restorative processes</w:t>
      </w:r>
      <w:r w:rsidRPr="00EC02CA">
        <w:rPr>
          <w:noProof/>
        </w:rPr>
        <w:tab/>
      </w:r>
      <w:r w:rsidRPr="00EC02CA">
        <w:rPr>
          <w:noProof/>
        </w:rPr>
        <w:fldChar w:fldCharType="begin"/>
      </w:r>
      <w:r w:rsidRPr="00EC02CA">
        <w:rPr>
          <w:noProof/>
        </w:rPr>
        <w:instrText xml:space="preserve"> PAGEREF _Toc218157371 \h </w:instrText>
      </w:r>
      <w:r w:rsidRPr="00EC02CA">
        <w:rPr>
          <w:noProof/>
        </w:rPr>
      </w:r>
      <w:r w:rsidRPr="00EC02CA">
        <w:rPr>
          <w:noProof/>
        </w:rPr>
        <w:fldChar w:fldCharType="separate"/>
      </w:r>
      <w:r w:rsidR="007D7830">
        <w:rPr>
          <w:noProof/>
        </w:rPr>
        <w:t>144</w:t>
      </w:r>
      <w:r w:rsidRPr="00EC02CA">
        <w:rPr>
          <w:noProof/>
        </w:rPr>
        <w:fldChar w:fldCharType="end"/>
      </w:r>
    </w:p>
    <w:p w14:paraId="622921E6" w14:textId="38D5AD47"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Diversion to therapeutic services</w:t>
      </w:r>
      <w:r w:rsidRPr="00EC02CA">
        <w:rPr>
          <w:noProof/>
        </w:rPr>
        <w:tab/>
      </w:r>
      <w:r w:rsidRPr="00EC02CA">
        <w:rPr>
          <w:noProof/>
        </w:rPr>
        <w:fldChar w:fldCharType="begin"/>
      </w:r>
      <w:r w:rsidRPr="00EC02CA">
        <w:rPr>
          <w:noProof/>
        </w:rPr>
        <w:instrText xml:space="preserve"> PAGEREF _Toc218157372 \h </w:instrText>
      </w:r>
      <w:r w:rsidRPr="00EC02CA">
        <w:rPr>
          <w:noProof/>
        </w:rPr>
      </w:r>
      <w:r w:rsidRPr="00EC02CA">
        <w:rPr>
          <w:noProof/>
        </w:rPr>
        <w:fldChar w:fldCharType="separate"/>
      </w:r>
      <w:r w:rsidR="007D7830">
        <w:rPr>
          <w:noProof/>
        </w:rPr>
        <w:t>145</w:t>
      </w:r>
      <w:r w:rsidRPr="00EC02CA">
        <w:rPr>
          <w:noProof/>
        </w:rPr>
        <w:fldChar w:fldCharType="end"/>
      </w:r>
    </w:p>
    <w:p w14:paraId="5F066D0A" w14:textId="61C50184"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Sentencing orders</w:t>
      </w:r>
      <w:r w:rsidRPr="00EC02CA">
        <w:rPr>
          <w:noProof/>
        </w:rPr>
        <w:tab/>
      </w:r>
      <w:r w:rsidRPr="00EC02CA">
        <w:rPr>
          <w:noProof/>
        </w:rPr>
        <w:fldChar w:fldCharType="begin"/>
      </w:r>
      <w:r w:rsidRPr="00EC02CA">
        <w:rPr>
          <w:noProof/>
        </w:rPr>
        <w:instrText xml:space="preserve"> PAGEREF _Toc218157373 \h </w:instrText>
      </w:r>
      <w:r w:rsidRPr="00EC02CA">
        <w:rPr>
          <w:noProof/>
        </w:rPr>
      </w:r>
      <w:r w:rsidRPr="00EC02CA">
        <w:rPr>
          <w:noProof/>
        </w:rPr>
        <w:fldChar w:fldCharType="separate"/>
      </w:r>
      <w:r w:rsidR="007D7830">
        <w:rPr>
          <w:noProof/>
        </w:rPr>
        <w:t>147</w:t>
      </w:r>
      <w:r w:rsidRPr="00EC02CA">
        <w:rPr>
          <w:noProof/>
        </w:rPr>
        <w:fldChar w:fldCharType="end"/>
      </w:r>
    </w:p>
    <w:p w14:paraId="1491F579" w14:textId="4308BB66"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Witness intermediaries</w:t>
      </w:r>
      <w:r w:rsidRPr="00EC02CA">
        <w:rPr>
          <w:noProof/>
        </w:rPr>
        <w:tab/>
      </w:r>
      <w:r w:rsidRPr="00EC02CA">
        <w:rPr>
          <w:noProof/>
        </w:rPr>
        <w:fldChar w:fldCharType="begin"/>
      </w:r>
      <w:r w:rsidRPr="00EC02CA">
        <w:rPr>
          <w:noProof/>
        </w:rPr>
        <w:instrText xml:space="preserve"> PAGEREF _Toc218157374 \h </w:instrText>
      </w:r>
      <w:r w:rsidRPr="00EC02CA">
        <w:rPr>
          <w:noProof/>
        </w:rPr>
      </w:r>
      <w:r w:rsidRPr="00EC02CA">
        <w:rPr>
          <w:noProof/>
        </w:rPr>
        <w:fldChar w:fldCharType="separate"/>
      </w:r>
      <w:r w:rsidR="007D7830">
        <w:rPr>
          <w:noProof/>
        </w:rPr>
        <w:t>147</w:t>
      </w:r>
      <w:r w:rsidRPr="00EC02CA">
        <w:rPr>
          <w:noProof/>
        </w:rPr>
        <w:fldChar w:fldCharType="end"/>
      </w:r>
    </w:p>
    <w:p w14:paraId="3E82D875" w14:textId="3C403A23"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Reportable offender registration</w:t>
      </w:r>
      <w:r w:rsidRPr="00EC02CA">
        <w:rPr>
          <w:noProof/>
        </w:rPr>
        <w:tab/>
      </w:r>
      <w:r w:rsidRPr="00EC02CA">
        <w:rPr>
          <w:noProof/>
        </w:rPr>
        <w:fldChar w:fldCharType="begin"/>
      </w:r>
      <w:r w:rsidRPr="00EC02CA">
        <w:rPr>
          <w:noProof/>
        </w:rPr>
        <w:instrText xml:space="preserve"> PAGEREF _Toc218157375 \h </w:instrText>
      </w:r>
      <w:r w:rsidRPr="00EC02CA">
        <w:rPr>
          <w:noProof/>
        </w:rPr>
      </w:r>
      <w:r w:rsidRPr="00EC02CA">
        <w:rPr>
          <w:noProof/>
        </w:rPr>
        <w:fldChar w:fldCharType="separate"/>
      </w:r>
      <w:r w:rsidR="007D7830">
        <w:rPr>
          <w:noProof/>
        </w:rPr>
        <w:t>148</w:t>
      </w:r>
      <w:r w:rsidRPr="00EC02CA">
        <w:rPr>
          <w:noProof/>
        </w:rPr>
        <w:fldChar w:fldCharType="end"/>
      </w:r>
    </w:p>
    <w:p w14:paraId="3CB6CE81" w14:textId="1F2E1F24" w:rsidR="002C7BBC" w:rsidRPr="00EC02CA" w:rsidRDefault="002C7BBC">
      <w:pPr>
        <w:pStyle w:val="TOC3"/>
        <w:tabs>
          <w:tab w:val="right" w:leader="dot" w:pos="9016"/>
        </w:tabs>
        <w:rPr>
          <w:rFonts w:asciiTheme="minorHAnsi" w:eastAsiaTheme="minorEastAsia" w:hAnsiTheme="minorHAnsi" w:cstheme="minorBidi"/>
          <w:noProof/>
          <w:kern w:val="2"/>
          <w:sz w:val="24"/>
          <w:lang w:eastAsia="en-GB"/>
          <w14:ligatures w14:val="standardContextual"/>
        </w:rPr>
      </w:pPr>
      <w:r w:rsidRPr="00EC02CA">
        <w:rPr>
          <w:noProof/>
        </w:rPr>
        <w:t>Recommendations</w:t>
      </w:r>
      <w:r w:rsidRPr="00EC02CA">
        <w:rPr>
          <w:noProof/>
        </w:rPr>
        <w:tab/>
      </w:r>
      <w:r w:rsidRPr="00EC02CA">
        <w:rPr>
          <w:noProof/>
        </w:rPr>
        <w:fldChar w:fldCharType="begin"/>
      </w:r>
      <w:r w:rsidRPr="00EC02CA">
        <w:rPr>
          <w:noProof/>
        </w:rPr>
        <w:instrText xml:space="preserve"> PAGEREF _Toc218157376 \h </w:instrText>
      </w:r>
      <w:r w:rsidRPr="00EC02CA">
        <w:rPr>
          <w:noProof/>
        </w:rPr>
      </w:r>
      <w:r w:rsidRPr="00EC02CA">
        <w:rPr>
          <w:noProof/>
        </w:rPr>
        <w:fldChar w:fldCharType="separate"/>
      </w:r>
      <w:r w:rsidR="007D7830">
        <w:rPr>
          <w:noProof/>
        </w:rPr>
        <w:t>149</w:t>
      </w:r>
      <w:r w:rsidRPr="00EC02CA">
        <w:rPr>
          <w:noProof/>
        </w:rPr>
        <w:fldChar w:fldCharType="end"/>
      </w:r>
    </w:p>
    <w:p w14:paraId="4C1D0813" w14:textId="4A949A4A"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A: </w:t>
      </w:r>
      <w:r w:rsidRPr="00EC02CA">
        <w:rPr>
          <w:b w:val="0"/>
          <w:bCs w:val="0"/>
        </w:rPr>
        <w:tab/>
        <w:t>Method</w:t>
      </w:r>
      <w:r w:rsidRPr="00EC02CA">
        <w:rPr>
          <w:b w:val="0"/>
          <w:bCs w:val="0"/>
        </w:rPr>
        <w:tab/>
      </w:r>
      <w:r w:rsidRPr="00EC02CA">
        <w:rPr>
          <w:b w:val="0"/>
          <w:bCs w:val="0"/>
        </w:rPr>
        <w:fldChar w:fldCharType="begin"/>
      </w:r>
      <w:r w:rsidRPr="00EC02CA">
        <w:rPr>
          <w:b w:val="0"/>
          <w:bCs w:val="0"/>
        </w:rPr>
        <w:instrText xml:space="preserve"> PAGEREF _Toc218157377 \h </w:instrText>
      </w:r>
      <w:r w:rsidRPr="00EC02CA">
        <w:rPr>
          <w:b w:val="0"/>
          <w:bCs w:val="0"/>
        </w:rPr>
      </w:r>
      <w:r w:rsidRPr="00EC02CA">
        <w:rPr>
          <w:b w:val="0"/>
          <w:bCs w:val="0"/>
        </w:rPr>
        <w:fldChar w:fldCharType="separate"/>
      </w:r>
      <w:r w:rsidR="007D7830">
        <w:rPr>
          <w:b w:val="0"/>
          <w:bCs w:val="0"/>
        </w:rPr>
        <w:t>150</w:t>
      </w:r>
      <w:r w:rsidRPr="00EC02CA">
        <w:rPr>
          <w:b w:val="0"/>
          <w:bCs w:val="0"/>
        </w:rPr>
        <w:fldChar w:fldCharType="end"/>
      </w:r>
    </w:p>
    <w:p w14:paraId="10CB993F" w14:textId="2D12CB46"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B: </w:t>
      </w:r>
      <w:r w:rsidRPr="00EC02CA">
        <w:rPr>
          <w:b w:val="0"/>
          <w:bCs w:val="0"/>
        </w:rPr>
        <w:tab/>
        <w:t>Criminal offences in Tasmania</w:t>
      </w:r>
      <w:r w:rsidRPr="00EC02CA">
        <w:rPr>
          <w:b w:val="0"/>
          <w:bCs w:val="0"/>
        </w:rPr>
        <w:tab/>
      </w:r>
      <w:r w:rsidRPr="00EC02CA">
        <w:rPr>
          <w:b w:val="0"/>
          <w:bCs w:val="0"/>
        </w:rPr>
        <w:fldChar w:fldCharType="begin"/>
      </w:r>
      <w:r w:rsidRPr="00EC02CA">
        <w:rPr>
          <w:b w:val="0"/>
          <w:bCs w:val="0"/>
        </w:rPr>
        <w:instrText xml:space="preserve"> PAGEREF _Toc218157378 \h </w:instrText>
      </w:r>
      <w:r w:rsidRPr="00EC02CA">
        <w:rPr>
          <w:b w:val="0"/>
          <w:bCs w:val="0"/>
        </w:rPr>
      </w:r>
      <w:r w:rsidRPr="00EC02CA">
        <w:rPr>
          <w:b w:val="0"/>
          <w:bCs w:val="0"/>
        </w:rPr>
        <w:fldChar w:fldCharType="separate"/>
      </w:r>
      <w:r w:rsidR="007D7830">
        <w:rPr>
          <w:b w:val="0"/>
          <w:bCs w:val="0"/>
        </w:rPr>
        <w:t>151</w:t>
      </w:r>
      <w:r w:rsidRPr="00EC02CA">
        <w:rPr>
          <w:b w:val="0"/>
          <w:bCs w:val="0"/>
        </w:rPr>
        <w:fldChar w:fldCharType="end"/>
      </w:r>
    </w:p>
    <w:p w14:paraId="6DC2BF48" w14:textId="207E395D"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C: </w:t>
      </w:r>
      <w:r w:rsidRPr="00EC02CA">
        <w:rPr>
          <w:b w:val="0"/>
          <w:bCs w:val="0"/>
        </w:rPr>
        <w:tab/>
        <w:t xml:space="preserve">Prescribed offences – </w:t>
      </w:r>
      <w:r w:rsidRPr="00EC02CA">
        <w:rPr>
          <w:b w:val="0"/>
          <w:bCs w:val="0"/>
          <w:i/>
          <w:iCs/>
        </w:rPr>
        <w:t>Youth Justice Act 1997 (Tas)</w:t>
      </w:r>
      <w:r w:rsidRPr="00EC02CA">
        <w:rPr>
          <w:b w:val="0"/>
          <w:bCs w:val="0"/>
        </w:rPr>
        <w:tab/>
      </w:r>
      <w:r w:rsidRPr="00EC02CA">
        <w:rPr>
          <w:b w:val="0"/>
          <w:bCs w:val="0"/>
        </w:rPr>
        <w:fldChar w:fldCharType="begin"/>
      </w:r>
      <w:r w:rsidRPr="00EC02CA">
        <w:rPr>
          <w:b w:val="0"/>
          <w:bCs w:val="0"/>
        </w:rPr>
        <w:instrText xml:space="preserve"> PAGEREF _Toc218157379 \h </w:instrText>
      </w:r>
      <w:r w:rsidRPr="00EC02CA">
        <w:rPr>
          <w:b w:val="0"/>
          <w:bCs w:val="0"/>
        </w:rPr>
      </w:r>
      <w:r w:rsidRPr="00EC02CA">
        <w:rPr>
          <w:b w:val="0"/>
          <w:bCs w:val="0"/>
        </w:rPr>
        <w:fldChar w:fldCharType="separate"/>
      </w:r>
      <w:r w:rsidR="007D7830">
        <w:rPr>
          <w:b w:val="0"/>
          <w:bCs w:val="0"/>
        </w:rPr>
        <w:t>156</w:t>
      </w:r>
      <w:r w:rsidRPr="00EC02CA">
        <w:rPr>
          <w:b w:val="0"/>
          <w:bCs w:val="0"/>
        </w:rPr>
        <w:fldChar w:fldCharType="end"/>
      </w:r>
    </w:p>
    <w:p w14:paraId="63310C3D" w14:textId="24C675C0"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D: </w:t>
      </w:r>
      <w:r w:rsidRPr="00EC02CA">
        <w:rPr>
          <w:b w:val="0"/>
          <w:bCs w:val="0"/>
        </w:rPr>
        <w:tab/>
        <w:t>Offences relating to non-consensual sharing of intimate images</w:t>
      </w:r>
      <w:r w:rsidRPr="00EC02CA">
        <w:rPr>
          <w:b w:val="0"/>
          <w:bCs w:val="0"/>
        </w:rPr>
        <w:tab/>
      </w:r>
      <w:r w:rsidRPr="00EC02CA">
        <w:rPr>
          <w:b w:val="0"/>
          <w:bCs w:val="0"/>
        </w:rPr>
        <w:fldChar w:fldCharType="begin"/>
      </w:r>
      <w:r w:rsidRPr="00EC02CA">
        <w:rPr>
          <w:b w:val="0"/>
          <w:bCs w:val="0"/>
        </w:rPr>
        <w:instrText xml:space="preserve"> PAGEREF _Toc218157380 \h </w:instrText>
      </w:r>
      <w:r w:rsidRPr="00EC02CA">
        <w:rPr>
          <w:b w:val="0"/>
          <w:bCs w:val="0"/>
        </w:rPr>
      </w:r>
      <w:r w:rsidRPr="00EC02CA">
        <w:rPr>
          <w:b w:val="0"/>
          <w:bCs w:val="0"/>
        </w:rPr>
        <w:fldChar w:fldCharType="separate"/>
      </w:r>
      <w:r w:rsidR="007D7830">
        <w:rPr>
          <w:b w:val="0"/>
          <w:bCs w:val="0"/>
        </w:rPr>
        <w:t>157</w:t>
      </w:r>
      <w:r w:rsidRPr="00EC02CA">
        <w:rPr>
          <w:b w:val="0"/>
          <w:bCs w:val="0"/>
        </w:rPr>
        <w:fldChar w:fldCharType="end"/>
      </w:r>
    </w:p>
    <w:p w14:paraId="6BAF6D54" w14:textId="55349C5B"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E: </w:t>
      </w:r>
      <w:r w:rsidRPr="00EC02CA">
        <w:rPr>
          <w:b w:val="0"/>
          <w:bCs w:val="0"/>
        </w:rPr>
        <w:tab/>
        <w:t>Typology of young people who engage in harmful sexual behaviour: Literature summary</w:t>
      </w:r>
      <w:r w:rsidRPr="00EC02CA">
        <w:rPr>
          <w:b w:val="0"/>
          <w:bCs w:val="0"/>
        </w:rPr>
        <w:tab/>
      </w:r>
      <w:r w:rsidRPr="00EC02CA">
        <w:rPr>
          <w:b w:val="0"/>
          <w:bCs w:val="0"/>
        </w:rPr>
        <w:fldChar w:fldCharType="begin"/>
      </w:r>
      <w:r w:rsidRPr="00EC02CA">
        <w:rPr>
          <w:b w:val="0"/>
          <w:bCs w:val="0"/>
        </w:rPr>
        <w:instrText xml:space="preserve"> PAGEREF _Toc218157381 \h </w:instrText>
      </w:r>
      <w:r w:rsidRPr="00EC02CA">
        <w:rPr>
          <w:b w:val="0"/>
          <w:bCs w:val="0"/>
        </w:rPr>
      </w:r>
      <w:r w:rsidRPr="00EC02CA">
        <w:rPr>
          <w:b w:val="0"/>
          <w:bCs w:val="0"/>
        </w:rPr>
        <w:fldChar w:fldCharType="separate"/>
      </w:r>
      <w:r w:rsidR="007D7830">
        <w:rPr>
          <w:b w:val="0"/>
          <w:bCs w:val="0"/>
        </w:rPr>
        <w:t>159</w:t>
      </w:r>
      <w:r w:rsidRPr="00EC02CA">
        <w:rPr>
          <w:b w:val="0"/>
          <w:bCs w:val="0"/>
        </w:rPr>
        <w:fldChar w:fldCharType="end"/>
      </w:r>
    </w:p>
    <w:p w14:paraId="4402224E" w14:textId="0496C6E2"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F: </w:t>
      </w:r>
      <w:r w:rsidRPr="00EC02CA">
        <w:rPr>
          <w:b w:val="0"/>
          <w:bCs w:val="0"/>
        </w:rPr>
        <w:tab/>
        <w:t>Treatment interventions: Literature summary</w:t>
      </w:r>
      <w:r w:rsidRPr="00EC02CA">
        <w:rPr>
          <w:b w:val="0"/>
          <w:bCs w:val="0"/>
        </w:rPr>
        <w:tab/>
      </w:r>
      <w:r w:rsidRPr="00EC02CA">
        <w:rPr>
          <w:b w:val="0"/>
          <w:bCs w:val="0"/>
        </w:rPr>
        <w:fldChar w:fldCharType="begin"/>
      </w:r>
      <w:r w:rsidRPr="00EC02CA">
        <w:rPr>
          <w:b w:val="0"/>
          <w:bCs w:val="0"/>
        </w:rPr>
        <w:instrText xml:space="preserve"> PAGEREF _Toc218157382 \h </w:instrText>
      </w:r>
      <w:r w:rsidRPr="00EC02CA">
        <w:rPr>
          <w:b w:val="0"/>
          <w:bCs w:val="0"/>
        </w:rPr>
      </w:r>
      <w:r w:rsidRPr="00EC02CA">
        <w:rPr>
          <w:b w:val="0"/>
          <w:bCs w:val="0"/>
        </w:rPr>
        <w:fldChar w:fldCharType="separate"/>
      </w:r>
      <w:r w:rsidR="007D7830">
        <w:rPr>
          <w:b w:val="0"/>
          <w:bCs w:val="0"/>
        </w:rPr>
        <w:t>161</w:t>
      </w:r>
      <w:r w:rsidRPr="00EC02CA">
        <w:rPr>
          <w:b w:val="0"/>
          <w:bCs w:val="0"/>
        </w:rPr>
        <w:fldChar w:fldCharType="end"/>
      </w:r>
    </w:p>
    <w:p w14:paraId="20EAEEAB" w14:textId="0B67C851"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G: </w:t>
      </w:r>
      <w:r w:rsidRPr="00EC02CA">
        <w:rPr>
          <w:b w:val="0"/>
          <w:bCs w:val="0"/>
        </w:rPr>
        <w:tab/>
        <w:t xml:space="preserve">Summary of principles from </w:t>
      </w:r>
      <w:r w:rsidRPr="00EC02CA">
        <w:rPr>
          <w:b w:val="0"/>
          <w:bCs w:val="0"/>
          <w:i/>
          <w:iCs/>
        </w:rPr>
        <w:t xml:space="preserve">Orange Tamariki Act </w:t>
      </w:r>
      <w:r w:rsidRPr="00EC02CA">
        <w:rPr>
          <w:b w:val="0"/>
          <w:bCs w:val="0"/>
        </w:rPr>
        <w:t>(NZ) from Commission of Inquiry Volume 5 Chapter 12 [5.2]</w:t>
      </w:r>
      <w:r w:rsidRPr="00EC02CA">
        <w:rPr>
          <w:b w:val="0"/>
          <w:bCs w:val="0"/>
        </w:rPr>
        <w:tab/>
      </w:r>
      <w:r w:rsidRPr="00EC02CA">
        <w:rPr>
          <w:b w:val="0"/>
          <w:bCs w:val="0"/>
        </w:rPr>
        <w:fldChar w:fldCharType="begin"/>
      </w:r>
      <w:r w:rsidRPr="00EC02CA">
        <w:rPr>
          <w:b w:val="0"/>
          <w:bCs w:val="0"/>
        </w:rPr>
        <w:instrText xml:space="preserve"> PAGEREF _Toc218157383 \h </w:instrText>
      </w:r>
      <w:r w:rsidRPr="00EC02CA">
        <w:rPr>
          <w:b w:val="0"/>
          <w:bCs w:val="0"/>
        </w:rPr>
      </w:r>
      <w:r w:rsidRPr="00EC02CA">
        <w:rPr>
          <w:b w:val="0"/>
          <w:bCs w:val="0"/>
        </w:rPr>
        <w:fldChar w:fldCharType="separate"/>
      </w:r>
      <w:r w:rsidR="007D7830">
        <w:rPr>
          <w:b w:val="0"/>
          <w:bCs w:val="0"/>
        </w:rPr>
        <w:t>168</w:t>
      </w:r>
      <w:r w:rsidRPr="00EC02CA">
        <w:rPr>
          <w:b w:val="0"/>
          <w:bCs w:val="0"/>
        </w:rPr>
        <w:fldChar w:fldCharType="end"/>
      </w:r>
    </w:p>
    <w:p w14:paraId="6FD2D1E9" w14:textId="6FC6A272"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H: </w:t>
      </w:r>
      <w:r w:rsidRPr="00EC02CA">
        <w:rPr>
          <w:b w:val="0"/>
          <w:bCs w:val="0"/>
        </w:rPr>
        <w:tab/>
        <w:t>Tasmanian reporting requirements for child sexual abuse</w:t>
      </w:r>
      <w:r w:rsidRPr="00EC02CA">
        <w:rPr>
          <w:b w:val="0"/>
          <w:bCs w:val="0"/>
        </w:rPr>
        <w:tab/>
      </w:r>
      <w:r w:rsidRPr="00EC02CA">
        <w:rPr>
          <w:b w:val="0"/>
          <w:bCs w:val="0"/>
        </w:rPr>
        <w:fldChar w:fldCharType="begin"/>
      </w:r>
      <w:r w:rsidRPr="00EC02CA">
        <w:rPr>
          <w:b w:val="0"/>
          <w:bCs w:val="0"/>
        </w:rPr>
        <w:instrText xml:space="preserve"> PAGEREF _Toc218157384 \h </w:instrText>
      </w:r>
      <w:r w:rsidRPr="00EC02CA">
        <w:rPr>
          <w:b w:val="0"/>
          <w:bCs w:val="0"/>
        </w:rPr>
      </w:r>
      <w:r w:rsidRPr="00EC02CA">
        <w:rPr>
          <w:b w:val="0"/>
          <w:bCs w:val="0"/>
        </w:rPr>
        <w:fldChar w:fldCharType="separate"/>
      </w:r>
      <w:r w:rsidR="007D7830">
        <w:rPr>
          <w:b w:val="0"/>
          <w:bCs w:val="0"/>
        </w:rPr>
        <w:t>170</w:t>
      </w:r>
      <w:r w:rsidRPr="00EC02CA">
        <w:rPr>
          <w:b w:val="0"/>
          <w:bCs w:val="0"/>
        </w:rPr>
        <w:fldChar w:fldCharType="end"/>
      </w:r>
    </w:p>
    <w:p w14:paraId="05CBD5E7" w14:textId="33438C33"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I: </w:t>
      </w:r>
      <w:r w:rsidRPr="00EC02CA">
        <w:rPr>
          <w:b w:val="0"/>
          <w:bCs w:val="0"/>
        </w:rPr>
        <w:tab/>
        <w:t>Jurisdiction of courts and availability of diversionary procedures for sexual offences where the offender is under 18 at the time of the alleged offence</w:t>
      </w:r>
      <w:r w:rsidRPr="00EC02CA">
        <w:rPr>
          <w:b w:val="0"/>
          <w:bCs w:val="0"/>
        </w:rPr>
        <w:tab/>
      </w:r>
      <w:r w:rsidRPr="00EC02CA">
        <w:rPr>
          <w:b w:val="0"/>
          <w:bCs w:val="0"/>
        </w:rPr>
        <w:fldChar w:fldCharType="begin"/>
      </w:r>
      <w:r w:rsidRPr="00EC02CA">
        <w:rPr>
          <w:b w:val="0"/>
          <w:bCs w:val="0"/>
        </w:rPr>
        <w:instrText xml:space="preserve"> PAGEREF _Toc218157385 \h </w:instrText>
      </w:r>
      <w:r w:rsidRPr="00EC02CA">
        <w:rPr>
          <w:b w:val="0"/>
          <w:bCs w:val="0"/>
        </w:rPr>
      </w:r>
      <w:r w:rsidRPr="00EC02CA">
        <w:rPr>
          <w:b w:val="0"/>
          <w:bCs w:val="0"/>
        </w:rPr>
        <w:fldChar w:fldCharType="separate"/>
      </w:r>
      <w:r w:rsidR="007D7830">
        <w:rPr>
          <w:b w:val="0"/>
          <w:bCs w:val="0"/>
        </w:rPr>
        <w:t>173</w:t>
      </w:r>
      <w:r w:rsidRPr="00EC02CA">
        <w:rPr>
          <w:b w:val="0"/>
          <w:bCs w:val="0"/>
        </w:rPr>
        <w:fldChar w:fldCharType="end"/>
      </w:r>
    </w:p>
    <w:p w14:paraId="77D9B4F0" w14:textId="0A362CE8"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J: </w:t>
      </w:r>
      <w:r w:rsidRPr="00EC02CA">
        <w:rPr>
          <w:b w:val="0"/>
          <w:bCs w:val="0"/>
        </w:rPr>
        <w:tab/>
        <w:t>ALRC potential interactions between criminal justice and restorative justice processes dealing with sexual violence</w:t>
      </w:r>
      <w:r w:rsidRPr="00EC02CA">
        <w:rPr>
          <w:b w:val="0"/>
          <w:bCs w:val="0"/>
        </w:rPr>
        <w:tab/>
      </w:r>
      <w:r w:rsidRPr="00EC02CA">
        <w:rPr>
          <w:b w:val="0"/>
          <w:bCs w:val="0"/>
        </w:rPr>
        <w:fldChar w:fldCharType="begin"/>
      </w:r>
      <w:r w:rsidRPr="00EC02CA">
        <w:rPr>
          <w:b w:val="0"/>
          <w:bCs w:val="0"/>
        </w:rPr>
        <w:instrText xml:space="preserve"> PAGEREF _Toc218157386 \h </w:instrText>
      </w:r>
      <w:r w:rsidRPr="00EC02CA">
        <w:rPr>
          <w:b w:val="0"/>
          <w:bCs w:val="0"/>
        </w:rPr>
      </w:r>
      <w:r w:rsidRPr="00EC02CA">
        <w:rPr>
          <w:b w:val="0"/>
          <w:bCs w:val="0"/>
        </w:rPr>
        <w:fldChar w:fldCharType="separate"/>
      </w:r>
      <w:r w:rsidR="007D7830">
        <w:rPr>
          <w:b w:val="0"/>
          <w:bCs w:val="0"/>
        </w:rPr>
        <w:t>185</w:t>
      </w:r>
      <w:r w:rsidRPr="00EC02CA">
        <w:rPr>
          <w:b w:val="0"/>
          <w:bCs w:val="0"/>
        </w:rPr>
        <w:fldChar w:fldCharType="end"/>
      </w:r>
    </w:p>
    <w:p w14:paraId="75FF59F7" w14:textId="6080AF57"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K: </w:t>
      </w:r>
      <w:r w:rsidRPr="00EC02CA">
        <w:rPr>
          <w:b w:val="0"/>
          <w:bCs w:val="0"/>
        </w:rPr>
        <w:tab/>
        <w:t>Recommendations of the Commission of Inquiry relating to youth justice (summary from Diversionary Services Framework)</w:t>
      </w:r>
      <w:r w:rsidRPr="00EC02CA">
        <w:rPr>
          <w:b w:val="0"/>
          <w:bCs w:val="0"/>
        </w:rPr>
        <w:tab/>
      </w:r>
      <w:r w:rsidRPr="00EC02CA">
        <w:rPr>
          <w:b w:val="0"/>
          <w:bCs w:val="0"/>
        </w:rPr>
        <w:fldChar w:fldCharType="begin"/>
      </w:r>
      <w:r w:rsidRPr="00EC02CA">
        <w:rPr>
          <w:b w:val="0"/>
          <w:bCs w:val="0"/>
        </w:rPr>
        <w:instrText xml:space="preserve"> PAGEREF _Toc218157387 \h </w:instrText>
      </w:r>
      <w:r w:rsidRPr="00EC02CA">
        <w:rPr>
          <w:b w:val="0"/>
          <w:bCs w:val="0"/>
        </w:rPr>
      </w:r>
      <w:r w:rsidRPr="00EC02CA">
        <w:rPr>
          <w:b w:val="0"/>
          <w:bCs w:val="0"/>
        </w:rPr>
        <w:fldChar w:fldCharType="separate"/>
      </w:r>
      <w:r w:rsidR="007D7830">
        <w:rPr>
          <w:b w:val="0"/>
          <w:bCs w:val="0"/>
        </w:rPr>
        <w:t>186</w:t>
      </w:r>
      <w:r w:rsidRPr="00EC02CA">
        <w:rPr>
          <w:b w:val="0"/>
          <w:bCs w:val="0"/>
        </w:rPr>
        <w:fldChar w:fldCharType="end"/>
      </w:r>
    </w:p>
    <w:p w14:paraId="602B3F75" w14:textId="279569FC" w:rsidR="002C7BBC" w:rsidRPr="00EC02CA" w:rsidRDefault="002C7BBC" w:rsidP="00667095">
      <w:pPr>
        <w:pStyle w:val="TOC1"/>
        <w:rPr>
          <w:rFonts w:asciiTheme="minorHAnsi" w:eastAsiaTheme="minorEastAsia" w:hAnsiTheme="minorHAnsi"/>
          <w:b w:val="0"/>
          <w:bCs w:val="0"/>
          <w:kern w:val="2"/>
          <w:sz w:val="24"/>
          <w:lang w:eastAsia="en-GB"/>
          <w14:ligatures w14:val="standardContextual"/>
        </w:rPr>
      </w:pPr>
      <w:r w:rsidRPr="00EC02CA">
        <w:rPr>
          <w:b w:val="0"/>
          <w:bCs w:val="0"/>
        </w:rPr>
        <w:t xml:space="preserve">Appendix L: </w:t>
      </w:r>
      <w:r w:rsidRPr="00EC02CA">
        <w:rPr>
          <w:b w:val="0"/>
          <w:bCs w:val="0"/>
        </w:rPr>
        <w:tab/>
        <w:t>K</w:t>
      </w:r>
      <w:r w:rsidRPr="00EC02CA">
        <w:rPr>
          <w:b w:val="0"/>
          <w:bCs w:val="0"/>
        </w:rPr>
        <w:tab/>
        <w:t>ey recommendations of the Commission of Inquiry relevant to the youth justice system and harmful sexual behaviour</w:t>
      </w:r>
      <w:r w:rsidRPr="00EC02CA">
        <w:rPr>
          <w:b w:val="0"/>
          <w:bCs w:val="0"/>
        </w:rPr>
        <w:tab/>
      </w:r>
      <w:r w:rsidRPr="00EC02CA">
        <w:rPr>
          <w:b w:val="0"/>
          <w:bCs w:val="0"/>
        </w:rPr>
        <w:fldChar w:fldCharType="begin"/>
      </w:r>
      <w:r w:rsidRPr="00EC02CA">
        <w:rPr>
          <w:b w:val="0"/>
          <w:bCs w:val="0"/>
        </w:rPr>
        <w:instrText xml:space="preserve"> PAGEREF _Toc218157388 \h </w:instrText>
      </w:r>
      <w:r w:rsidRPr="00EC02CA">
        <w:rPr>
          <w:b w:val="0"/>
          <w:bCs w:val="0"/>
        </w:rPr>
      </w:r>
      <w:r w:rsidRPr="00EC02CA">
        <w:rPr>
          <w:b w:val="0"/>
          <w:bCs w:val="0"/>
        </w:rPr>
        <w:fldChar w:fldCharType="separate"/>
      </w:r>
      <w:r w:rsidR="007D7830">
        <w:rPr>
          <w:b w:val="0"/>
          <w:bCs w:val="0"/>
        </w:rPr>
        <w:t>187</w:t>
      </w:r>
      <w:r w:rsidRPr="00EC02CA">
        <w:rPr>
          <w:b w:val="0"/>
          <w:bCs w:val="0"/>
        </w:rPr>
        <w:fldChar w:fldCharType="end"/>
      </w:r>
    </w:p>
    <w:p w14:paraId="47E13212" w14:textId="762E468A" w:rsidR="0058766F" w:rsidRPr="00EC02CA" w:rsidRDefault="00921AA9" w:rsidP="00667095">
      <w:pPr>
        <w:pStyle w:val="TOC1"/>
        <w:rPr>
          <w:noProof w:val="0"/>
        </w:rPr>
      </w:pPr>
      <w:r w:rsidRPr="00EC02CA">
        <w:rPr>
          <w:noProof w:val="0"/>
        </w:rPr>
        <w:fldChar w:fldCharType="end"/>
      </w:r>
      <w:r w:rsidR="0058766F" w:rsidRPr="00EC02CA">
        <w:rPr>
          <w:noProof w:val="0"/>
        </w:rPr>
        <w:br w:type="page"/>
      </w:r>
    </w:p>
    <w:p w14:paraId="0B7339CA" w14:textId="77777777" w:rsidR="00A433FC" w:rsidRPr="00EC02CA" w:rsidRDefault="00A433FC" w:rsidP="00A433FC">
      <w:pPr>
        <w:pStyle w:val="ExecSummaryandAppendixHeading"/>
      </w:pPr>
      <w:bookmarkStart w:id="1" w:name="_Toc218157241"/>
      <w:r w:rsidRPr="00EC02CA">
        <w:t>About the T</w:t>
      </w:r>
      <w:r w:rsidR="007A58D4" w:rsidRPr="00EC02CA">
        <w:t xml:space="preserve">asmania </w:t>
      </w:r>
      <w:r w:rsidRPr="00EC02CA">
        <w:t>L</w:t>
      </w:r>
      <w:r w:rsidR="007A58D4" w:rsidRPr="00EC02CA">
        <w:t xml:space="preserve">aw </w:t>
      </w:r>
      <w:r w:rsidRPr="00EC02CA">
        <w:t>R</w:t>
      </w:r>
      <w:r w:rsidR="007A58D4" w:rsidRPr="00EC02CA">
        <w:t xml:space="preserve">eform </w:t>
      </w:r>
      <w:r w:rsidRPr="00EC02CA">
        <w:t>I</w:t>
      </w:r>
      <w:r w:rsidR="007A58D4" w:rsidRPr="00EC02CA">
        <w:t>nstitute</w:t>
      </w:r>
      <w:bookmarkEnd w:id="0"/>
      <w:bookmarkEnd w:id="1"/>
    </w:p>
    <w:p w14:paraId="5E7CBBA5" w14:textId="5760C10A" w:rsidR="00986965" w:rsidRPr="00EC02CA" w:rsidRDefault="00986965" w:rsidP="00030BBF">
      <w:pPr>
        <w:rPr>
          <w:b/>
          <w:w w:val="105"/>
        </w:rPr>
      </w:pPr>
      <w:r w:rsidRPr="00EC02CA">
        <w:rPr>
          <w:w w:val="105"/>
        </w:rPr>
        <w:t xml:space="preserve">The Tasmania Law Reform Institute </w:t>
      </w:r>
      <w:r w:rsidR="00FB050F" w:rsidRPr="00EC02CA">
        <w:rPr>
          <w:w w:val="105"/>
        </w:rPr>
        <w:t xml:space="preserve">(TLRI) </w:t>
      </w:r>
      <w:r w:rsidRPr="00EC02CA">
        <w:rPr>
          <w:w w:val="105"/>
        </w:rPr>
        <w:t>is Tasmania’s peak independent law reform body. The</w:t>
      </w:r>
      <w:r w:rsidRPr="00EC02CA">
        <w:rPr>
          <w:spacing w:val="37"/>
          <w:w w:val="105"/>
        </w:rPr>
        <w:t xml:space="preserve"> </w:t>
      </w:r>
      <w:r w:rsidRPr="00EC02CA">
        <w:rPr>
          <w:w w:val="105"/>
        </w:rPr>
        <w:t>Institute</w:t>
      </w:r>
      <w:r w:rsidRPr="00EC02CA">
        <w:rPr>
          <w:spacing w:val="37"/>
          <w:w w:val="105"/>
        </w:rPr>
        <w:t xml:space="preserve"> </w:t>
      </w:r>
      <w:r w:rsidRPr="00EC02CA">
        <w:rPr>
          <w:w w:val="105"/>
        </w:rPr>
        <w:t>was</w:t>
      </w:r>
      <w:r w:rsidRPr="00EC02CA">
        <w:rPr>
          <w:spacing w:val="37"/>
          <w:w w:val="105"/>
        </w:rPr>
        <w:t xml:space="preserve"> </w:t>
      </w:r>
      <w:r w:rsidRPr="00EC02CA">
        <w:rPr>
          <w:w w:val="105"/>
        </w:rPr>
        <w:t>established</w:t>
      </w:r>
      <w:r w:rsidRPr="00EC02CA">
        <w:rPr>
          <w:spacing w:val="37"/>
          <w:w w:val="105"/>
        </w:rPr>
        <w:t xml:space="preserve"> </w:t>
      </w:r>
      <w:r w:rsidRPr="00EC02CA">
        <w:rPr>
          <w:w w:val="105"/>
        </w:rPr>
        <w:t>on</w:t>
      </w:r>
      <w:r w:rsidRPr="00EC02CA">
        <w:rPr>
          <w:spacing w:val="37"/>
          <w:w w:val="105"/>
        </w:rPr>
        <w:t xml:space="preserve"> </w:t>
      </w:r>
      <w:r w:rsidRPr="00EC02CA">
        <w:rPr>
          <w:w w:val="105"/>
        </w:rPr>
        <w:t>23</w:t>
      </w:r>
      <w:r w:rsidRPr="00EC02CA">
        <w:rPr>
          <w:spacing w:val="37"/>
          <w:w w:val="105"/>
        </w:rPr>
        <w:t xml:space="preserve"> </w:t>
      </w:r>
      <w:r w:rsidRPr="00EC02CA">
        <w:rPr>
          <w:w w:val="105"/>
        </w:rPr>
        <w:t>July</w:t>
      </w:r>
      <w:r w:rsidRPr="00EC02CA">
        <w:rPr>
          <w:spacing w:val="37"/>
          <w:w w:val="105"/>
        </w:rPr>
        <w:t xml:space="preserve"> </w:t>
      </w:r>
      <w:r w:rsidRPr="00EC02CA">
        <w:rPr>
          <w:w w:val="105"/>
        </w:rPr>
        <w:t>2001</w:t>
      </w:r>
      <w:r w:rsidRPr="00EC02CA">
        <w:rPr>
          <w:spacing w:val="37"/>
          <w:w w:val="105"/>
        </w:rPr>
        <w:t xml:space="preserve"> </w:t>
      </w:r>
      <w:r w:rsidRPr="00EC02CA">
        <w:rPr>
          <w:w w:val="105"/>
        </w:rPr>
        <w:t>by</w:t>
      </w:r>
      <w:r w:rsidRPr="00EC02CA">
        <w:rPr>
          <w:spacing w:val="37"/>
          <w:w w:val="105"/>
        </w:rPr>
        <w:t xml:space="preserve"> </w:t>
      </w:r>
      <w:r w:rsidRPr="00EC02CA">
        <w:rPr>
          <w:w w:val="105"/>
        </w:rPr>
        <w:t>agreement</w:t>
      </w:r>
      <w:r w:rsidRPr="00EC02CA">
        <w:rPr>
          <w:spacing w:val="36"/>
          <w:w w:val="105"/>
        </w:rPr>
        <w:t xml:space="preserve"> </w:t>
      </w:r>
      <w:r w:rsidRPr="00EC02CA">
        <w:rPr>
          <w:w w:val="105"/>
        </w:rPr>
        <w:t>between</w:t>
      </w:r>
      <w:r w:rsidRPr="00EC02CA">
        <w:rPr>
          <w:spacing w:val="37"/>
          <w:w w:val="105"/>
        </w:rPr>
        <w:t xml:space="preserve"> </w:t>
      </w:r>
      <w:r w:rsidRPr="00EC02CA">
        <w:rPr>
          <w:w w:val="105"/>
        </w:rPr>
        <w:t>the</w:t>
      </w:r>
      <w:r w:rsidRPr="00EC02CA">
        <w:rPr>
          <w:w w:val="102"/>
        </w:rPr>
        <w:t xml:space="preserve"> </w:t>
      </w:r>
      <w:r w:rsidRPr="00EC02CA">
        <w:rPr>
          <w:w w:val="105"/>
        </w:rPr>
        <w:t>Government of the State of Tasmania, the University of Tasmania and The Law Society of</w:t>
      </w:r>
      <w:r w:rsidRPr="00EC02CA">
        <w:rPr>
          <w:spacing w:val="23"/>
          <w:w w:val="105"/>
        </w:rPr>
        <w:t xml:space="preserve"> </w:t>
      </w:r>
      <w:r w:rsidRPr="00EC02CA">
        <w:rPr>
          <w:w w:val="105"/>
        </w:rPr>
        <w:t>Tasmania.</w:t>
      </w:r>
      <w:r w:rsidRPr="00EC02CA">
        <w:rPr>
          <w:w w:val="102"/>
        </w:rPr>
        <w:t xml:space="preserve"> </w:t>
      </w:r>
      <w:r w:rsidRPr="00EC02CA">
        <w:rPr>
          <w:w w:val="105"/>
        </w:rPr>
        <w:t>The creation of the Institute was part of a Partnership Agreement between the University and the</w:t>
      </w:r>
      <w:r w:rsidRPr="00EC02CA">
        <w:rPr>
          <w:spacing w:val="-36"/>
          <w:w w:val="105"/>
        </w:rPr>
        <w:t xml:space="preserve"> </w:t>
      </w:r>
      <w:r w:rsidRPr="00EC02CA">
        <w:rPr>
          <w:w w:val="105"/>
        </w:rPr>
        <w:t>State</w:t>
      </w:r>
      <w:r w:rsidRPr="00EC02CA">
        <w:rPr>
          <w:w w:val="102"/>
        </w:rPr>
        <w:t xml:space="preserve"> </w:t>
      </w:r>
      <w:r w:rsidRPr="00EC02CA">
        <w:rPr>
          <w:w w:val="105"/>
        </w:rPr>
        <w:t>Government</w:t>
      </w:r>
      <w:r w:rsidRPr="00EC02CA">
        <w:rPr>
          <w:spacing w:val="29"/>
          <w:w w:val="105"/>
        </w:rPr>
        <w:t xml:space="preserve"> </w:t>
      </w:r>
      <w:r w:rsidRPr="00EC02CA">
        <w:rPr>
          <w:w w:val="105"/>
        </w:rPr>
        <w:t>signed</w:t>
      </w:r>
      <w:r w:rsidRPr="00EC02CA">
        <w:rPr>
          <w:spacing w:val="30"/>
          <w:w w:val="105"/>
        </w:rPr>
        <w:t xml:space="preserve"> </w:t>
      </w:r>
      <w:r w:rsidRPr="00EC02CA">
        <w:rPr>
          <w:w w:val="105"/>
        </w:rPr>
        <w:t>in</w:t>
      </w:r>
      <w:r w:rsidRPr="00EC02CA">
        <w:rPr>
          <w:spacing w:val="30"/>
          <w:w w:val="105"/>
        </w:rPr>
        <w:t xml:space="preserve"> </w:t>
      </w:r>
      <w:r w:rsidRPr="00EC02CA">
        <w:rPr>
          <w:w w:val="105"/>
        </w:rPr>
        <w:t>2000.</w:t>
      </w:r>
      <w:r w:rsidRPr="00EC02CA">
        <w:rPr>
          <w:spacing w:val="29"/>
          <w:w w:val="105"/>
        </w:rPr>
        <w:t xml:space="preserve"> </w:t>
      </w:r>
      <w:r w:rsidRPr="00EC02CA">
        <w:rPr>
          <w:w w:val="105"/>
        </w:rPr>
        <w:t>The</w:t>
      </w:r>
      <w:r w:rsidRPr="00EC02CA">
        <w:rPr>
          <w:spacing w:val="30"/>
          <w:w w:val="105"/>
        </w:rPr>
        <w:t xml:space="preserve"> </w:t>
      </w:r>
      <w:r w:rsidRPr="00EC02CA">
        <w:rPr>
          <w:w w:val="105"/>
        </w:rPr>
        <w:t>Institute</w:t>
      </w:r>
      <w:r w:rsidRPr="00EC02CA">
        <w:rPr>
          <w:spacing w:val="30"/>
          <w:w w:val="105"/>
        </w:rPr>
        <w:t xml:space="preserve"> </w:t>
      </w:r>
      <w:r w:rsidRPr="00EC02CA">
        <w:rPr>
          <w:w w:val="105"/>
        </w:rPr>
        <w:t>is</w:t>
      </w:r>
      <w:r w:rsidRPr="00EC02CA">
        <w:rPr>
          <w:spacing w:val="30"/>
          <w:w w:val="105"/>
        </w:rPr>
        <w:t xml:space="preserve"> </w:t>
      </w:r>
      <w:r w:rsidRPr="00EC02CA">
        <w:rPr>
          <w:w w:val="105"/>
        </w:rPr>
        <w:t>based</w:t>
      </w:r>
      <w:r w:rsidRPr="00EC02CA">
        <w:rPr>
          <w:spacing w:val="30"/>
          <w:w w:val="105"/>
        </w:rPr>
        <w:t xml:space="preserve"> </w:t>
      </w:r>
      <w:r w:rsidRPr="00EC02CA">
        <w:rPr>
          <w:w w:val="105"/>
        </w:rPr>
        <w:t>at</w:t>
      </w:r>
      <w:r w:rsidRPr="00EC02CA">
        <w:rPr>
          <w:spacing w:val="29"/>
          <w:w w:val="105"/>
        </w:rPr>
        <w:t xml:space="preserve"> </w:t>
      </w:r>
      <w:r w:rsidRPr="00EC02CA">
        <w:rPr>
          <w:w w:val="105"/>
        </w:rPr>
        <w:t>the</w:t>
      </w:r>
      <w:r w:rsidRPr="00EC02CA">
        <w:rPr>
          <w:spacing w:val="30"/>
          <w:w w:val="105"/>
        </w:rPr>
        <w:t xml:space="preserve"> </w:t>
      </w:r>
      <w:r w:rsidRPr="00EC02CA">
        <w:rPr>
          <w:w w:val="105"/>
        </w:rPr>
        <w:t>Sandy</w:t>
      </w:r>
      <w:r w:rsidRPr="00EC02CA">
        <w:rPr>
          <w:spacing w:val="30"/>
          <w:w w:val="105"/>
        </w:rPr>
        <w:t xml:space="preserve"> </w:t>
      </w:r>
      <w:r w:rsidRPr="00EC02CA">
        <w:rPr>
          <w:w w:val="105"/>
        </w:rPr>
        <w:t>Bay</w:t>
      </w:r>
      <w:r w:rsidRPr="00EC02CA">
        <w:rPr>
          <w:spacing w:val="30"/>
          <w:w w:val="105"/>
        </w:rPr>
        <w:t xml:space="preserve"> </w:t>
      </w:r>
      <w:r w:rsidRPr="00EC02CA">
        <w:rPr>
          <w:w w:val="105"/>
        </w:rPr>
        <w:t>campus</w:t>
      </w:r>
      <w:r w:rsidRPr="00EC02CA">
        <w:rPr>
          <w:spacing w:val="30"/>
          <w:w w:val="105"/>
        </w:rPr>
        <w:t xml:space="preserve"> </w:t>
      </w:r>
      <w:r w:rsidRPr="00EC02CA">
        <w:rPr>
          <w:w w:val="105"/>
        </w:rPr>
        <w:t>of</w:t>
      </w:r>
      <w:r w:rsidRPr="00EC02CA">
        <w:rPr>
          <w:spacing w:val="30"/>
          <w:w w:val="105"/>
        </w:rPr>
        <w:t xml:space="preserve"> </w:t>
      </w:r>
      <w:r w:rsidRPr="00EC02CA">
        <w:rPr>
          <w:w w:val="105"/>
        </w:rPr>
        <w:t>the</w:t>
      </w:r>
      <w:r w:rsidRPr="00EC02CA">
        <w:rPr>
          <w:spacing w:val="30"/>
          <w:w w:val="105"/>
        </w:rPr>
        <w:t xml:space="preserve"> </w:t>
      </w:r>
      <w:r w:rsidRPr="00EC02CA">
        <w:rPr>
          <w:w w:val="105"/>
        </w:rPr>
        <w:t>University</w:t>
      </w:r>
      <w:r w:rsidRPr="00EC02CA">
        <w:rPr>
          <w:spacing w:val="30"/>
          <w:w w:val="105"/>
        </w:rPr>
        <w:t xml:space="preserve"> </w:t>
      </w:r>
      <w:r w:rsidRPr="00EC02CA">
        <w:rPr>
          <w:w w:val="105"/>
        </w:rPr>
        <w:t>of</w:t>
      </w:r>
      <w:r w:rsidRPr="00EC02CA">
        <w:rPr>
          <w:w w:val="102"/>
        </w:rPr>
        <w:t xml:space="preserve"> </w:t>
      </w:r>
      <w:r w:rsidRPr="00EC02CA">
        <w:rPr>
          <w:w w:val="105"/>
        </w:rPr>
        <w:t>Tasmania within the Faculty of Law. The Institute undertakes law reform work and research on</w:t>
      </w:r>
      <w:r w:rsidRPr="00EC02CA">
        <w:rPr>
          <w:spacing w:val="-13"/>
          <w:w w:val="105"/>
        </w:rPr>
        <w:t xml:space="preserve"> </w:t>
      </w:r>
      <w:r w:rsidRPr="00EC02CA">
        <w:rPr>
          <w:w w:val="105"/>
        </w:rPr>
        <w:t>topics</w:t>
      </w:r>
      <w:r w:rsidRPr="00EC02CA">
        <w:rPr>
          <w:spacing w:val="1"/>
          <w:w w:val="102"/>
        </w:rPr>
        <w:t xml:space="preserve"> </w:t>
      </w:r>
      <w:r w:rsidRPr="00EC02CA">
        <w:rPr>
          <w:w w:val="105"/>
        </w:rPr>
        <w:t>proposed by the Government, the community, the University and the Institute</w:t>
      </w:r>
      <w:r w:rsidRPr="00EC02CA">
        <w:rPr>
          <w:spacing w:val="-37"/>
          <w:w w:val="105"/>
        </w:rPr>
        <w:t xml:space="preserve"> </w:t>
      </w:r>
      <w:r w:rsidRPr="00EC02CA">
        <w:rPr>
          <w:w w:val="105"/>
        </w:rPr>
        <w:t>itself.</w:t>
      </w:r>
    </w:p>
    <w:p w14:paraId="72378ACC" w14:textId="77777777" w:rsidR="00986965" w:rsidRPr="00EC02CA" w:rsidRDefault="00986965" w:rsidP="00030BBF">
      <w:pPr>
        <w:rPr>
          <w:b/>
          <w:w w:val="105"/>
        </w:rPr>
      </w:pPr>
      <w:r w:rsidRPr="00EC02CA">
        <w:rPr>
          <w:w w:val="105"/>
        </w:rPr>
        <w:t xml:space="preserve">The work of the Institute is to conduct impartial and independent reviews or research on areas of law and legal policy in order to provide independent and impartial advice and recommendations on the area investigated, with a view to, or for the purposes of: </w:t>
      </w:r>
    </w:p>
    <w:p w14:paraId="57D4967D"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w w:val="105"/>
          <w:sz w:val="22"/>
          <w:szCs w:val="22"/>
          <w:lang w:val="en-AU"/>
        </w:rPr>
      </w:pPr>
      <w:r w:rsidRPr="00EC02CA">
        <w:rPr>
          <w:rFonts w:ascii="Times New Roman" w:hAnsi="Times New Roman" w:cs="Times New Roman"/>
          <w:b w:val="0"/>
          <w:w w:val="105"/>
          <w:sz w:val="22"/>
          <w:szCs w:val="22"/>
          <w:lang w:val="en-AU"/>
        </w:rPr>
        <w:t>the modernisation of the law; and/or</w:t>
      </w:r>
    </w:p>
    <w:p w14:paraId="119E2649"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the elimination of defects in the law; and/or</w:t>
      </w:r>
    </w:p>
    <w:p w14:paraId="7B2F6F12"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the simplification of the law; and/or</w:t>
      </w:r>
    </w:p>
    <w:p w14:paraId="65C4FA5A"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the consolidation of any laws; and/or</w:t>
      </w:r>
    </w:p>
    <w:p w14:paraId="50C52F6D"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the repeal of laws that are obsolete or unnecessary; and/or</w:t>
      </w:r>
    </w:p>
    <w:p w14:paraId="37B9558B"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adopting new or more effective methods for administering the law and dispensing justice; and/or</w:t>
      </w:r>
    </w:p>
    <w:p w14:paraId="5C139361"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providing improved access to justice; and/or</w:t>
      </w:r>
    </w:p>
    <w:p w14:paraId="7609E0ED"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w w:val="105"/>
          <w:sz w:val="22"/>
          <w:szCs w:val="22"/>
          <w:lang w:val="en-AU"/>
        </w:rPr>
      </w:pPr>
      <w:r w:rsidRPr="00EC02CA">
        <w:rPr>
          <w:rFonts w:ascii="Times New Roman" w:hAnsi="Times New Roman" w:cs="Times New Roman"/>
          <w:b w:val="0"/>
          <w:w w:val="105"/>
          <w:sz w:val="22"/>
          <w:szCs w:val="22"/>
          <w:lang w:val="en-AU"/>
        </w:rPr>
        <w:t>uniformity between laws of other states, territories and the Commonwealth; and/or</w:t>
      </w:r>
    </w:p>
    <w:p w14:paraId="7406EB7D"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the codification of laws; and/or</w:t>
      </w:r>
    </w:p>
    <w:p w14:paraId="4885234E" w14:textId="77777777" w:rsidR="00986965" w:rsidRPr="00EC02CA" w:rsidRDefault="00986965" w:rsidP="00902819">
      <w:pPr>
        <w:pStyle w:val="BodyText"/>
        <w:numPr>
          <w:ilvl w:val="0"/>
          <w:numId w:val="3"/>
        </w:numPr>
        <w:spacing w:before="226" w:line="252" w:lineRule="auto"/>
        <w:ind w:right="116"/>
        <w:rPr>
          <w:rFonts w:ascii="Times New Roman" w:hAnsi="Times New Roman" w:cs="Times New Roman"/>
          <w:b w:val="0"/>
          <w:bCs/>
          <w:w w:val="105"/>
          <w:sz w:val="22"/>
          <w:szCs w:val="22"/>
          <w:lang w:val="en-AU"/>
        </w:rPr>
      </w:pPr>
      <w:r w:rsidRPr="00EC02CA">
        <w:rPr>
          <w:rFonts w:ascii="Times New Roman" w:hAnsi="Times New Roman" w:cs="Times New Roman"/>
          <w:b w:val="0"/>
          <w:bCs/>
          <w:w w:val="105"/>
          <w:sz w:val="22"/>
          <w:szCs w:val="22"/>
          <w:lang w:val="en-AU"/>
        </w:rPr>
        <w:t>promoting equality before the law.</w:t>
      </w:r>
    </w:p>
    <w:p w14:paraId="78ADB1B1" w14:textId="0C3DDA9F" w:rsidR="00B57A58" w:rsidRPr="00EC02CA" w:rsidRDefault="00B57A58" w:rsidP="00764B3A">
      <w:r w:rsidRPr="00EC02CA">
        <w:t xml:space="preserve">The </w:t>
      </w:r>
      <w:r w:rsidRPr="00EC02CA">
        <w:rPr>
          <w:rFonts w:cs="Times New Roman"/>
          <w:bCs/>
          <w:w w:val="105"/>
          <w:szCs w:val="22"/>
        </w:rPr>
        <w:t>TLRI’s</w:t>
      </w:r>
      <w:r w:rsidRPr="00EC02CA">
        <w:t xml:space="preserve"> Director is Professor Jeremy Prichard of the University of Tasmania (appointed by the Vice-Chancellor of the University of Tasmania). The members of the Board of the Institute are: Craig Mackie (Chair, appointed by the Tasmanian Bar Association), Professor Gino Dal Pont (Interim Dean of the Faculty of Law at the University of Tasmania), the Honourable Justice Helen Wood (appointed by the Honourable Chief Justice of Tasmania), Kristy Bourne (appointed by the Attorney-General), Rohan Foon (appointed by the Law Society), </w:t>
      </w:r>
      <w:r w:rsidR="00541D27" w:rsidRPr="00EC02CA">
        <w:t>Michael O’Farrell</w:t>
      </w:r>
      <w:r w:rsidRPr="00EC02CA">
        <w:t xml:space="preserve"> (appointed at the invitation of the Board), Kim Baumeler (appointed at the invitation of the Board), Dr Yvette Maker (</w:t>
      </w:r>
      <w:r w:rsidR="00E11740" w:rsidRPr="00EC02CA">
        <w:t>a</w:t>
      </w:r>
      <w:r w:rsidRPr="00EC02CA">
        <w:t>ppointed by Council of University)</w:t>
      </w:r>
      <w:r w:rsidR="00836C17" w:rsidRPr="00EC02CA">
        <w:t xml:space="preserve">, </w:t>
      </w:r>
      <w:r w:rsidR="00AD7910" w:rsidRPr="00EC02CA">
        <w:t xml:space="preserve">and </w:t>
      </w:r>
      <w:r w:rsidR="00836C17" w:rsidRPr="00EC02CA">
        <w:t>Alexander McKenzie (</w:t>
      </w:r>
      <w:r w:rsidR="00A200E1" w:rsidRPr="00EC02CA">
        <w:t>appointed at the invitation of the Board)</w:t>
      </w:r>
      <w:r w:rsidR="00AD7910" w:rsidRPr="00EC02CA">
        <w:t>.</w:t>
      </w:r>
    </w:p>
    <w:p w14:paraId="6F0A3654" w14:textId="60B43A09" w:rsidR="00A433FC" w:rsidRPr="00EC02CA" w:rsidRDefault="00986965" w:rsidP="00A01DDC">
      <w:pPr>
        <w:rPr>
          <w:w w:val="105"/>
        </w:rPr>
      </w:pPr>
      <w:r w:rsidRPr="00EC02CA">
        <w:rPr>
          <w:w w:val="105"/>
        </w:rPr>
        <w:t>The Board oversees the Institute’s research, considering each reference before it is accepted, and approving publications before their release.</w:t>
      </w:r>
      <w:r w:rsidR="000B142C" w:rsidRPr="00EC02CA">
        <w:rPr>
          <w:w w:val="105"/>
        </w:rPr>
        <w:t xml:space="preserve"> </w:t>
      </w:r>
    </w:p>
    <w:p w14:paraId="75D32A13" w14:textId="77777777" w:rsidR="003B4ABF" w:rsidRPr="00EC02CA" w:rsidRDefault="003B4ABF" w:rsidP="00986965">
      <w:pPr>
        <w:rPr>
          <w:rFonts w:cs="Times New Roman"/>
          <w:bCs/>
          <w:w w:val="105"/>
          <w:szCs w:val="22"/>
        </w:rPr>
      </w:pPr>
    </w:p>
    <w:p w14:paraId="41021AF4" w14:textId="77777777" w:rsidR="003B4ABF" w:rsidRPr="00EC02CA" w:rsidRDefault="003B4ABF" w:rsidP="00986965"/>
    <w:p w14:paraId="08D0ECD1" w14:textId="77777777" w:rsidR="00422C63" w:rsidRPr="00EC02CA" w:rsidRDefault="00A433FC">
      <w:pPr>
        <w:spacing w:after="200" w:line="276" w:lineRule="auto"/>
        <w:jc w:val="left"/>
      </w:pPr>
      <w:r w:rsidRPr="00EC02CA">
        <w:br w:type="page"/>
      </w:r>
    </w:p>
    <w:p w14:paraId="5219D029" w14:textId="64877E0E" w:rsidR="00422C63" w:rsidRPr="00EC02CA" w:rsidRDefault="00422C63" w:rsidP="00422C63">
      <w:pPr>
        <w:pStyle w:val="ExecSummaryandAppendixHeading"/>
      </w:pPr>
      <w:bookmarkStart w:id="2" w:name="_Toc211849340"/>
      <w:bookmarkStart w:id="3" w:name="_Toc218157242"/>
      <w:r w:rsidRPr="00EC02CA">
        <w:t>Acknowledgements</w:t>
      </w:r>
      <w:bookmarkEnd w:id="2"/>
      <w:bookmarkEnd w:id="3"/>
    </w:p>
    <w:p w14:paraId="2162D59A" w14:textId="005C6204" w:rsidR="00055364" w:rsidRPr="00EC02CA" w:rsidRDefault="0034009B" w:rsidP="0034009B">
      <w:r w:rsidRPr="00EC02CA">
        <w:t xml:space="preserve">This Research Report was prepared for the Board by </w:t>
      </w:r>
      <w:r w:rsidR="00FB4F10" w:rsidRPr="00EC02CA">
        <w:t>Dr Rebecca Bradfield, Professor Jeremy Prichard, Dr Amy Washington, Professor Kimberley Norris and</w:t>
      </w:r>
      <w:r w:rsidR="00E04872" w:rsidRPr="00EC02CA">
        <w:t xml:space="preserve"> Dr Stephanie Price</w:t>
      </w:r>
      <w:r w:rsidRPr="00EC02CA">
        <w:t xml:space="preserve">. </w:t>
      </w:r>
      <w:r w:rsidR="0054270F" w:rsidRPr="00EC02CA">
        <w:t xml:space="preserve">The TLRI </w:t>
      </w:r>
      <w:r w:rsidR="004F66BF" w:rsidRPr="00EC02CA">
        <w:t>acknowledges</w:t>
      </w:r>
      <w:r w:rsidR="00BF4F3F" w:rsidRPr="00EC02CA">
        <w:t xml:space="preserve"> the contributions made by Isabe</w:t>
      </w:r>
      <w:r w:rsidR="004849AB" w:rsidRPr="00EC02CA">
        <w:t>l</w:t>
      </w:r>
      <w:r w:rsidR="00BF4F3F" w:rsidRPr="00EC02CA">
        <w:t>l</w:t>
      </w:r>
      <w:r w:rsidR="008D355C" w:rsidRPr="00EC02CA">
        <w:t>a</w:t>
      </w:r>
      <w:r w:rsidR="00BF4F3F" w:rsidRPr="00EC02CA">
        <w:t xml:space="preserve"> </w:t>
      </w:r>
      <w:r w:rsidR="008D355C" w:rsidRPr="00EC02CA">
        <w:t>McVilly</w:t>
      </w:r>
      <w:r w:rsidR="00BF4F3F" w:rsidRPr="00EC02CA">
        <w:t xml:space="preserve"> in the preparation of </w:t>
      </w:r>
      <w:r w:rsidR="004F66BF" w:rsidRPr="00EC02CA">
        <w:t>the analysis of the existing treatment literature,</w:t>
      </w:r>
      <w:r w:rsidR="0000774D" w:rsidRPr="00EC02CA">
        <w:t xml:space="preserve"> </w:t>
      </w:r>
      <w:r w:rsidR="00EF1C44" w:rsidRPr="00EC02CA">
        <w:t>Libby Saunders for her assistance with the transcripts of interviews,</w:t>
      </w:r>
      <w:r w:rsidR="004F66BF" w:rsidRPr="00EC02CA">
        <w:t xml:space="preserve"> </w:t>
      </w:r>
      <w:r w:rsidR="00BF4F3F" w:rsidRPr="00EC02CA">
        <w:t>and Dr Jen Boo</w:t>
      </w:r>
      <w:r w:rsidR="004F66BF" w:rsidRPr="00EC02CA">
        <w:t>co</w:t>
      </w:r>
      <w:r w:rsidR="0000774D" w:rsidRPr="00EC02CA">
        <w:t>c</w:t>
      </w:r>
      <w:r w:rsidR="004F66BF" w:rsidRPr="00EC02CA">
        <w:t xml:space="preserve">k for </w:t>
      </w:r>
      <w:r w:rsidR="00EF1C44" w:rsidRPr="00EC02CA">
        <w:t xml:space="preserve">her </w:t>
      </w:r>
      <w:r w:rsidR="004E66CB" w:rsidRPr="00EC02CA">
        <w:t xml:space="preserve">dedication to the project </w:t>
      </w:r>
      <w:r w:rsidR="00EF1C44" w:rsidRPr="00EC02CA">
        <w:t xml:space="preserve">as the Executive Officer of the TLRI </w:t>
      </w:r>
      <w:r w:rsidR="004E66CB" w:rsidRPr="00EC02CA">
        <w:t xml:space="preserve">and </w:t>
      </w:r>
      <w:r w:rsidR="004F66BF" w:rsidRPr="00EC02CA">
        <w:t>her assistance with research.</w:t>
      </w:r>
    </w:p>
    <w:p w14:paraId="34BE7FE6" w14:textId="763868C3" w:rsidR="0034009B" w:rsidRPr="00EC02CA" w:rsidRDefault="00EF3B58" w:rsidP="0034009B">
      <w:r w:rsidRPr="00EC02CA">
        <w:t xml:space="preserve">The TLRI expresses </w:t>
      </w:r>
      <w:r w:rsidR="008E6ABB" w:rsidRPr="00EC02CA">
        <w:t xml:space="preserve">its </w:t>
      </w:r>
      <w:r w:rsidR="00B55F04" w:rsidRPr="00EC02CA">
        <w:t>thanks</w:t>
      </w:r>
      <w:r w:rsidR="008E6ABB" w:rsidRPr="00EC02CA">
        <w:t xml:space="preserve"> to the </w:t>
      </w:r>
      <w:r w:rsidR="00B55F04" w:rsidRPr="00EC02CA">
        <w:t>government</w:t>
      </w:r>
      <w:r w:rsidR="00C52F88" w:rsidRPr="00EC02CA">
        <w:t xml:space="preserve"> agencies and </w:t>
      </w:r>
      <w:r w:rsidR="00B55F04" w:rsidRPr="00EC02CA">
        <w:t>service provide</w:t>
      </w:r>
      <w:r w:rsidR="008229CD" w:rsidRPr="00EC02CA">
        <w:t>r</w:t>
      </w:r>
      <w:r w:rsidR="00B55F04" w:rsidRPr="00EC02CA">
        <w:t xml:space="preserve">s </w:t>
      </w:r>
      <w:r w:rsidR="00C52F88" w:rsidRPr="00EC02CA">
        <w:t>that supported this projec</w:t>
      </w:r>
      <w:r w:rsidR="00DE36C5" w:rsidRPr="00EC02CA">
        <w:t>t</w:t>
      </w:r>
      <w:r w:rsidR="00D12519" w:rsidRPr="00EC02CA">
        <w:t xml:space="preserve">, including with the </w:t>
      </w:r>
      <w:r w:rsidR="0067536A" w:rsidRPr="00EC02CA">
        <w:t>interviews</w:t>
      </w:r>
      <w:r w:rsidR="00D12519" w:rsidRPr="00EC02CA">
        <w:t xml:space="preserve"> conducted by the TLRI, </w:t>
      </w:r>
      <w:r w:rsidR="0067536A" w:rsidRPr="00EC02CA">
        <w:t>the provision of data</w:t>
      </w:r>
      <w:r w:rsidR="00BB48EA" w:rsidRPr="00EC02CA">
        <w:t>,</w:t>
      </w:r>
      <w:r w:rsidR="0067536A" w:rsidRPr="00EC02CA">
        <w:t xml:space="preserve"> and feedback provided on a draft of the Research Paper</w:t>
      </w:r>
      <w:r w:rsidR="00C52F88" w:rsidRPr="00EC02CA">
        <w:t xml:space="preserve">. </w:t>
      </w:r>
      <w:r w:rsidR="00DE36C5" w:rsidRPr="00EC02CA">
        <w:t xml:space="preserve">It also gives special thanks and </w:t>
      </w:r>
      <w:r w:rsidRPr="00EC02CA">
        <w:t xml:space="preserve">appreciation to all interview participants for generously contributing their time, knowledge and expertise to this study. </w:t>
      </w:r>
      <w:r w:rsidR="00586941" w:rsidRPr="00EC02CA">
        <w:t>The TLRI acknowledges the</w:t>
      </w:r>
      <w:r w:rsidR="00252B2F" w:rsidRPr="00EC02CA">
        <w:t xml:space="preserve"> dedication and passion of our interview </w:t>
      </w:r>
      <w:r w:rsidR="003555E3" w:rsidRPr="00EC02CA">
        <w:t>participants</w:t>
      </w:r>
      <w:r w:rsidR="00252B2F" w:rsidRPr="00EC02CA">
        <w:t>, whose thoughtful reflect</w:t>
      </w:r>
      <w:r w:rsidR="00215CAC" w:rsidRPr="00EC02CA">
        <w:t>ion</w:t>
      </w:r>
      <w:r w:rsidR="00252B2F" w:rsidRPr="00EC02CA">
        <w:t>s and engagement were inspiring and invaluable</w:t>
      </w:r>
      <w:r w:rsidR="003555E3" w:rsidRPr="00EC02CA">
        <w:t xml:space="preserve"> to the project. </w:t>
      </w:r>
      <w:r w:rsidR="00A200E1" w:rsidRPr="00EC02CA">
        <w:t xml:space="preserve"> </w:t>
      </w:r>
    </w:p>
    <w:p w14:paraId="6D4E0A55" w14:textId="080EF1E2" w:rsidR="003555E3" w:rsidRPr="00EC02CA" w:rsidRDefault="003555E3" w:rsidP="0034009B">
      <w:r w:rsidRPr="00EC02CA">
        <w:t xml:space="preserve">The TLRI </w:t>
      </w:r>
      <w:r w:rsidR="00C80CF9" w:rsidRPr="00EC02CA">
        <w:t xml:space="preserve">gratefully acknowledges </w:t>
      </w:r>
      <w:r w:rsidR="005718A0" w:rsidRPr="00EC02CA">
        <w:t xml:space="preserve">Tasmania Police, the Department of Education, Children and Young People, the Department of Justice (Supreme Court and Magistrates Court) </w:t>
      </w:r>
      <w:r w:rsidR="000D6B84" w:rsidRPr="00EC02CA">
        <w:t>for providing access to data that was used in this project</w:t>
      </w:r>
      <w:r w:rsidR="0042552E" w:rsidRPr="00EC02CA">
        <w:t xml:space="preserve">. This </w:t>
      </w:r>
      <w:r w:rsidR="008E6ABB" w:rsidRPr="00EC02CA">
        <w:t>greatly enhanced the scope of the</w:t>
      </w:r>
      <w:r w:rsidR="00DE36C5" w:rsidRPr="00EC02CA">
        <w:t xml:space="preserve"> project.</w:t>
      </w:r>
    </w:p>
    <w:p w14:paraId="0FA080EA" w14:textId="031D1865" w:rsidR="00DE36C5" w:rsidRPr="00EC02CA" w:rsidRDefault="00DE36C5" w:rsidP="0034009B">
      <w:r w:rsidRPr="00EC02CA">
        <w:t xml:space="preserve">The Research Paper was </w:t>
      </w:r>
      <w:r w:rsidR="00ED4A9B" w:rsidRPr="00EC02CA">
        <w:t xml:space="preserve">copyedited by </w:t>
      </w:r>
      <w:r w:rsidR="000E30B5" w:rsidRPr="00EC02CA">
        <w:t>Donald Ritchie</w:t>
      </w:r>
      <w:r w:rsidR="00ED4A9B" w:rsidRPr="00EC02CA">
        <w:t>.</w:t>
      </w:r>
    </w:p>
    <w:p w14:paraId="0B3D72C0" w14:textId="33BDA951" w:rsidR="0034009B" w:rsidRPr="00EC02CA" w:rsidRDefault="0034009B" w:rsidP="0034009B">
      <w:r w:rsidRPr="00EC02CA">
        <w:t xml:space="preserve">This </w:t>
      </w:r>
      <w:r w:rsidR="00FE410D" w:rsidRPr="00EC02CA">
        <w:t>projec</w:t>
      </w:r>
      <w:r w:rsidRPr="00EC02CA">
        <w:t xml:space="preserve">t was funded </w:t>
      </w:r>
      <w:r w:rsidR="00A200E1" w:rsidRPr="00EC02CA">
        <w:t>by the Department of Justice</w:t>
      </w:r>
      <w:r w:rsidRPr="00EC02CA">
        <w:t>.</w:t>
      </w:r>
    </w:p>
    <w:p w14:paraId="4F67DB35" w14:textId="77777777" w:rsidR="0034009B" w:rsidRPr="00EC02CA" w:rsidRDefault="0034009B" w:rsidP="0034009B">
      <w:r w:rsidRPr="00EC02CA">
        <w:t xml:space="preserve">An electronic copy of the Research Report is available at the TLRI website </w:t>
      </w:r>
      <w:hyperlink r:id="rId16" w:history="1">
        <w:r w:rsidRPr="00EC02CA">
          <w:rPr>
            <w:rStyle w:val="Hyperlink"/>
          </w:rPr>
          <w:t>https://www.utas.edu.au/law-reform/publications</w:t>
        </w:r>
      </w:hyperlink>
    </w:p>
    <w:p w14:paraId="5E516794" w14:textId="77777777" w:rsidR="0034009B" w:rsidRPr="00EC02CA" w:rsidRDefault="0034009B" w:rsidP="0034009B">
      <w:r w:rsidRPr="00EC02CA">
        <w:t xml:space="preserve">A hard copy may also be obtained by: </w:t>
      </w:r>
    </w:p>
    <w:p w14:paraId="73FF851C" w14:textId="77777777" w:rsidR="0034009B" w:rsidRPr="00EC02CA" w:rsidRDefault="0034009B" w:rsidP="0034009B">
      <w:r w:rsidRPr="00EC02CA">
        <w:t xml:space="preserve">Email: </w:t>
      </w:r>
      <w:r w:rsidRPr="00EC02CA">
        <w:tab/>
        <w:t xml:space="preserve">law.reform@utas.edu.au </w:t>
      </w:r>
    </w:p>
    <w:p w14:paraId="2CA2760A" w14:textId="77777777" w:rsidR="0034009B" w:rsidRPr="00EC02CA" w:rsidRDefault="0034009B" w:rsidP="0034009B">
      <w:r w:rsidRPr="00EC02CA">
        <w:t xml:space="preserve">Phone: </w:t>
      </w:r>
      <w:r w:rsidRPr="00EC02CA">
        <w:tab/>
        <w:t xml:space="preserve">(03) 6226 2069 </w:t>
      </w:r>
    </w:p>
    <w:p w14:paraId="6F9722A4" w14:textId="77777777" w:rsidR="0034009B" w:rsidRPr="00EC02CA" w:rsidRDefault="0034009B" w:rsidP="00AD7910">
      <w:pPr>
        <w:spacing w:after="0"/>
      </w:pPr>
      <w:r w:rsidRPr="00EC02CA">
        <w:t xml:space="preserve">Post: </w:t>
      </w:r>
      <w:r w:rsidRPr="00EC02CA">
        <w:tab/>
        <w:t xml:space="preserve">Tasmania Law Reform Institute </w:t>
      </w:r>
    </w:p>
    <w:p w14:paraId="1418D296" w14:textId="62DC1E3F" w:rsidR="0034009B" w:rsidRPr="00EC02CA" w:rsidRDefault="0034009B" w:rsidP="00AD7910">
      <w:pPr>
        <w:spacing w:after="0"/>
      </w:pPr>
      <w:r w:rsidRPr="00EC02CA">
        <w:tab/>
        <w:t xml:space="preserve">Private Bag 89 </w:t>
      </w:r>
    </w:p>
    <w:p w14:paraId="5E913A9B" w14:textId="4F0B39B3" w:rsidR="0034009B" w:rsidRPr="00EC02CA" w:rsidRDefault="0034009B" w:rsidP="00AD7910">
      <w:pPr>
        <w:spacing w:after="0"/>
      </w:pPr>
      <w:r w:rsidRPr="00EC02CA">
        <w:tab/>
        <w:t>Hobart TAS 7001</w:t>
      </w:r>
    </w:p>
    <w:p w14:paraId="70C45DC9" w14:textId="77777777" w:rsidR="00177E74" w:rsidRPr="00EC02CA" w:rsidRDefault="00177E74" w:rsidP="00177E74"/>
    <w:p w14:paraId="424A3141" w14:textId="2CECFC39" w:rsidR="00177E74" w:rsidRPr="00EC02CA" w:rsidRDefault="00177E74" w:rsidP="00177E74">
      <w:pPr>
        <w:pStyle w:val="ExecSummaryandAppendixHeading"/>
      </w:pPr>
      <w:bookmarkStart w:id="4" w:name="_Toc211849341"/>
      <w:bookmarkStart w:id="5" w:name="_Toc218157243"/>
      <w:r w:rsidRPr="00EC02CA">
        <w:t>Ethical Conduct of Research</w:t>
      </w:r>
      <w:bookmarkEnd w:id="4"/>
      <w:bookmarkEnd w:id="5"/>
    </w:p>
    <w:p w14:paraId="11C8CB03" w14:textId="192093CE" w:rsidR="00C714FA" w:rsidRPr="00EC02CA" w:rsidRDefault="00600335" w:rsidP="00177E74">
      <w:pPr>
        <w:sectPr w:rsidR="00C714FA" w:rsidRPr="00EC02CA" w:rsidSect="00A72D77">
          <w:headerReference w:type="even" r:id="rId17"/>
          <w:pgSz w:w="11906" w:h="16838"/>
          <w:pgMar w:top="1440" w:right="1440" w:bottom="1440" w:left="1440" w:header="708" w:footer="708" w:gutter="0"/>
          <w:pgNumType w:fmt="lowerRoman" w:start="1"/>
          <w:cols w:space="708"/>
          <w:docGrid w:linePitch="360"/>
        </w:sectPr>
      </w:pPr>
      <w:r w:rsidRPr="00EC02CA">
        <w:t xml:space="preserve">This research </w:t>
      </w:r>
      <w:r w:rsidR="00541D27" w:rsidRPr="00EC02CA">
        <w:t>was</w:t>
      </w:r>
      <w:r w:rsidRPr="00EC02CA">
        <w:t xml:space="preserve"> approved by the University of Tasmania’s Social Sciences Human Research Ethics Committee. If you have concerns or complaints about the conduct of this </w:t>
      </w:r>
      <w:r w:rsidR="00BB48EA" w:rsidRPr="00EC02CA">
        <w:t>research</w:t>
      </w:r>
      <w:r w:rsidRPr="00EC02CA">
        <w:t>, please contact the Executive Officer of the Human Research Ethics Committee (Tasmania) Network on +61 3 6226 6254 or email human.ethics@utas.edu.au. The Executive Officer is the person nominated to receive complaints from research participants. Please quote ethics reference number</w:t>
      </w:r>
      <w:r w:rsidR="0066473D" w:rsidRPr="00EC02CA">
        <w:t xml:space="preserve"> </w:t>
      </w:r>
      <w:r w:rsidR="00F261C8" w:rsidRPr="00EC02CA">
        <w:t>29252</w:t>
      </w:r>
      <w:r w:rsidR="0066473D" w:rsidRPr="00EC02CA">
        <w:t>.</w:t>
      </w:r>
    </w:p>
    <w:p w14:paraId="5F3BD843" w14:textId="7E8416F0" w:rsidR="00177E74" w:rsidRPr="00EC02CA" w:rsidRDefault="00C714FA" w:rsidP="007737B6">
      <w:pPr>
        <w:pStyle w:val="ExecSummaryandAppendixHeading"/>
      </w:pPr>
      <w:bookmarkStart w:id="6" w:name="_Toc211849342"/>
      <w:bookmarkStart w:id="7" w:name="_Toc218157244"/>
      <w:r w:rsidRPr="00EC02CA">
        <w:t>Executive Summary</w:t>
      </w:r>
      <w:bookmarkEnd w:id="6"/>
      <w:bookmarkEnd w:id="7"/>
    </w:p>
    <w:p w14:paraId="0B8FBD9C" w14:textId="77777777" w:rsidR="00F54988" w:rsidRPr="00EC02CA" w:rsidRDefault="00F54988" w:rsidP="002F0007">
      <w:pPr>
        <w:pStyle w:val="NormalNumberedTextTLRI"/>
        <w:numPr>
          <w:ilvl w:val="0"/>
          <w:numId w:val="0"/>
        </w:numPr>
      </w:pPr>
      <w:r w:rsidRPr="00EC02CA">
        <w:t xml:space="preserve">This Research Paper evaluates the response of the Tasmanian youth justice system to allegations of sexual offending by young people. </w:t>
      </w:r>
    </w:p>
    <w:p w14:paraId="2469CA1D" w14:textId="0E7A8A42" w:rsidR="00F54988" w:rsidRPr="00EC02CA" w:rsidRDefault="00F54988" w:rsidP="002F0007">
      <w:pPr>
        <w:pStyle w:val="NormalNumberedTextTLRI"/>
        <w:numPr>
          <w:ilvl w:val="0"/>
          <w:numId w:val="0"/>
        </w:numPr>
      </w:pPr>
      <w:r w:rsidRPr="00EC02CA">
        <w:t xml:space="preserve">While children and young people are more often recognised as </w:t>
      </w:r>
      <w:r w:rsidR="00886B70" w:rsidRPr="00EC02CA">
        <w:t>victim-survivor</w:t>
      </w:r>
      <w:r w:rsidRPr="00EC02CA">
        <w:t>s of sexual offending,</w:t>
      </w:r>
      <w:r w:rsidRPr="00EC02CA">
        <w:rPr>
          <w:rFonts w:ascii="Garamond" w:hAnsi="Garamond"/>
        </w:rPr>
        <w:t xml:space="preserve"> </w:t>
      </w:r>
      <w:r w:rsidRPr="00EC02CA">
        <w:t xml:space="preserve">there is growing concerns about sexual offending by young people. More recently, there has been recognition of the extent of both physical sexual abuse and online sexual offending by young people, and with that recognition, a need to better understand how the youth justice system responds. Harmful sexual behaviour and sexual offending can cause significant and ongoing harm to </w:t>
      </w:r>
      <w:r w:rsidR="003C2332" w:rsidRPr="00EC02CA">
        <w:t>victim-survivors</w:t>
      </w:r>
      <w:r w:rsidRPr="00EC02CA">
        <w:t xml:space="preserve">. </w:t>
      </w:r>
    </w:p>
    <w:p w14:paraId="097B761B" w14:textId="7EE006A8" w:rsidR="00F54988" w:rsidRPr="00EC02CA" w:rsidRDefault="00F54988" w:rsidP="002F0007">
      <w:pPr>
        <w:pStyle w:val="NormalNumberedTextTLRI"/>
        <w:numPr>
          <w:ilvl w:val="0"/>
          <w:numId w:val="0"/>
        </w:numPr>
      </w:pPr>
      <w:r w:rsidRPr="00EC02CA">
        <w:t xml:space="preserve">In the 29 years since the </w:t>
      </w:r>
      <w:r w:rsidRPr="00EC02CA">
        <w:rPr>
          <w:i/>
          <w:iCs/>
        </w:rPr>
        <w:t xml:space="preserve">Youth Justice Act 1997 </w:t>
      </w:r>
      <w:r w:rsidRPr="00EC02CA">
        <w:t>(Tas) was passed</w:t>
      </w:r>
      <w:r w:rsidR="654925A0" w:rsidRPr="00EC02CA">
        <w:t>,</w:t>
      </w:r>
      <w:r w:rsidRPr="00EC02CA">
        <w:t xml:space="preserve"> substantial changes have occurred in society’s understanding of sexual offending by young people. The youth justice system was designed before:</w:t>
      </w:r>
    </w:p>
    <w:p w14:paraId="606EACCB" w14:textId="68C66E6C" w:rsidR="00F54988" w:rsidRPr="00EC02CA" w:rsidRDefault="00F54988" w:rsidP="007245AB">
      <w:pPr>
        <w:pStyle w:val="NormalNumberedTextTLRI"/>
        <w:numPr>
          <w:ilvl w:val="0"/>
          <w:numId w:val="124"/>
        </w:numPr>
      </w:pPr>
      <w:r w:rsidRPr="00EC02CA">
        <w:t>the phenomenon of online sexual offending by young people existed</w:t>
      </w:r>
      <w:r w:rsidR="00BB48EA" w:rsidRPr="00EC02CA">
        <w:t>;</w:t>
      </w:r>
      <w:r w:rsidRPr="00EC02CA">
        <w:t xml:space="preserve"> and </w:t>
      </w:r>
    </w:p>
    <w:p w14:paraId="10E7D06D" w14:textId="2FE880D0" w:rsidR="00F54988" w:rsidRPr="00EC02CA" w:rsidRDefault="00F54988" w:rsidP="007245AB">
      <w:pPr>
        <w:pStyle w:val="NormalNumberedTextTLRI"/>
        <w:numPr>
          <w:ilvl w:val="0"/>
          <w:numId w:val="124"/>
        </w:numPr>
      </w:pPr>
      <w:r w:rsidRPr="00EC02CA">
        <w:t xml:space="preserve">the </w:t>
      </w:r>
      <w:r w:rsidRPr="00EC02CA">
        <w:rPr>
          <w:i/>
        </w:rPr>
        <w:t xml:space="preserve">Royal Commission into Child Sexual Abuse in Institutions </w:t>
      </w:r>
      <w:r w:rsidRPr="00EC02CA">
        <w:t xml:space="preserve">shone a light on the nature and prevalence of physical sexual offending by young people. </w:t>
      </w:r>
    </w:p>
    <w:p w14:paraId="28338F8F" w14:textId="77777777" w:rsidR="00F54988" w:rsidRPr="00EC02CA" w:rsidRDefault="00F54988" w:rsidP="00F54988">
      <w:r w:rsidRPr="00EC02CA">
        <w:t xml:space="preserve">Broadly, this Research Paper is an exploratory study that evaluates the current legal framework set out in the </w:t>
      </w:r>
      <w:r w:rsidRPr="00EC02CA">
        <w:rPr>
          <w:i/>
          <w:iCs/>
        </w:rPr>
        <w:t xml:space="preserve">Youth Justice Act 1997 </w:t>
      </w:r>
      <w:r w:rsidRPr="00EC02CA">
        <w:t>(Tas). It draws on quantitative data, qualitative interviews, and comparative legal analysis to identify systemic gaps and makes recommendations for reforms. The paper is structured around:</w:t>
      </w:r>
    </w:p>
    <w:p w14:paraId="5D172FFF" w14:textId="0F0223E4" w:rsidR="00F54988" w:rsidRPr="00EC02CA" w:rsidRDefault="093876C0" w:rsidP="00F54988">
      <w:pPr>
        <w:pStyle w:val="DotPointTLRI"/>
      </w:pPr>
      <w:r w:rsidRPr="00EC02CA">
        <w:rPr>
          <w:rFonts w:eastAsiaTheme="majorEastAsia"/>
          <w:b/>
          <w:bCs/>
        </w:rPr>
        <w:t>Quantitative analysis</w:t>
      </w:r>
      <w:r w:rsidRPr="00EC02CA">
        <w:t xml:space="preserve"> of sexual offence data re</w:t>
      </w:r>
      <w:r w:rsidR="00AC7EAC" w:rsidRPr="00EC02CA">
        <w:t>lating</w:t>
      </w:r>
      <w:r w:rsidRPr="00EC02CA">
        <w:t xml:space="preserve"> to young people</w:t>
      </w:r>
      <w:r w:rsidR="00BB48EA" w:rsidRPr="00EC02CA">
        <w:t>,</w:t>
      </w:r>
      <w:r w:rsidRPr="00EC02CA">
        <w:t xml:space="preserve"> </w:t>
      </w:r>
      <w:r w:rsidR="256D630F" w:rsidRPr="00EC02CA">
        <w:t xml:space="preserve">received </w:t>
      </w:r>
      <w:r w:rsidRPr="00EC02CA">
        <w:t>from Tasmania Police, the Department of Justice and the Department for Education, Children and Young People (DECYP).</w:t>
      </w:r>
    </w:p>
    <w:p w14:paraId="5D993BAD" w14:textId="010B4B59" w:rsidR="00F54988" w:rsidRPr="00EC02CA" w:rsidRDefault="093876C0" w:rsidP="00F54988">
      <w:pPr>
        <w:pStyle w:val="DotPointTLRI"/>
      </w:pPr>
      <w:r w:rsidRPr="00EC02CA">
        <w:rPr>
          <w:rFonts w:eastAsiaTheme="majorEastAsia"/>
          <w:b/>
          <w:bCs/>
        </w:rPr>
        <w:t>Qualitative interviews</w:t>
      </w:r>
      <w:r w:rsidR="00FB050F" w:rsidRPr="00EC02CA">
        <w:rPr>
          <w:rFonts w:eastAsiaTheme="majorEastAsia"/>
          <w:b/>
          <w:bCs/>
        </w:rPr>
        <w:t xml:space="preserve"> </w:t>
      </w:r>
      <w:r w:rsidRPr="00EC02CA">
        <w:t xml:space="preserve">conducted with eight police officers from Tasmania Police, two police officers from the Australian Federal Police, five people from the legal sector, </w:t>
      </w:r>
      <w:r w:rsidR="6332583F" w:rsidRPr="00EC02CA">
        <w:t>nine</w:t>
      </w:r>
      <w:r w:rsidRPr="00EC02CA">
        <w:t xml:space="preserve"> people from the non-government support sector, seven </w:t>
      </w:r>
      <w:r w:rsidR="191C9DFE" w:rsidRPr="00EC02CA">
        <w:t xml:space="preserve">people </w:t>
      </w:r>
      <w:r w:rsidRPr="00EC02CA">
        <w:t xml:space="preserve">from the education sector and </w:t>
      </w:r>
      <w:r w:rsidR="6332583F" w:rsidRPr="00EC02CA">
        <w:t>ten</w:t>
      </w:r>
      <w:r w:rsidRPr="00EC02CA">
        <w:t xml:space="preserve"> </w:t>
      </w:r>
      <w:r w:rsidR="465903C8" w:rsidRPr="00EC02CA">
        <w:t xml:space="preserve">people </w:t>
      </w:r>
      <w:r w:rsidRPr="00EC02CA">
        <w:t xml:space="preserve">from the government sector with </w:t>
      </w:r>
      <w:r w:rsidR="00E1085D" w:rsidRPr="00EC02CA">
        <w:t xml:space="preserve">a </w:t>
      </w:r>
      <w:r w:rsidRPr="00EC02CA">
        <w:t xml:space="preserve">youth focus. In total, the </w:t>
      </w:r>
      <w:r w:rsidR="00581E06" w:rsidRPr="00EC02CA">
        <w:t>Tasmania Law Reform Institute (</w:t>
      </w:r>
      <w:r w:rsidRPr="00EC02CA">
        <w:t>TLRI</w:t>
      </w:r>
      <w:r w:rsidR="00581E06" w:rsidRPr="00EC02CA">
        <w:t>)</w:t>
      </w:r>
      <w:r w:rsidRPr="00EC02CA">
        <w:t xml:space="preserve"> conducted 3</w:t>
      </w:r>
      <w:r w:rsidR="6332583F" w:rsidRPr="00EC02CA">
        <w:t>8</w:t>
      </w:r>
      <w:r w:rsidRPr="00EC02CA">
        <w:t xml:space="preserve"> semi-structured interviews with </w:t>
      </w:r>
      <w:r w:rsidR="6332583F" w:rsidRPr="00EC02CA">
        <w:t>41</w:t>
      </w:r>
      <w:r w:rsidRPr="00EC02CA">
        <w:t xml:space="preserve"> participants using a set of broad questions that allowed for participants to provide insight into their views based on their own </w:t>
      </w:r>
      <w:r w:rsidR="00EF1F16" w:rsidRPr="00EC02CA">
        <w:t xml:space="preserve">specific </w:t>
      </w:r>
      <w:r w:rsidRPr="00EC02CA">
        <w:t>professional perspective</w:t>
      </w:r>
      <w:r w:rsidR="00BB48EA" w:rsidRPr="00EC02CA">
        <w:t>s.</w:t>
      </w:r>
    </w:p>
    <w:p w14:paraId="5A934738" w14:textId="545BC018" w:rsidR="00F54988" w:rsidRPr="00EC02CA" w:rsidRDefault="00F54988" w:rsidP="00F54988">
      <w:r w:rsidRPr="00EC02CA">
        <w:t xml:space="preserve">The TLRI sets out </w:t>
      </w:r>
      <w:r w:rsidR="00DF7FCC" w:rsidRPr="00EC02CA">
        <w:t>14</w:t>
      </w:r>
      <w:r w:rsidRPr="00EC02CA">
        <w:t xml:space="preserve"> recommendations for reform informed by these data, doctrinal research as well as reviews of relevant literature and comparative legal analysis. </w:t>
      </w:r>
    </w:p>
    <w:p w14:paraId="6CC5DBB8" w14:textId="30F7567C" w:rsidR="004D13F6" w:rsidRPr="00EC02CA" w:rsidRDefault="00F54988" w:rsidP="00F54988">
      <w:r w:rsidRPr="00EC02CA">
        <w:t xml:space="preserve">In this Research Paper, in considering appropriate reforms, the TLRI urges caution </w:t>
      </w:r>
      <w:r w:rsidR="004815A9" w:rsidRPr="00EC02CA">
        <w:t>to avoid two main errors of the 20</w:t>
      </w:r>
      <w:r w:rsidR="004815A9" w:rsidRPr="00EC02CA">
        <w:rPr>
          <w:vertAlign w:val="superscript"/>
        </w:rPr>
        <w:t>th</w:t>
      </w:r>
      <w:r w:rsidR="004815A9" w:rsidRPr="00EC02CA">
        <w:t xml:space="preserve"> century</w:t>
      </w:r>
      <w:r w:rsidR="002A4578" w:rsidRPr="00EC02CA">
        <w:t>. Namely</w:t>
      </w:r>
      <w:r w:rsidR="004D13F6" w:rsidRPr="00EC02CA">
        <w:t>:</w:t>
      </w:r>
      <w:r w:rsidRPr="00EC02CA">
        <w:t xml:space="preserve"> </w:t>
      </w:r>
    </w:p>
    <w:p w14:paraId="5965B3B7" w14:textId="4064DF36" w:rsidR="004D13F6" w:rsidRPr="00EC02CA" w:rsidRDefault="00B85879" w:rsidP="007245AB">
      <w:pPr>
        <w:pStyle w:val="DotPointTLRI"/>
      </w:pPr>
      <w:r w:rsidRPr="00EC02CA">
        <w:t xml:space="preserve">overt reliance on deterrence and punishment to address </w:t>
      </w:r>
      <w:r w:rsidR="001B271E" w:rsidRPr="00EC02CA">
        <w:t xml:space="preserve">youth offending </w:t>
      </w:r>
      <w:r w:rsidR="000238A5" w:rsidRPr="00EC02CA">
        <w:t xml:space="preserve">without consideration for their </w:t>
      </w:r>
      <w:r w:rsidR="00F71A68" w:rsidRPr="00EC02CA">
        <w:t>welfare needs</w:t>
      </w:r>
      <w:r w:rsidR="004D13F6" w:rsidRPr="00EC02CA">
        <w:t>;</w:t>
      </w:r>
      <w:r w:rsidR="00F71A68" w:rsidRPr="00EC02CA">
        <w:t xml:space="preserve"> and </w:t>
      </w:r>
    </w:p>
    <w:p w14:paraId="0CDE0E09" w14:textId="45BB6C63" w:rsidR="004D13F6" w:rsidRPr="00EC02CA" w:rsidRDefault="005A6E41" w:rsidP="007245AB">
      <w:pPr>
        <w:pStyle w:val="DotPointTLRI"/>
      </w:pPr>
      <w:r w:rsidRPr="00EC02CA">
        <w:t xml:space="preserve">excessive </w:t>
      </w:r>
      <w:r w:rsidR="00F54988" w:rsidRPr="00EC02CA">
        <w:t>welfare</w:t>
      </w:r>
      <w:r w:rsidR="009100F8" w:rsidRPr="00EC02CA">
        <w:t>-</w:t>
      </w:r>
      <w:r w:rsidR="00F54988" w:rsidRPr="00EC02CA">
        <w:t>focussed response</w:t>
      </w:r>
      <w:r w:rsidRPr="00EC02CA">
        <w:t>s</w:t>
      </w:r>
      <w:r w:rsidR="00F54988" w:rsidRPr="00EC02CA">
        <w:t xml:space="preserve"> that </w:t>
      </w:r>
      <w:r w:rsidR="00996D04" w:rsidRPr="00EC02CA">
        <w:t xml:space="preserve">blur the lines between </w:t>
      </w:r>
      <w:r w:rsidR="00302A94" w:rsidRPr="00EC02CA">
        <w:t>the portfolios of child protection</w:t>
      </w:r>
      <w:r w:rsidR="00A22DF3" w:rsidRPr="00EC02CA">
        <w:t xml:space="preserve"> and youth justice</w:t>
      </w:r>
      <w:r w:rsidR="004D13F6" w:rsidRPr="00EC02CA">
        <w:t>,</w:t>
      </w:r>
      <w:r w:rsidR="00E878FD" w:rsidRPr="00EC02CA">
        <w:t xml:space="preserve"> justifying </w:t>
      </w:r>
      <w:r w:rsidR="00F54988" w:rsidRPr="00EC02CA">
        <w:t>state intervention</w:t>
      </w:r>
      <w:r w:rsidR="00EB7D41" w:rsidRPr="00EC02CA">
        <w:t>s into the lives of young people that are disproportionate to the criminality of their conduct</w:t>
      </w:r>
      <w:r w:rsidR="00F54988" w:rsidRPr="00EC02CA">
        <w:t>.</w:t>
      </w:r>
      <w:r w:rsidR="00EB7D41" w:rsidRPr="00EC02CA">
        <w:t xml:space="preserve"> </w:t>
      </w:r>
    </w:p>
    <w:p w14:paraId="5F201458" w14:textId="09D02412" w:rsidR="00F54988" w:rsidRPr="00EC02CA" w:rsidRDefault="00F54988" w:rsidP="00F54988">
      <w:r w:rsidRPr="00EC02CA">
        <w:t>It is to be remembered that available research suggests that most young people desist from offending behaviour without any state intervention. The challenge is to not over-respond and draw young people unnecessarily into the youth justice system (</w:t>
      </w:r>
      <w:r w:rsidR="00AA026D" w:rsidRPr="00EC02CA">
        <w:t>‘</w:t>
      </w:r>
      <w:r w:rsidRPr="00EC02CA">
        <w:t>net</w:t>
      </w:r>
      <w:r w:rsidR="00E72F92" w:rsidRPr="00EC02CA">
        <w:t>-</w:t>
      </w:r>
      <w:r w:rsidRPr="00EC02CA">
        <w:t>widening</w:t>
      </w:r>
      <w:r w:rsidR="00AA026D" w:rsidRPr="00EC02CA">
        <w:t>’</w:t>
      </w:r>
      <w:r w:rsidRPr="00EC02CA">
        <w:t>) and not to under-respond and provide no (or an inadequate) justice response when a response is required. It is clear that effective criminal justice system response</w:t>
      </w:r>
      <w:r w:rsidR="00AA026D" w:rsidRPr="00EC02CA">
        <w:t>s</w:t>
      </w:r>
      <w:r w:rsidRPr="00EC02CA">
        <w:t xml:space="preserve"> to harmful sexual behaviour </w:t>
      </w:r>
      <w:r w:rsidR="007245AB" w:rsidRPr="00EC02CA">
        <w:t xml:space="preserve">are </w:t>
      </w:r>
      <w:r w:rsidRPr="00EC02CA">
        <w:t>a key component of government responses</w:t>
      </w:r>
      <w:r w:rsidR="00AA026D" w:rsidRPr="00EC02CA">
        <w:t>,</w:t>
      </w:r>
      <w:r w:rsidRPr="00EC02CA">
        <w:t xml:space="preserve"> and this involves considering what specialised and appropriate legal response</w:t>
      </w:r>
      <w:r w:rsidR="00AA026D" w:rsidRPr="00EC02CA">
        <w:t>s</w:t>
      </w:r>
      <w:r w:rsidRPr="00EC02CA">
        <w:t xml:space="preserve"> might look like. However, s</w:t>
      </w:r>
      <w:r w:rsidR="001F4ABE" w:rsidRPr="00EC02CA">
        <w:t>triking</w:t>
      </w:r>
      <w:r w:rsidRPr="00EC02CA">
        <w:t xml:space="preserve"> the right </w:t>
      </w:r>
      <w:r w:rsidR="00AA026D" w:rsidRPr="00EC02CA">
        <w:t xml:space="preserve">balance in </w:t>
      </w:r>
      <w:r w:rsidRPr="00EC02CA">
        <w:t>youth justice system response</w:t>
      </w:r>
      <w:r w:rsidR="00AA026D" w:rsidRPr="00EC02CA">
        <w:t>s</w:t>
      </w:r>
      <w:r w:rsidRPr="00EC02CA">
        <w:t xml:space="preserve"> is challenging.</w:t>
      </w:r>
    </w:p>
    <w:p w14:paraId="6CB96E79" w14:textId="77777777" w:rsidR="00F54988" w:rsidRPr="00EC02CA" w:rsidRDefault="00F54988" w:rsidP="00AD7910">
      <w:pPr>
        <w:rPr>
          <w:i/>
          <w:iCs/>
        </w:rPr>
      </w:pPr>
      <w:bookmarkStart w:id="8" w:name="_Toc211849343"/>
      <w:r w:rsidRPr="00EC02CA">
        <w:rPr>
          <w:b/>
          <w:bCs/>
          <w:i/>
          <w:iCs/>
        </w:rPr>
        <w:t>What is the youth justice system?</w:t>
      </w:r>
      <w:bookmarkEnd w:id="8"/>
    </w:p>
    <w:p w14:paraId="20D0177D" w14:textId="50C9BC3E" w:rsidR="00F54988" w:rsidRPr="00EC02CA" w:rsidRDefault="00F54988" w:rsidP="002F0007">
      <w:pPr>
        <w:pStyle w:val="NormalNumberedTextTLRI"/>
        <w:numPr>
          <w:ilvl w:val="0"/>
          <w:numId w:val="0"/>
        </w:numPr>
      </w:pPr>
      <w:r w:rsidRPr="00EC02CA">
        <w:t xml:space="preserve">The </w:t>
      </w:r>
      <w:r w:rsidR="00AA026D" w:rsidRPr="00EC02CA">
        <w:t>y</w:t>
      </w:r>
      <w:r w:rsidRPr="00EC02CA">
        <w:t xml:space="preserve">outh </w:t>
      </w:r>
      <w:r w:rsidR="00AA026D" w:rsidRPr="00EC02CA">
        <w:t>j</w:t>
      </w:r>
      <w:r w:rsidRPr="00EC02CA">
        <w:t xml:space="preserve">ustice </w:t>
      </w:r>
      <w:r w:rsidR="00AA026D" w:rsidRPr="00EC02CA">
        <w:t>s</w:t>
      </w:r>
      <w:r w:rsidRPr="00EC02CA">
        <w:t xml:space="preserve">ystem operates under the </w:t>
      </w:r>
      <w:r w:rsidRPr="00EC02CA">
        <w:rPr>
          <w:i/>
        </w:rPr>
        <w:t xml:space="preserve">Youth Justice Act 1997 </w:t>
      </w:r>
      <w:r w:rsidRPr="00EC02CA">
        <w:t xml:space="preserve">(Tas) and applies to people who are </w:t>
      </w:r>
      <w:r w:rsidR="00AA026D" w:rsidRPr="00EC02CA">
        <w:t xml:space="preserve">aged </w:t>
      </w:r>
      <w:r w:rsidRPr="00EC02CA">
        <w:t>under 18 at the time when the alleged offence was committed. It is part of the broader criminal justice system.</w:t>
      </w:r>
    </w:p>
    <w:p w14:paraId="6A21CFE1" w14:textId="0E2D69E9" w:rsidR="00F54988" w:rsidRPr="00EC02CA" w:rsidRDefault="00F54988" w:rsidP="002F0007">
      <w:pPr>
        <w:pStyle w:val="NormalNumberedTextTLRI"/>
        <w:numPr>
          <w:ilvl w:val="0"/>
          <w:numId w:val="0"/>
        </w:numPr>
      </w:pPr>
      <w:r w:rsidRPr="00EC02CA">
        <w:t xml:space="preserve">Under the </w:t>
      </w:r>
      <w:r w:rsidRPr="00EC02CA">
        <w:rPr>
          <w:i/>
          <w:iCs/>
        </w:rPr>
        <w:t xml:space="preserve">Youth Justice Act 1997 </w:t>
      </w:r>
      <w:r w:rsidRPr="00EC02CA">
        <w:t>(Tas), the Magistrates Court (Youth Justice Division) is the specialist court to adjudicate matters involving alleged criminal conduct by young people for most sexual offences. However, prescribed offences are dealt with by the Supreme Court (and not the Youth Justice Division). There are three sexual offences that a</w:t>
      </w:r>
      <w:r w:rsidR="00190C8E" w:rsidRPr="00EC02CA">
        <w:t>re</w:t>
      </w:r>
      <w:r w:rsidRPr="00EC02CA">
        <w:t xml:space="preserve"> prescribed offences and only for young people aged 14 to 18: rape, aggravated sexual assault</w:t>
      </w:r>
      <w:r w:rsidR="00AA026D" w:rsidRPr="00EC02CA">
        <w:t>,</w:t>
      </w:r>
      <w:r w:rsidRPr="00EC02CA">
        <w:t xml:space="preserve"> and persistent sexual abuse of a young person. Other key components of the youth justice system are Tasmania Police and Youth Justice Services (</w:t>
      </w:r>
      <w:r w:rsidR="00716D36" w:rsidRPr="00EC02CA">
        <w:t>DE</w:t>
      </w:r>
      <w:r w:rsidR="00581E06" w:rsidRPr="00EC02CA">
        <w:t>C</w:t>
      </w:r>
      <w:r w:rsidR="00716D36" w:rsidRPr="00EC02CA">
        <w:t>YP</w:t>
      </w:r>
      <w:r w:rsidRPr="00EC02CA">
        <w:t>).</w:t>
      </w:r>
    </w:p>
    <w:p w14:paraId="2E30D0CB" w14:textId="4B412325" w:rsidR="00F54988" w:rsidRPr="00EC02CA" w:rsidRDefault="00716D36" w:rsidP="002F0007">
      <w:pPr>
        <w:pStyle w:val="NormalNumberedTextTLRI"/>
        <w:numPr>
          <w:ilvl w:val="0"/>
          <w:numId w:val="0"/>
        </w:numPr>
      </w:pPr>
      <w:r w:rsidRPr="00EC02CA">
        <w:t>There</w:t>
      </w:r>
      <w:r w:rsidR="00F54988" w:rsidRPr="00EC02CA">
        <w:t xml:space="preserve"> are </w:t>
      </w:r>
      <w:r w:rsidRPr="00EC02CA">
        <w:t xml:space="preserve">also </w:t>
      </w:r>
      <w:r w:rsidR="00F54988" w:rsidRPr="00EC02CA">
        <w:t xml:space="preserve">other sectors and decision-makers who may be involved where young people are alleged to have committed sexual offences. In addition to Tasmania Police, the </w:t>
      </w:r>
      <w:r w:rsidR="00F54988" w:rsidRPr="00EC02CA">
        <w:rPr>
          <w:bCs/>
        </w:rPr>
        <w:t>Australian Federal Police</w:t>
      </w:r>
      <w:r w:rsidR="00F54988" w:rsidRPr="00EC02CA">
        <w:rPr>
          <w:b/>
        </w:rPr>
        <w:t xml:space="preserve"> </w:t>
      </w:r>
      <w:r w:rsidR="009D2886" w:rsidRPr="00EC02CA">
        <w:rPr>
          <w:b/>
        </w:rPr>
        <w:t xml:space="preserve"> </w:t>
      </w:r>
      <w:r w:rsidR="009E63E8" w:rsidRPr="00EC02CA">
        <w:rPr>
          <w:bCs/>
        </w:rPr>
        <w:t xml:space="preserve">(AFP) </w:t>
      </w:r>
      <w:r w:rsidR="009D2886" w:rsidRPr="00EC02CA">
        <w:rPr>
          <w:bCs/>
        </w:rPr>
        <w:t>also operate in Tasmania in relation to online offending</w:t>
      </w:r>
      <w:r w:rsidR="008A0E4D" w:rsidRPr="00EC02CA">
        <w:rPr>
          <w:b/>
        </w:rPr>
        <w:t xml:space="preserve">. </w:t>
      </w:r>
      <w:r w:rsidR="008A0E4D" w:rsidRPr="00EC02CA">
        <w:t>T</w:t>
      </w:r>
      <w:r w:rsidR="00F54988" w:rsidRPr="00EC02CA">
        <w:t xml:space="preserve">he AFP and Tasmania Police have a memorandum of understanding </w:t>
      </w:r>
      <w:r w:rsidR="00581E06" w:rsidRPr="00EC02CA">
        <w:t xml:space="preserve">that </w:t>
      </w:r>
      <w:r w:rsidR="00F54988" w:rsidRPr="00EC02CA">
        <w:t xml:space="preserve">formalises the arrangement of the </w:t>
      </w:r>
      <w:r w:rsidR="00F54988" w:rsidRPr="00EC02CA">
        <w:rPr>
          <w:bCs/>
        </w:rPr>
        <w:t>Joint Anti Child Exploitation Team</w:t>
      </w:r>
      <w:r w:rsidR="00F54988" w:rsidRPr="00EC02CA">
        <w:t xml:space="preserve"> (</w:t>
      </w:r>
      <w:r w:rsidR="552690C7" w:rsidRPr="00EC02CA">
        <w:t>JACET)</w:t>
      </w:r>
      <w:r w:rsidR="531500E8" w:rsidRPr="00EC02CA">
        <w:t xml:space="preserve">, </w:t>
      </w:r>
      <w:r w:rsidR="00063169" w:rsidRPr="00EC02CA">
        <w:t xml:space="preserve">which </w:t>
      </w:r>
      <w:r w:rsidR="00AE73D8" w:rsidRPr="00EC02CA">
        <w:t>comprises officers from Tasmania Police and the AFP</w:t>
      </w:r>
      <w:r w:rsidR="006078B9" w:rsidRPr="00EC02CA">
        <w:t>.</w:t>
      </w:r>
      <w:r w:rsidR="00F54988" w:rsidRPr="00EC02CA">
        <w:t xml:space="preserve"> The Office of the Director of Public Prosecution </w:t>
      </w:r>
      <w:r w:rsidR="00FB050F" w:rsidRPr="00EC02CA">
        <w:t xml:space="preserve">(DPP) </w:t>
      </w:r>
      <w:r w:rsidR="00F54988" w:rsidRPr="00EC02CA">
        <w:t xml:space="preserve">also has a role in relation to prosecution of young offenders. Further, while, the education system is clearly distinct from the youth justice system, </w:t>
      </w:r>
      <w:r w:rsidR="7F999EF6" w:rsidRPr="00EC02CA">
        <w:t xml:space="preserve">at times, </w:t>
      </w:r>
      <w:r w:rsidR="00F54988" w:rsidRPr="00EC02CA">
        <w:t xml:space="preserve">its obligations to care for students require it to interact with the youth justice system. In fact, the education sector </w:t>
      </w:r>
      <w:r w:rsidR="00581E06" w:rsidRPr="00EC02CA">
        <w:t>is</w:t>
      </w:r>
      <w:r w:rsidR="00F54988" w:rsidRPr="00EC02CA">
        <w:t xml:space="preserve"> increas</w:t>
      </w:r>
      <w:r w:rsidR="00581E06" w:rsidRPr="00EC02CA">
        <w:t>ingly</w:t>
      </w:r>
      <w:r w:rsidR="00F54988" w:rsidRPr="00EC02CA">
        <w:t xml:space="preserve"> involve</w:t>
      </w:r>
      <w:r w:rsidR="00581E06" w:rsidRPr="00EC02CA">
        <w:t>d</w:t>
      </w:r>
      <w:r w:rsidR="00F54988" w:rsidRPr="00EC02CA">
        <w:t xml:space="preserve"> </w:t>
      </w:r>
      <w:r w:rsidR="00581E06" w:rsidRPr="00EC02CA">
        <w:t xml:space="preserve">in </w:t>
      </w:r>
      <w:r w:rsidR="00F54988" w:rsidRPr="00EC02CA">
        <w:t>sexual offending</w:t>
      </w:r>
      <w:r w:rsidR="00D10B59" w:rsidRPr="00EC02CA">
        <w:t xml:space="preserve"> by young people</w:t>
      </w:r>
      <w:r w:rsidR="00F54988" w:rsidRPr="00EC02CA">
        <w:t xml:space="preserve">, given the </w:t>
      </w:r>
      <w:r w:rsidR="00581E06" w:rsidRPr="00EC02CA">
        <w:t xml:space="preserve">rise </w:t>
      </w:r>
      <w:r w:rsidR="00F54988" w:rsidRPr="00EC02CA">
        <w:t xml:space="preserve">in online offending, which both increases the </w:t>
      </w:r>
      <w:r w:rsidR="00581E06" w:rsidRPr="00EC02CA">
        <w:t>likelihood of</w:t>
      </w:r>
      <w:r w:rsidR="00F54988" w:rsidRPr="00EC02CA">
        <w:t xml:space="preserve"> offence</w:t>
      </w:r>
      <w:r w:rsidR="00581E06" w:rsidRPr="00EC02CA">
        <w:t>s</w:t>
      </w:r>
      <w:r w:rsidR="00F54988" w:rsidRPr="00EC02CA">
        <w:t xml:space="preserve"> be</w:t>
      </w:r>
      <w:r w:rsidR="00581E06" w:rsidRPr="00EC02CA">
        <w:t>ing</w:t>
      </w:r>
      <w:r w:rsidR="00F54988" w:rsidRPr="00EC02CA">
        <w:t xml:space="preserve"> committed at school </w:t>
      </w:r>
      <w:r w:rsidR="00581E06" w:rsidRPr="00EC02CA">
        <w:t>and</w:t>
      </w:r>
      <w:r w:rsidR="00F54988" w:rsidRPr="00EC02CA">
        <w:t xml:space="preserve"> blur</w:t>
      </w:r>
      <w:r w:rsidR="00581E06" w:rsidRPr="00EC02CA">
        <w:t>s</w:t>
      </w:r>
      <w:r w:rsidR="00F54988" w:rsidRPr="00EC02CA">
        <w:t xml:space="preserve"> the boundaries of responsibility where a young person engages in unlawful online sexual behaviour towards another student or a staff member. There is also an interaction between the youth justice system and </w:t>
      </w:r>
      <w:r w:rsidR="00F54988" w:rsidRPr="00EC02CA">
        <w:rPr>
          <w:bCs/>
        </w:rPr>
        <w:t>child protection</w:t>
      </w:r>
      <w:r w:rsidR="00F54988" w:rsidRPr="00EC02CA">
        <w:t xml:space="preserve"> (also within DECYP), including reports made to the Strong Families, Safe Kids Advice and Referral Line. In addition, in relation to young people with harmful sexual behaviour, </w:t>
      </w:r>
      <w:r w:rsidR="00F54988" w:rsidRPr="00EC02CA">
        <w:rPr>
          <w:bCs/>
        </w:rPr>
        <w:t>non-government organisations</w:t>
      </w:r>
      <w:r w:rsidR="00F54988" w:rsidRPr="00EC02CA">
        <w:t xml:space="preserve"> such as the Sexual Assault Support Service, Laurel House</w:t>
      </w:r>
      <w:r w:rsidR="009A4CA1" w:rsidRPr="00EC02CA">
        <w:t>,</w:t>
      </w:r>
      <w:r w:rsidR="00F54988" w:rsidRPr="00EC02CA">
        <w:t xml:space="preserve"> and Mission Australia provide key services and support to young people.</w:t>
      </w:r>
    </w:p>
    <w:p w14:paraId="21C6BE5C" w14:textId="70A6CC82" w:rsidR="00F54988" w:rsidRPr="00EC02CA" w:rsidRDefault="00F54988" w:rsidP="002F0007">
      <w:pPr>
        <w:pStyle w:val="NormalNumberedTextTLRI"/>
        <w:numPr>
          <w:ilvl w:val="0"/>
          <w:numId w:val="0"/>
        </w:numPr>
      </w:pPr>
      <w:r w:rsidRPr="00EC02CA">
        <w:t>Accordingly, in considering youth justice system response</w:t>
      </w:r>
      <w:r w:rsidR="009A4CA1" w:rsidRPr="00EC02CA">
        <w:t>s</w:t>
      </w:r>
      <w:r w:rsidRPr="00EC02CA">
        <w:t xml:space="preserve"> to allegations of sexual offending by young people, reflecting the approach of the Commission of Inquiry and the </w:t>
      </w:r>
      <w:r w:rsidRPr="00EC02CA">
        <w:rPr>
          <w:i/>
          <w:iCs/>
        </w:rPr>
        <w:t>Youth Justice Blueprint 2024–2034</w:t>
      </w:r>
      <w:r w:rsidRPr="00EC02CA">
        <w:t>, the TLRI has considered formal youth justice system response</w:t>
      </w:r>
      <w:r w:rsidR="009A4CA1" w:rsidRPr="00EC02CA">
        <w:t>s</w:t>
      </w:r>
      <w:r w:rsidRPr="00EC02CA">
        <w:t xml:space="preserve"> as well as the broader context of prevention, early intervention and diversion that may operate with families, schools and other agencies. </w:t>
      </w:r>
    </w:p>
    <w:p w14:paraId="60819541" w14:textId="529533C2" w:rsidR="00F54988" w:rsidRPr="00EC02CA" w:rsidRDefault="00F54988" w:rsidP="007245AB">
      <w:pPr>
        <w:rPr>
          <w:i/>
          <w:iCs/>
        </w:rPr>
      </w:pPr>
      <w:bookmarkStart w:id="9" w:name="_Toc211849344"/>
      <w:r w:rsidRPr="00EC02CA">
        <w:rPr>
          <w:b/>
          <w:bCs/>
          <w:i/>
          <w:iCs/>
        </w:rPr>
        <w:t>Background to this Research Paper</w:t>
      </w:r>
      <w:bookmarkEnd w:id="9"/>
    </w:p>
    <w:p w14:paraId="6647C38A" w14:textId="08C1FD96" w:rsidR="00F54988" w:rsidRPr="00EC02CA" w:rsidRDefault="00F54988" w:rsidP="002F0007">
      <w:pPr>
        <w:pStyle w:val="NormalNumberedTextTLRI"/>
        <w:numPr>
          <w:ilvl w:val="0"/>
          <w:numId w:val="0"/>
        </w:numPr>
      </w:pPr>
      <w:r w:rsidRPr="00EC02CA">
        <w:t xml:space="preserve">Sexual offending by young people generally remains a contentious and taboo </w:t>
      </w:r>
      <w:r w:rsidR="00A9148E" w:rsidRPr="00EC02CA">
        <w:t>subject,</w:t>
      </w:r>
      <w:r w:rsidRPr="00EC02CA">
        <w:t xml:space="preserve"> and is </w:t>
      </w:r>
      <w:r w:rsidR="00A9148E" w:rsidRPr="00EC02CA">
        <w:t xml:space="preserve">therefore </w:t>
      </w:r>
      <w:r w:rsidRPr="00EC02CA">
        <w:t>often underreported</w:t>
      </w:r>
      <w:r w:rsidR="00A9148E" w:rsidRPr="00EC02CA">
        <w:t>,</w:t>
      </w:r>
      <w:r w:rsidRPr="00EC02CA">
        <w:t xml:space="preserve"> </w:t>
      </w:r>
      <w:r w:rsidR="00A9148E" w:rsidRPr="00EC02CA">
        <w:t>making it</w:t>
      </w:r>
      <w:r w:rsidRPr="00EC02CA">
        <w:t xml:space="preserve"> difficult to measure</w:t>
      </w:r>
      <w:r w:rsidR="00A9148E" w:rsidRPr="00EC02CA">
        <w:t xml:space="preserve"> accurately</w:t>
      </w:r>
      <w:r w:rsidRPr="00EC02CA">
        <w:t>. Sexual offending by young people can be viewed as a subset of harmful sexual behaviour. This encompasses behaviours by all people under the age of 18 years that are harmful to the child or young person’s own development, as well as those that are harmful to others because they are coercive, sexually aggressive or predatory. Sexual offending concerns the behaviours of young people who are age</w:t>
      </w:r>
      <w:r w:rsidR="00581E06" w:rsidRPr="00EC02CA">
        <w:t>d</w:t>
      </w:r>
      <w:r w:rsidRPr="00EC02CA">
        <w:t xml:space="preserve"> </w:t>
      </w:r>
      <w:r w:rsidR="00581E06" w:rsidRPr="00EC02CA">
        <w:t xml:space="preserve">under </w:t>
      </w:r>
      <w:r w:rsidRPr="00EC02CA">
        <w:t>18, but above the minimum age of criminal responsibility</w:t>
      </w:r>
      <w:r w:rsidR="00010B9D" w:rsidRPr="00EC02CA">
        <w:t xml:space="preserve"> (in Tasmania, 10)</w:t>
      </w:r>
      <w:r w:rsidRPr="00EC02CA">
        <w:t xml:space="preserve">, where that conduct meets the definition of a criminal </w:t>
      </w:r>
      <w:r w:rsidR="00581E06" w:rsidRPr="00EC02CA">
        <w:t xml:space="preserve">sexual </w:t>
      </w:r>
      <w:r w:rsidRPr="00EC02CA">
        <w:t>offence and the young person could be held criminally responsible for their conduct.</w:t>
      </w:r>
    </w:p>
    <w:p w14:paraId="6A2578AC" w14:textId="0DB269E9" w:rsidR="00F54988" w:rsidRPr="00EC02CA" w:rsidRDefault="00F54988" w:rsidP="002F0007">
      <w:pPr>
        <w:pStyle w:val="NormalNumberedTextTLRI"/>
        <w:numPr>
          <w:ilvl w:val="0"/>
          <w:numId w:val="0"/>
        </w:numPr>
      </w:pPr>
      <w:r w:rsidRPr="00EC02CA">
        <w:t xml:space="preserve">Patterns of underreporting and </w:t>
      </w:r>
      <w:r w:rsidR="00010B9D" w:rsidRPr="00EC02CA">
        <w:t xml:space="preserve">concerns about the </w:t>
      </w:r>
      <w:r w:rsidRPr="00EC02CA">
        <w:t>stigma</w:t>
      </w:r>
      <w:r w:rsidR="00010B9D" w:rsidRPr="00EC02CA">
        <w:t>tisation</w:t>
      </w:r>
      <w:r w:rsidR="002256C2" w:rsidRPr="00EC02CA">
        <w:t xml:space="preserve"> of</w:t>
      </w:r>
      <w:r w:rsidRPr="00EC02CA">
        <w:t xml:space="preserve"> behaviours are </w:t>
      </w:r>
      <w:r w:rsidR="00A9148E" w:rsidRPr="00EC02CA">
        <w:t xml:space="preserve">the </w:t>
      </w:r>
      <w:r w:rsidRPr="00EC02CA">
        <w:t xml:space="preserve">primary reasons </w:t>
      </w:r>
      <w:r w:rsidR="00A9148E" w:rsidRPr="00EC02CA">
        <w:t xml:space="preserve">why </w:t>
      </w:r>
      <w:r w:rsidRPr="00EC02CA">
        <w:t xml:space="preserve">the issue of harmful sexual behaviours engaged </w:t>
      </w:r>
      <w:r w:rsidR="00A9148E" w:rsidRPr="00EC02CA">
        <w:t xml:space="preserve">in </w:t>
      </w:r>
      <w:r w:rsidRPr="00EC02CA">
        <w:t>by young people has been traditionally minimised</w:t>
      </w:r>
      <w:r w:rsidR="00A9148E" w:rsidRPr="00EC02CA">
        <w:t>,</w:t>
      </w:r>
      <w:r w:rsidRPr="00EC02CA">
        <w:t xml:space="preserve"> both systemically and statistically. Australian data estimating the prevalence of harmful sexual behaviour </w:t>
      </w:r>
      <w:r w:rsidR="00A9148E" w:rsidRPr="00EC02CA">
        <w:t xml:space="preserve">by young people </w:t>
      </w:r>
      <w:r w:rsidRPr="00EC02CA">
        <w:t xml:space="preserve">did not exist until relatively recently. More recently, following the </w:t>
      </w:r>
      <w:r w:rsidR="00E1085D" w:rsidRPr="00EC02CA">
        <w:t>r</w:t>
      </w:r>
      <w:r w:rsidR="00A9148E" w:rsidRPr="00EC02CA">
        <w:t xml:space="preserve">eport of the </w:t>
      </w:r>
      <w:r w:rsidRPr="00EC02CA">
        <w:t>20</w:t>
      </w:r>
      <w:r w:rsidR="000D5F48">
        <w:t>1</w:t>
      </w:r>
      <w:r w:rsidRPr="00EC02CA">
        <w:t xml:space="preserve">7 </w:t>
      </w:r>
      <w:r w:rsidRPr="00EC02CA">
        <w:rPr>
          <w:i/>
          <w:iCs/>
        </w:rPr>
        <w:t xml:space="preserve">Royal Commission into Institutional Responses to Child Sexual Abuse </w:t>
      </w:r>
      <w:r w:rsidRPr="00EC02CA">
        <w:t>(the Royal Commission), there has been greater acknowledgement of the issue</w:t>
      </w:r>
      <w:r w:rsidR="00A9148E" w:rsidRPr="00EC02CA">
        <w:t>.</w:t>
      </w:r>
      <w:r w:rsidRPr="00EC02CA">
        <w:t xml:space="preserve"> </w:t>
      </w:r>
      <w:r w:rsidR="00A9148E" w:rsidRPr="00EC02CA">
        <w:t>G</w:t>
      </w:r>
      <w:r w:rsidRPr="00EC02CA">
        <w:t>overnment measures have been introduced with the aim of responding within a public health framework, focus</w:t>
      </w:r>
      <w:r w:rsidR="00C01C8D" w:rsidRPr="00EC02CA">
        <w:t>sing</w:t>
      </w:r>
      <w:r w:rsidRPr="00EC02CA">
        <w:t xml:space="preserve"> on early intervention</w:t>
      </w:r>
      <w:r w:rsidR="00C01C8D" w:rsidRPr="00EC02CA">
        <w:t xml:space="preserve"> and</w:t>
      </w:r>
      <w:r w:rsidRPr="00EC02CA">
        <w:t xml:space="preserve"> provi</w:t>
      </w:r>
      <w:r w:rsidR="00C01C8D" w:rsidRPr="00EC02CA">
        <w:t>ding</w:t>
      </w:r>
      <w:r w:rsidRPr="00EC02CA">
        <w:t xml:space="preserve"> youth justice and therapeutic services. Accordingly, effective youth justice system response</w:t>
      </w:r>
      <w:r w:rsidR="00C01C8D" w:rsidRPr="00EC02CA">
        <w:t>s</w:t>
      </w:r>
      <w:r w:rsidRPr="00EC02CA">
        <w:t xml:space="preserve"> to harmful sexual behaviour </w:t>
      </w:r>
      <w:r w:rsidR="00C01C8D" w:rsidRPr="00EC02CA">
        <w:t xml:space="preserve">are </w:t>
      </w:r>
      <w:r w:rsidRPr="00EC02CA">
        <w:t xml:space="preserve">a key component of government responses. </w:t>
      </w:r>
    </w:p>
    <w:p w14:paraId="3A933BC5" w14:textId="6CE7265A" w:rsidR="00F54988" w:rsidRPr="00EC02CA" w:rsidRDefault="00F54988" w:rsidP="002F0007">
      <w:pPr>
        <w:pStyle w:val="NormalNumberedTextTLRI"/>
        <w:numPr>
          <w:ilvl w:val="0"/>
          <w:numId w:val="0"/>
        </w:numPr>
      </w:pPr>
      <w:r w:rsidRPr="00EC02CA">
        <w:t>At the state and federal level there are a range of government initiatives relevant to respon</w:t>
      </w:r>
      <w:r w:rsidR="00C01C8D" w:rsidRPr="00EC02CA">
        <w:t>ding to</w:t>
      </w:r>
      <w:r w:rsidRPr="00EC02CA">
        <w:t xml:space="preserve"> harmful sexual behaviour (including sexual offending by young people) in Tasmania</w:t>
      </w:r>
      <w:r w:rsidR="00C01C8D" w:rsidRPr="00EC02CA">
        <w:t>,</w:t>
      </w:r>
      <w:r w:rsidRPr="00EC02CA">
        <w:t xml:space="preserve"> including:</w:t>
      </w:r>
    </w:p>
    <w:p w14:paraId="3D68D3E0" w14:textId="77777777" w:rsidR="00F54988" w:rsidRPr="00EC02CA" w:rsidRDefault="00F54988" w:rsidP="00F54988">
      <w:pPr>
        <w:pStyle w:val="DotPointTLRI"/>
        <w:rPr>
          <w:i/>
          <w:iCs/>
        </w:rPr>
      </w:pPr>
      <w:r w:rsidRPr="00EC02CA">
        <w:rPr>
          <w:i/>
          <w:iCs/>
        </w:rPr>
        <w:t>Tasmania’s Third Family and Sexual Violence Action Plan 2022–2027: Survivors at the Centre</w:t>
      </w:r>
      <w:r w:rsidRPr="00EC02CA">
        <w:t xml:space="preserve"> </w:t>
      </w:r>
    </w:p>
    <w:p w14:paraId="79951402" w14:textId="77777777" w:rsidR="00F54988" w:rsidRPr="00EC02CA" w:rsidRDefault="00F54988" w:rsidP="00F54988">
      <w:pPr>
        <w:pStyle w:val="DotPointTLRI"/>
        <w:rPr>
          <w:i/>
          <w:iCs/>
        </w:rPr>
      </w:pPr>
      <w:r w:rsidRPr="00EC02CA">
        <w:rPr>
          <w:i/>
          <w:iCs/>
        </w:rPr>
        <w:t>Safe. Secure. Supported. Our Safeguarding Framework</w:t>
      </w:r>
    </w:p>
    <w:p w14:paraId="672D968C" w14:textId="29C5548F" w:rsidR="00F54988" w:rsidRPr="00EC02CA" w:rsidRDefault="00F54988" w:rsidP="00F54988">
      <w:pPr>
        <w:pStyle w:val="DotPointTLRI"/>
        <w:rPr>
          <w:i/>
          <w:iCs/>
        </w:rPr>
      </w:pPr>
      <w:r w:rsidRPr="00EC02CA">
        <w:rPr>
          <w:i/>
          <w:iCs/>
        </w:rPr>
        <w:t>Youth Justice Blueprint 2024–2034</w:t>
      </w:r>
      <w:r w:rsidRPr="00EC02CA">
        <w:t xml:space="preserve"> </w:t>
      </w:r>
    </w:p>
    <w:p w14:paraId="5AF56295" w14:textId="336A0287" w:rsidR="00F54988" w:rsidRPr="00EC02CA" w:rsidRDefault="00F54988" w:rsidP="00F54988">
      <w:pPr>
        <w:pStyle w:val="DotPointTLRI"/>
        <w:rPr>
          <w:i/>
          <w:iCs/>
        </w:rPr>
      </w:pPr>
      <w:r w:rsidRPr="00EC02CA">
        <w:rPr>
          <w:i/>
          <w:iCs/>
        </w:rPr>
        <w:t>National Strategy to Prevent and Respond to Child Sexual Abuse 2021–2030: An Initiative of the Australian, state and territory governments.</w:t>
      </w:r>
    </w:p>
    <w:p w14:paraId="12D3D349" w14:textId="17F48805" w:rsidR="00F54988" w:rsidRPr="00EC02CA" w:rsidRDefault="00F54988" w:rsidP="002F0007">
      <w:pPr>
        <w:pStyle w:val="NormalNumberedTextTLRI"/>
        <w:numPr>
          <w:ilvl w:val="0"/>
          <w:numId w:val="0"/>
        </w:numPr>
      </w:pPr>
      <w:r w:rsidRPr="00EC02CA">
        <w:t>More broadly, the Tasmanian Government has accepted the recommendations of the</w:t>
      </w:r>
      <w:r w:rsidR="00C01C8D" w:rsidRPr="00EC02CA">
        <w:t xml:space="preserve"> Tasmanian Government’s Response to Child Sexual Abuse in Institutional Settings</w:t>
      </w:r>
      <w:r w:rsidRPr="00EC02CA">
        <w:t xml:space="preserve"> </w:t>
      </w:r>
      <w:r w:rsidR="00C01C8D" w:rsidRPr="00EC02CA">
        <w:t>(</w:t>
      </w:r>
      <w:r w:rsidRPr="00EC02CA">
        <w:t>Commission of Inquiry</w:t>
      </w:r>
      <w:r w:rsidR="00C01C8D" w:rsidRPr="00EC02CA">
        <w:t>),</w:t>
      </w:r>
      <w:r w:rsidRPr="00EC02CA">
        <w:t xml:space="preserve"> </w:t>
      </w:r>
      <w:r w:rsidR="00C01C8D" w:rsidRPr="00EC02CA">
        <w:t xml:space="preserve">which </w:t>
      </w:r>
      <w:r w:rsidRPr="00EC02CA">
        <w:t>included significant reforms to the youth justice system</w:t>
      </w:r>
      <w:r w:rsidR="00C01C8D" w:rsidRPr="00EC02CA">
        <w:t>,</w:t>
      </w:r>
      <w:r w:rsidRPr="00EC02CA">
        <w:t xml:space="preserve"> with a view to reducing the number of young people in detention</w:t>
      </w:r>
      <w:r w:rsidR="00C01C8D" w:rsidRPr="00EC02CA">
        <w:t xml:space="preserve"> and</w:t>
      </w:r>
      <w:r w:rsidRPr="00EC02CA">
        <w:t xml:space="preserve"> respond</w:t>
      </w:r>
      <w:r w:rsidR="00C01C8D" w:rsidRPr="00EC02CA">
        <w:t>ing</w:t>
      </w:r>
      <w:r w:rsidRPr="00EC02CA">
        <w:t xml:space="preserve"> to young people with harmful sexual behaviour. As noted, a </w:t>
      </w:r>
      <w:r w:rsidRPr="00EC02CA">
        <w:rPr>
          <w:i/>
          <w:iCs/>
        </w:rPr>
        <w:t>Youth Justice Blueprint 2024</w:t>
      </w:r>
      <w:r w:rsidR="00C01C8D" w:rsidRPr="00EC02CA">
        <w:rPr>
          <w:i/>
          <w:iCs/>
        </w:rPr>
        <w:t>–</w:t>
      </w:r>
      <w:r w:rsidRPr="00EC02CA">
        <w:rPr>
          <w:i/>
          <w:iCs/>
        </w:rPr>
        <w:t>20</w:t>
      </w:r>
      <w:r w:rsidR="00C01C8D" w:rsidRPr="00EC02CA">
        <w:rPr>
          <w:i/>
          <w:iCs/>
        </w:rPr>
        <w:t>3</w:t>
      </w:r>
      <w:r w:rsidRPr="00EC02CA">
        <w:rPr>
          <w:i/>
          <w:iCs/>
        </w:rPr>
        <w:t xml:space="preserve">4 </w:t>
      </w:r>
      <w:r w:rsidRPr="00EC02CA">
        <w:t xml:space="preserve">has been developed. In addition, a Youth Justice Reform Taskforce </w:t>
      </w:r>
      <w:r w:rsidR="004258BD" w:rsidRPr="00EC02CA">
        <w:t>was established within the Department of Premier and Cabinet</w:t>
      </w:r>
      <w:r w:rsidR="00C01C8D" w:rsidRPr="00EC02CA">
        <w:t>,</w:t>
      </w:r>
      <w:r w:rsidR="000A6D0A" w:rsidRPr="00EC02CA">
        <w:t xml:space="preserve"> </w:t>
      </w:r>
      <w:r w:rsidR="00C01C8D" w:rsidRPr="00EC02CA">
        <w:t xml:space="preserve">and operated </w:t>
      </w:r>
      <w:r w:rsidR="000A6D0A" w:rsidRPr="00EC02CA">
        <w:t xml:space="preserve">from June 2024 to June 2025 to accelerate work under key Commission of </w:t>
      </w:r>
      <w:r w:rsidR="00EB1B24" w:rsidRPr="00EC02CA">
        <w:t>Inquiry recommendations. The period of appointment for the Taskforce has now concluded</w:t>
      </w:r>
      <w:r w:rsidR="00C01C8D" w:rsidRPr="00EC02CA">
        <w:t>,</w:t>
      </w:r>
      <w:r w:rsidR="00EB1B24" w:rsidRPr="00EC02CA">
        <w:t xml:space="preserve"> with responsibility for this work returning to the </w:t>
      </w:r>
      <w:r w:rsidR="003E215F" w:rsidRPr="00EC02CA">
        <w:t>DECYP</w:t>
      </w:r>
      <w:r w:rsidRPr="00EC02CA">
        <w:t xml:space="preserve">. </w:t>
      </w:r>
    </w:p>
    <w:p w14:paraId="635D533C" w14:textId="1F61F312" w:rsidR="00F54988" w:rsidRPr="00EC02CA" w:rsidRDefault="00F54988" w:rsidP="002F0007">
      <w:pPr>
        <w:pStyle w:val="NormalNumberedTextTLRI"/>
        <w:numPr>
          <w:ilvl w:val="0"/>
          <w:numId w:val="0"/>
        </w:numPr>
      </w:pPr>
      <w:r w:rsidRPr="00EC02CA">
        <w:t>Also aligned with the Royal Commission report is the Australian Child Maltreatment Study (ACMS)</w:t>
      </w:r>
      <w:r w:rsidR="008B31C2" w:rsidRPr="00EC02CA">
        <w:t xml:space="preserve">, </w:t>
      </w:r>
      <w:r w:rsidRPr="00EC02CA">
        <w:t xml:space="preserve">released in 2024, which </w:t>
      </w:r>
      <w:r w:rsidR="008B31C2" w:rsidRPr="00EC02CA">
        <w:t>analysed</w:t>
      </w:r>
      <w:r w:rsidRPr="00EC02CA">
        <w:t xml:space="preserve"> empirical data to provide the first nationally representative prevalence estimates of five types of child maltreatment in Australia</w:t>
      </w:r>
      <w:r w:rsidR="008B31C2" w:rsidRPr="00EC02CA">
        <w:t>:</w:t>
      </w:r>
      <w:r w:rsidRPr="00EC02CA">
        <w:t xml:space="preserve"> physical abuse, sexual abuse, emotional abuse, neglect, and exposure to domestic violence. The ACMS examined the prevalence of child sexual abuse committed by different classes of people</w:t>
      </w:r>
      <w:r w:rsidR="00F30D63" w:rsidRPr="00EC02CA">
        <w:t>.</w:t>
      </w:r>
      <w:r w:rsidRPr="00EC02CA">
        <w:t xml:space="preserve"> </w:t>
      </w:r>
      <w:r w:rsidR="00F30D63" w:rsidRPr="00EC02CA">
        <w:t xml:space="preserve">It </w:t>
      </w:r>
      <w:r w:rsidRPr="00EC02CA">
        <w:t>found that the national prevalence of reported child sexual abuse by adolescent offender</w:t>
      </w:r>
      <w:r w:rsidR="000471C4" w:rsidRPr="00EC02CA">
        <w:t>s</w:t>
      </w:r>
      <w:r w:rsidRPr="00EC02CA">
        <w:t xml:space="preserve"> was 13.7% and by adult </w:t>
      </w:r>
      <w:r w:rsidR="000471C4" w:rsidRPr="00EC02CA">
        <w:t>offend</w:t>
      </w:r>
      <w:r w:rsidR="00F30D63" w:rsidRPr="00EC02CA">
        <w:t>e</w:t>
      </w:r>
      <w:r w:rsidR="000471C4" w:rsidRPr="00EC02CA">
        <w:t xml:space="preserve">rs </w:t>
      </w:r>
      <w:r w:rsidRPr="00EC02CA">
        <w:t>was 18.5%. In relation to online child sexual victimisation, it found that non</w:t>
      </w:r>
      <w:r w:rsidR="00894261" w:rsidRPr="00EC02CA">
        <w:t>-</w:t>
      </w:r>
      <w:r w:rsidRPr="00EC02CA">
        <w:t xml:space="preserve">consensual sharing of </w:t>
      </w:r>
      <w:r w:rsidR="00F30D63" w:rsidRPr="00EC02CA">
        <w:t xml:space="preserve">sexual </w:t>
      </w:r>
      <w:r w:rsidRPr="00EC02CA">
        <w:t xml:space="preserve">images was most often inflicted by other adolescents (in 80% of </w:t>
      </w:r>
      <w:r w:rsidR="00F30D63" w:rsidRPr="00EC02CA">
        <w:t xml:space="preserve">such </w:t>
      </w:r>
      <w:r w:rsidRPr="00EC02CA">
        <w:t>cases).</w:t>
      </w:r>
    </w:p>
    <w:p w14:paraId="3BD54425" w14:textId="702BCC36" w:rsidR="00BB18EB" w:rsidRPr="00EC02CA" w:rsidRDefault="00BB18EB" w:rsidP="002F0007">
      <w:pPr>
        <w:pStyle w:val="NormalNumberedTextTLRI"/>
        <w:numPr>
          <w:ilvl w:val="0"/>
          <w:numId w:val="0"/>
        </w:numPr>
      </w:pPr>
      <w:r w:rsidRPr="00EC02CA">
        <w:t xml:space="preserve">It is also important to note that this research was conducted prior to the introduction of the social media </w:t>
      </w:r>
      <w:r w:rsidR="0034430E" w:rsidRPr="00EC02CA">
        <w:t xml:space="preserve">age restrictions </w:t>
      </w:r>
      <w:r w:rsidRPr="00EC02CA">
        <w:t xml:space="preserve">for young people </w:t>
      </w:r>
      <w:r w:rsidR="00F30D63" w:rsidRPr="00EC02CA">
        <w:t xml:space="preserve">aged </w:t>
      </w:r>
      <w:r w:rsidRPr="00EC02CA">
        <w:t>under 16.</w:t>
      </w:r>
    </w:p>
    <w:p w14:paraId="0E4F1C16" w14:textId="77777777" w:rsidR="00F54988" w:rsidRPr="00EC02CA" w:rsidRDefault="00F54988" w:rsidP="00AD7910">
      <w:bookmarkStart w:id="10" w:name="_Toc211849345"/>
      <w:r w:rsidRPr="00EC02CA">
        <w:rPr>
          <w:b/>
          <w:bCs/>
          <w:sz w:val="32"/>
          <w:szCs w:val="36"/>
        </w:rPr>
        <w:t>Key findings</w:t>
      </w:r>
      <w:bookmarkEnd w:id="10"/>
    </w:p>
    <w:p w14:paraId="0BF53211" w14:textId="17A639F1" w:rsidR="00F54988" w:rsidRPr="00EC02CA" w:rsidRDefault="00F54988" w:rsidP="00AD7910">
      <w:pPr>
        <w:rPr>
          <w:bCs/>
          <w:iCs/>
        </w:rPr>
      </w:pPr>
      <w:bookmarkStart w:id="11" w:name="_Toc211849346"/>
      <w:r w:rsidRPr="00EC02CA">
        <w:rPr>
          <w:b/>
          <w:bCs/>
          <w:i/>
          <w:iCs/>
        </w:rPr>
        <w:t>The need for reform to the criminal law (Part 4)</w:t>
      </w:r>
      <w:bookmarkEnd w:id="11"/>
    </w:p>
    <w:p w14:paraId="588E60E2" w14:textId="1BD8773E" w:rsidR="00F54988" w:rsidRPr="00EC02CA" w:rsidRDefault="00F54988" w:rsidP="00F54988">
      <w:r w:rsidRPr="00EC02CA">
        <w:t>The TLRI has identified a need to make changes to the criminal law in relation to online offending. Research literature and the interviews conducted by the TLRI suggest that the internet, smartphones, social media and related online harmful sexual behaviour have emerged as complex issue</w:t>
      </w:r>
      <w:r w:rsidR="00F30D63" w:rsidRPr="00EC02CA">
        <w:t>s</w:t>
      </w:r>
      <w:r w:rsidRPr="00EC02CA">
        <w:t xml:space="preserve"> for young people. </w:t>
      </w:r>
      <w:r w:rsidR="0D3123CD" w:rsidRPr="00EC02CA">
        <w:t xml:space="preserve">For example, </w:t>
      </w:r>
      <w:r w:rsidR="13EB3145" w:rsidRPr="00EC02CA">
        <w:t>m</w:t>
      </w:r>
      <w:r w:rsidR="552690C7" w:rsidRPr="00EC02CA">
        <w:t>any</w:t>
      </w:r>
      <w:r w:rsidRPr="00EC02CA">
        <w:t xml:space="preserve"> young people voluntarily create and share images of themselves. The law makes it an offence for a young person to have a nude image of themselves on their phone</w:t>
      </w:r>
      <w:r w:rsidR="3152B566" w:rsidRPr="00EC02CA">
        <w:t>,</w:t>
      </w:r>
      <w:r w:rsidRPr="00EC02CA">
        <w:t xml:space="preserve"> as well as to share that image with another young person</w:t>
      </w:r>
      <w:r w:rsidR="00F30D63" w:rsidRPr="00EC02CA">
        <w:t>,</w:t>
      </w:r>
      <w:r w:rsidRPr="00EC02CA">
        <w:t xml:space="preserve"> and for that person to possess the image.</w:t>
      </w:r>
    </w:p>
    <w:p w14:paraId="6927AC78" w14:textId="1D87333E" w:rsidR="00F54988" w:rsidRPr="00EC02CA" w:rsidRDefault="00F54988" w:rsidP="002F0007">
      <w:pPr>
        <w:pStyle w:val="NormalNumberedTextTLRI"/>
        <w:numPr>
          <w:ilvl w:val="0"/>
          <w:numId w:val="0"/>
        </w:numPr>
      </w:pPr>
      <w:r w:rsidRPr="00EC02CA">
        <w:t xml:space="preserve">In its analysis, the TLRI found that the application of child exploitation offences to young people was problematic, and that there was a need to clarify the law and ensure that the child exploitation material offences in the </w:t>
      </w:r>
      <w:r w:rsidRPr="00EC02CA">
        <w:rPr>
          <w:i/>
          <w:iCs/>
        </w:rPr>
        <w:t xml:space="preserve">Criminal Code </w:t>
      </w:r>
      <w:r w:rsidRPr="00EC02CA">
        <w:t>(Tas)</w:t>
      </w:r>
      <w:r w:rsidR="0053157B" w:rsidRPr="00EC02CA">
        <w:t xml:space="preserve"> and the </w:t>
      </w:r>
      <w:r w:rsidR="0053157B" w:rsidRPr="00EC02CA">
        <w:rPr>
          <w:i/>
          <w:iCs/>
          <w:sz w:val="23"/>
          <w:szCs w:val="23"/>
        </w:rPr>
        <w:t>Classification (Publications, Films and Computer Games) Enforcement Act 1995</w:t>
      </w:r>
      <w:r w:rsidR="0053157B" w:rsidRPr="00EC02CA">
        <w:rPr>
          <w:sz w:val="23"/>
          <w:szCs w:val="23"/>
        </w:rPr>
        <w:t xml:space="preserve"> </w:t>
      </w:r>
      <w:r w:rsidR="0053157B" w:rsidRPr="00EC02CA">
        <w:t>(Tas)</w:t>
      </w:r>
      <w:r w:rsidRPr="00EC02CA">
        <w:t xml:space="preserve"> do not have unintended consequences. </w:t>
      </w:r>
      <w:r w:rsidR="00B01AB9" w:rsidRPr="00EC02CA">
        <w:t>In particular, the TLRI notes the inherent uncertainty in relation to the possible defence</w:t>
      </w:r>
      <w:r w:rsidR="00FB2056" w:rsidRPr="00EC02CA">
        <w:t>s</w:t>
      </w:r>
      <w:r w:rsidR="00B01AB9" w:rsidRPr="00EC02CA">
        <w:t xml:space="preserve"> that may apply to young people. </w:t>
      </w:r>
      <w:r w:rsidRPr="00EC02CA">
        <w:rPr>
          <w:lang w:eastAsia="en-AU"/>
        </w:rPr>
        <w:t>The TLRI’s view is that reforms are needed in Tasmania to provide greater certainty in the law in relation to taking and sharing intimate images consensually to avoid over</w:t>
      </w:r>
      <w:r w:rsidR="001109E8" w:rsidRPr="00EC02CA">
        <w:rPr>
          <w:lang w:eastAsia="en-AU"/>
        </w:rPr>
        <w:t xml:space="preserve"> </w:t>
      </w:r>
      <w:r w:rsidRPr="00EC02CA">
        <w:rPr>
          <w:lang w:eastAsia="en-AU"/>
        </w:rPr>
        <w:t xml:space="preserve">criminalising young people for developmentally acceptable behaviour. In addition, the TLRI recommends that a further protection be added, with </w:t>
      </w:r>
      <w:r w:rsidRPr="00EC02CA">
        <w:t xml:space="preserve">proceedings against a youth under the </w:t>
      </w:r>
      <w:r w:rsidRPr="00EC02CA">
        <w:rPr>
          <w:i/>
          <w:iCs/>
        </w:rPr>
        <w:t xml:space="preserve">Criminal Code </w:t>
      </w:r>
      <w:r w:rsidRPr="00EC02CA">
        <w:t>(Tas) s</w:t>
      </w:r>
      <w:r w:rsidR="00F30D63" w:rsidRPr="00EC02CA">
        <w:t>s</w:t>
      </w:r>
      <w:r w:rsidRPr="00EC02CA">
        <w:t xml:space="preserve"> 130–130D</w:t>
      </w:r>
      <w:r w:rsidR="008458E3" w:rsidRPr="00EC02CA">
        <w:t>,</w:t>
      </w:r>
      <w:r w:rsidRPr="00EC02CA">
        <w:t xml:space="preserve"> </w:t>
      </w:r>
      <w:r w:rsidR="008458E3" w:rsidRPr="00EC02CA">
        <w:t xml:space="preserve">or under </w:t>
      </w:r>
      <w:r w:rsidRPr="00EC02CA">
        <w:t xml:space="preserve">the </w:t>
      </w:r>
      <w:r w:rsidRPr="00EC02CA">
        <w:rPr>
          <w:i/>
          <w:iCs/>
        </w:rPr>
        <w:t xml:space="preserve">Classification (Publication, Films and Computer Games) Enforcement Act 1995 </w:t>
      </w:r>
      <w:r w:rsidRPr="00EC02CA">
        <w:t>(Tas) s</w:t>
      </w:r>
      <w:r w:rsidR="008458E3" w:rsidRPr="00EC02CA">
        <w:t>s</w:t>
      </w:r>
      <w:r w:rsidRPr="00EC02CA">
        <w:t xml:space="preserve"> 72A, 73 or 74(A)</w:t>
      </w:r>
      <w:r w:rsidR="008458E3" w:rsidRPr="00EC02CA">
        <w:t>,</w:t>
      </w:r>
      <w:r w:rsidRPr="00EC02CA">
        <w:t xml:space="preserve"> only to be instituted by or with the approval of the Director of Public Prosecutions.</w:t>
      </w:r>
    </w:p>
    <w:p w14:paraId="321066CA" w14:textId="0301D1F8" w:rsidR="00F54988" w:rsidRPr="00EC02CA" w:rsidRDefault="00F54988" w:rsidP="00F54988">
      <w:r w:rsidRPr="00EC02CA">
        <w:rPr>
          <w:lang w:eastAsia="en-AU"/>
        </w:rPr>
        <w:t xml:space="preserve">Further, it is also necessary to consider the application of the offences contained in the </w:t>
      </w:r>
      <w:r w:rsidRPr="00EC02CA">
        <w:rPr>
          <w:i/>
          <w:iCs/>
          <w:lang w:eastAsia="en-AU"/>
        </w:rPr>
        <w:t>Police Offences Act 1935</w:t>
      </w:r>
      <w:r w:rsidRPr="00EC02CA">
        <w:rPr>
          <w:lang w:eastAsia="en-AU"/>
        </w:rPr>
        <w:t xml:space="preserve"> (Tas) relating to the possession, distribution and publication of prohibited visual recordings</w:t>
      </w:r>
      <w:r w:rsidR="008458E3" w:rsidRPr="00EC02CA">
        <w:rPr>
          <w:lang w:eastAsia="en-AU"/>
        </w:rPr>
        <w:t>,</w:t>
      </w:r>
      <w:r w:rsidRPr="00EC02CA">
        <w:rPr>
          <w:lang w:eastAsia="en-AU"/>
        </w:rPr>
        <w:t xml:space="preserve"> as these </w:t>
      </w:r>
      <w:r w:rsidR="008458E3" w:rsidRPr="00EC02CA">
        <w:rPr>
          <w:lang w:eastAsia="en-AU"/>
        </w:rPr>
        <w:t xml:space="preserve">offences </w:t>
      </w:r>
      <w:r w:rsidRPr="00EC02CA">
        <w:rPr>
          <w:lang w:eastAsia="en-AU"/>
        </w:rPr>
        <w:t xml:space="preserve">currently apply to the consensual sharing of images by young people. </w:t>
      </w:r>
    </w:p>
    <w:p w14:paraId="3A441C24" w14:textId="48302204" w:rsidR="00F54988" w:rsidRPr="00EC02CA" w:rsidRDefault="00F54988" w:rsidP="00F54988">
      <w:r w:rsidRPr="00EC02CA">
        <w:t>A further issue exists in relation to the non-consensual sharing o</w:t>
      </w:r>
      <w:r w:rsidR="008458E3" w:rsidRPr="00EC02CA">
        <w:t>f</w:t>
      </w:r>
      <w:r w:rsidRPr="00EC02CA">
        <w:t xml:space="preserve"> intimate images. This covers a broad range of conduct, including images that are initially taken with consent</w:t>
      </w:r>
      <w:r w:rsidR="008458E3" w:rsidRPr="00EC02CA">
        <w:t>,</w:t>
      </w:r>
      <w:r w:rsidRPr="00EC02CA">
        <w:t xml:space="preserve"> or taken by the person depicted in the image (a </w:t>
      </w:r>
      <w:r w:rsidR="008458E3" w:rsidRPr="00EC02CA">
        <w:t>‘</w:t>
      </w:r>
      <w:r w:rsidRPr="00EC02CA">
        <w:t>selfie</w:t>
      </w:r>
      <w:r w:rsidR="008458E3" w:rsidRPr="00EC02CA">
        <w:t>’</w:t>
      </w:r>
      <w:r w:rsidRPr="00EC02CA">
        <w:t>)</w:t>
      </w:r>
      <w:r w:rsidR="008458E3" w:rsidRPr="00EC02CA">
        <w:t>,</w:t>
      </w:r>
      <w:r w:rsidRPr="00EC02CA">
        <w:t xml:space="preserve"> and then later shared without consent, as well as images obtained without consent in the first place and </w:t>
      </w:r>
      <w:r w:rsidR="008458E3" w:rsidRPr="00EC02CA">
        <w:t xml:space="preserve">subsequently </w:t>
      </w:r>
      <w:r w:rsidRPr="00EC02CA">
        <w:t xml:space="preserve">distributed. </w:t>
      </w:r>
      <w:r w:rsidR="008458E3" w:rsidRPr="00EC02CA">
        <w:t>Such images</w:t>
      </w:r>
      <w:r w:rsidRPr="00EC02CA">
        <w:t xml:space="preserve"> may also include doctored images</w:t>
      </w:r>
      <w:r w:rsidR="008458E3" w:rsidRPr="00EC02CA">
        <w:t>,</w:t>
      </w:r>
      <w:r w:rsidRPr="00EC02CA">
        <w:t xml:space="preserve"> including intimate ‘deepfake</w:t>
      </w:r>
      <w:r w:rsidR="008458E3" w:rsidRPr="00EC02CA">
        <w:t>’</w:t>
      </w:r>
      <w:r w:rsidRPr="00EC02CA">
        <w:t xml:space="preserve"> images created using generative artificial intelligence</w:t>
      </w:r>
      <w:r w:rsidR="531FD73C" w:rsidRPr="00EC02CA">
        <w:t>.</w:t>
      </w:r>
      <w:r w:rsidRPr="00EC02CA">
        <w:t xml:space="preserve"> The TLRI</w:t>
      </w:r>
      <w:r w:rsidR="223C3953" w:rsidRPr="00EC02CA">
        <w:t>’</w:t>
      </w:r>
      <w:r w:rsidR="552690C7" w:rsidRPr="00EC02CA">
        <w:t>s</w:t>
      </w:r>
      <w:r w:rsidRPr="00EC02CA">
        <w:t xml:space="preserve"> view is that</w:t>
      </w:r>
      <w:r w:rsidR="446453FE" w:rsidRPr="00EC02CA">
        <w:t xml:space="preserve"> there</w:t>
      </w:r>
      <w:r w:rsidRPr="00EC02CA">
        <w:t xml:space="preserve"> are gaps in the law </w:t>
      </w:r>
      <w:r w:rsidR="008458E3" w:rsidRPr="00EC02CA">
        <w:t xml:space="preserve">in Tasmania </w:t>
      </w:r>
      <w:r w:rsidRPr="00EC02CA">
        <w:t>relating to the non-consensual sharing of images</w:t>
      </w:r>
      <w:r w:rsidR="008458E3" w:rsidRPr="00EC02CA">
        <w:t>,</w:t>
      </w:r>
      <w:r w:rsidRPr="00EC02CA">
        <w:t xml:space="preserve"> and that an offence </w:t>
      </w:r>
      <w:r w:rsidR="008458E3" w:rsidRPr="00EC02CA">
        <w:t xml:space="preserve">should be created in Tasmania </w:t>
      </w:r>
      <w:r w:rsidRPr="00EC02CA">
        <w:t>relating to the non-consensual sharing or threatening to share intimate images.</w:t>
      </w:r>
    </w:p>
    <w:p w14:paraId="61F852DD" w14:textId="77777777" w:rsidR="00F54988" w:rsidRPr="00EC02CA" w:rsidRDefault="00F54988" w:rsidP="00A920EC">
      <w:pPr>
        <w:rPr>
          <w:bCs/>
          <w:iCs/>
        </w:rPr>
      </w:pPr>
      <w:bookmarkStart w:id="12" w:name="_Toc211849347"/>
      <w:r w:rsidRPr="00EC02CA">
        <w:rPr>
          <w:b/>
          <w:bCs/>
          <w:i/>
          <w:iCs/>
        </w:rPr>
        <w:t>Young people’s contact with the youth justice system for allegation of sexual offending (Part 6)</w:t>
      </w:r>
      <w:bookmarkEnd w:id="12"/>
    </w:p>
    <w:p w14:paraId="0E8FD48F" w14:textId="30376031" w:rsidR="00F54988" w:rsidRPr="00EC02CA" w:rsidRDefault="00F54988" w:rsidP="002F0007">
      <w:pPr>
        <w:pStyle w:val="NormalNumberedTextTLRI"/>
        <w:numPr>
          <w:ilvl w:val="0"/>
          <w:numId w:val="0"/>
        </w:numPr>
      </w:pPr>
      <w:r w:rsidRPr="00EC02CA">
        <w:t xml:space="preserve">Police provide the formal gateway or entry point into the criminal justice system. There are several ways by which police can be informed about an allegation of sexual offending by a young person. Although it is not clear what proportion of sexual abuse experienced by Tasmanian children and adults is committed by young people, available research </w:t>
      </w:r>
      <w:r w:rsidR="00E03DD6" w:rsidRPr="00EC02CA">
        <w:t>indicates</w:t>
      </w:r>
      <w:r w:rsidRPr="00EC02CA">
        <w:t xml:space="preserve"> that physical child sexual abuse </w:t>
      </w:r>
      <w:r w:rsidR="00170E70" w:rsidRPr="00EC02CA">
        <w:t>committed by</w:t>
      </w:r>
      <w:r w:rsidRPr="00EC02CA">
        <w:t xml:space="preserve"> other young people </w:t>
      </w:r>
      <w:r w:rsidR="00E03DD6" w:rsidRPr="00EC02CA">
        <w:t>is a significant problem</w:t>
      </w:r>
      <w:r w:rsidR="008458E3" w:rsidRPr="00EC02CA">
        <w:t>,</w:t>
      </w:r>
      <w:r w:rsidR="00E03DD6" w:rsidRPr="00EC02CA">
        <w:t xml:space="preserve"> </w:t>
      </w:r>
      <w:r w:rsidRPr="00EC02CA">
        <w:t xml:space="preserve">and that there </w:t>
      </w:r>
      <w:r w:rsidR="008F7583" w:rsidRPr="00EC02CA">
        <w:t>has been</w:t>
      </w:r>
      <w:r w:rsidRPr="00EC02CA">
        <w:t xml:space="preserve"> an increase in online sexual abuse committed by young people. It is also not clear how many of those matters are reported to police. However, available data indicate that a proportion of mandatory reports relate to the conduct of young people. </w:t>
      </w:r>
      <w:r w:rsidR="008458E3" w:rsidRPr="00EC02CA">
        <w:t>Further</w:t>
      </w:r>
      <w:r w:rsidRPr="00EC02CA">
        <w:t>, data show that very few young offenders are proceeded against by police for a sexual offence.</w:t>
      </w:r>
    </w:p>
    <w:p w14:paraId="3EDA377C" w14:textId="2873D70E" w:rsidR="00F54988" w:rsidRPr="00EC02CA" w:rsidRDefault="00F54988" w:rsidP="002F0007">
      <w:pPr>
        <w:pStyle w:val="NormalNumberedTextTLRI"/>
        <w:numPr>
          <w:ilvl w:val="0"/>
          <w:numId w:val="0"/>
        </w:numPr>
      </w:pPr>
      <w:r w:rsidRPr="00EC02CA">
        <w:t xml:space="preserve">Tasmania Police data show that </w:t>
      </w:r>
      <w:r w:rsidR="008458E3" w:rsidRPr="00EC02CA">
        <w:t xml:space="preserve">from </w:t>
      </w:r>
      <w:r w:rsidRPr="00EC02CA">
        <w:t>2013</w:t>
      </w:r>
      <w:r w:rsidR="003569D3" w:rsidRPr="00EC02CA">
        <w:t>–</w:t>
      </w:r>
      <w:r w:rsidRPr="00EC02CA">
        <w:t>14 to 2023</w:t>
      </w:r>
      <w:r w:rsidR="003569D3" w:rsidRPr="00EC02CA">
        <w:t>–</w:t>
      </w:r>
      <w:r w:rsidRPr="00EC02CA">
        <w:t xml:space="preserve">24 there were 143 young people charged with sexual assault, 25 young people charged with a </w:t>
      </w:r>
      <w:r w:rsidR="00D97AF4" w:rsidRPr="00EC02CA">
        <w:t>child exploitation material</w:t>
      </w:r>
      <w:r w:rsidRPr="00EC02CA">
        <w:t xml:space="preserve"> offence</w:t>
      </w:r>
      <w:r w:rsidR="008458E3" w:rsidRPr="00EC02CA">
        <w:t>,</w:t>
      </w:r>
      <w:r w:rsidRPr="00EC02CA">
        <w:t xml:space="preserve"> and nine young people charged with other non-assaultive sexual offences.</w:t>
      </w:r>
    </w:p>
    <w:p w14:paraId="548F591A" w14:textId="303D1B5B" w:rsidR="00F54988" w:rsidRPr="00EC02CA" w:rsidRDefault="00B266C5" w:rsidP="002F0007">
      <w:pPr>
        <w:pStyle w:val="NormalNumberedTextTLRI"/>
        <w:numPr>
          <w:ilvl w:val="0"/>
          <w:numId w:val="0"/>
        </w:numPr>
      </w:pPr>
      <w:r w:rsidRPr="00EC02CA">
        <w:t>I</w:t>
      </w:r>
      <w:r w:rsidR="00F54988" w:rsidRPr="00EC02CA">
        <w:t xml:space="preserve">nterviews conducted by the TLRI and </w:t>
      </w:r>
      <w:r w:rsidRPr="00EC02CA">
        <w:t xml:space="preserve">the </w:t>
      </w:r>
      <w:r w:rsidR="00F54988" w:rsidRPr="00EC02CA">
        <w:t>research literature</w:t>
      </w:r>
      <w:r w:rsidRPr="00EC02CA">
        <w:t xml:space="preserve"> indicate </w:t>
      </w:r>
      <w:r w:rsidR="00F54988" w:rsidRPr="00EC02CA">
        <w:t xml:space="preserve">there </w:t>
      </w:r>
      <w:r w:rsidR="4B21BD45" w:rsidRPr="00EC02CA">
        <w:t>a</w:t>
      </w:r>
      <w:r w:rsidR="552690C7" w:rsidRPr="00EC02CA">
        <w:t xml:space="preserve"> </w:t>
      </w:r>
      <w:r w:rsidR="00F54988" w:rsidRPr="00EC02CA">
        <w:t xml:space="preserve">significant gap between </w:t>
      </w:r>
      <w:r w:rsidR="00886B70" w:rsidRPr="00EC02CA">
        <w:t>victim-survivor</w:t>
      </w:r>
      <w:r w:rsidR="00F54988" w:rsidRPr="00EC02CA">
        <w:t xml:space="preserve"> experiences</w:t>
      </w:r>
      <w:r w:rsidRPr="00EC02CA">
        <w:t xml:space="preserve">, which </w:t>
      </w:r>
      <w:r w:rsidR="00F54988" w:rsidRPr="00EC02CA">
        <w:t>describ</w:t>
      </w:r>
      <w:r w:rsidRPr="00EC02CA">
        <w:t>e</w:t>
      </w:r>
      <w:r w:rsidR="00F54988" w:rsidRPr="00EC02CA">
        <w:t xml:space="preserve"> conduct that </w:t>
      </w:r>
      <w:r w:rsidR="00FB2056" w:rsidRPr="00EC02CA">
        <w:t>may</w:t>
      </w:r>
      <w:r w:rsidR="00F54988" w:rsidRPr="00EC02CA">
        <w:t xml:space="preserve"> amount to sexual offending by young people</w:t>
      </w:r>
      <w:r w:rsidR="00664D4B" w:rsidRPr="00EC02CA">
        <w:t>,</w:t>
      </w:r>
      <w:r w:rsidRPr="00EC02CA">
        <w:t xml:space="preserve"> </w:t>
      </w:r>
      <w:r w:rsidR="00F54988" w:rsidRPr="00EC02CA">
        <w:t xml:space="preserve">and </w:t>
      </w:r>
      <w:r w:rsidR="00664D4B" w:rsidRPr="00EC02CA">
        <w:t xml:space="preserve">cases in which </w:t>
      </w:r>
      <w:r w:rsidR="00F54988" w:rsidRPr="00EC02CA">
        <w:t>the police charge a young person</w:t>
      </w:r>
      <w:r w:rsidRPr="00EC02CA">
        <w:t xml:space="preserve"> </w:t>
      </w:r>
      <w:r w:rsidR="00F54988" w:rsidRPr="00EC02CA">
        <w:t xml:space="preserve">and </w:t>
      </w:r>
      <w:r w:rsidR="00664D4B" w:rsidRPr="00EC02CA">
        <w:t>the matter is dealt with through</w:t>
      </w:r>
      <w:r w:rsidR="00F54988" w:rsidRPr="00EC02CA">
        <w:t xml:space="preserve"> diversion or </w:t>
      </w:r>
      <w:r w:rsidR="00664D4B" w:rsidRPr="00EC02CA">
        <w:t xml:space="preserve">by </w:t>
      </w:r>
      <w:r w:rsidR="00F54988" w:rsidRPr="00EC02CA">
        <w:t>proceeding to court. There are many reasons why a matter may not proceed after a report to the police, including that the victim</w:t>
      </w:r>
      <w:r w:rsidR="00EB0539" w:rsidRPr="00EC02CA">
        <w:t>-</w:t>
      </w:r>
      <w:r w:rsidR="00F54988" w:rsidRPr="00EC02CA">
        <w:t>survivor may not want the matter to proceed</w:t>
      </w:r>
      <w:r w:rsidR="00664D4B" w:rsidRPr="00EC02CA">
        <w:t>,</w:t>
      </w:r>
      <w:r w:rsidR="00F54988" w:rsidRPr="00EC02CA">
        <w:t xml:space="preserve"> or the police decide not to investigate </w:t>
      </w:r>
      <w:r w:rsidR="00664D4B" w:rsidRPr="00EC02CA">
        <w:t xml:space="preserve">further </w:t>
      </w:r>
      <w:r w:rsidR="00F54988" w:rsidRPr="00EC02CA">
        <w:t>or lay charges</w:t>
      </w:r>
      <w:r w:rsidR="00B920EB" w:rsidRPr="00EC02CA">
        <w:t xml:space="preserve"> for </w:t>
      </w:r>
      <w:r w:rsidR="00664D4B" w:rsidRPr="00EC02CA">
        <w:t>various other</w:t>
      </w:r>
      <w:r w:rsidR="00B920EB" w:rsidRPr="00EC02CA">
        <w:t xml:space="preserve"> reasons</w:t>
      </w:r>
      <w:r w:rsidR="00664D4B" w:rsidRPr="00EC02CA">
        <w:t>,</w:t>
      </w:r>
      <w:r w:rsidR="00B920EB" w:rsidRPr="00EC02CA">
        <w:t xml:space="preserve"> including a</w:t>
      </w:r>
      <w:r w:rsidR="00AA26CF" w:rsidRPr="00EC02CA">
        <w:t xml:space="preserve"> lac</w:t>
      </w:r>
      <w:r w:rsidR="00B920EB" w:rsidRPr="00EC02CA">
        <w:t>k</w:t>
      </w:r>
      <w:r w:rsidR="00AA26CF" w:rsidRPr="00EC02CA">
        <w:t xml:space="preserve"> of evidence</w:t>
      </w:r>
      <w:r w:rsidR="00F54988" w:rsidRPr="00EC02CA">
        <w:t xml:space="preserve">. </w:t>
      </w:r>
      <w:r w:rsidR="00FE020A" w:rsidRPr="00EC02CA">
        <w:t>The TLRI identified a</w:t>
      </w:r>
      <w:r w:rsidR="00F54988" w:rsidRPr="00EC02CA">
        <w:t>n additional issue</w:t>
      </w:r>
      <w:r w:rsidR="00FE020A" w:rsidRPr="00EC02CA">
        <w:t xml:space="preserve">, </w:t>
      </w:r>
      <w:r w:rsidR="00F54988" w:rsidRPr="00EC02CA">
        <w:t>based on interviews and supported by available data</w:t>
      </w:r>
      <w:r w:rsidR="00FE020A" w:rsidRPr="00EC02CA">
        <w:t>:</w:t>
      </w:r>
      <w:r w:rsidR="00F54988" w:rsidRPr="00EC02CA">
        <w:t xml:space="preserve"> a gap </w:t>
      </w:r>
      <w:r w:rsidR="00FE020A" w:rsidRPr="00EC02CA">
        <w:t xml:space="preserve">exists </w:t>
      </w:r>
      <w:r w:rsidR="00F54988" w:rsidRPr="00EC02CA">
        <w:t xml:space="preserve">between the reporting </w:t>
      </w:r>
      <w:r w:rsidR="00FE020A" w:rsidRPr="00EC02CA">
        <w:t xml:space="preserve">obligations </w:t>
      </w:r>
      <w:r w:rsidR="00F54988" w:rsidRPr="00EC02CA">
        <w:t xml:space="preserve">of mandatory reporters and the evidentiary standard </w:t>
      </w:r>
      <w:r w:rsidR="00FE020A" w:rsidRPr="00EC02CA">
        <w:t xml:space="preserve">required by </w:t>
      </w:r>
      <w:r w:rsidR="00F54988" w:rsidRPr="00EC02CA">
        <w:t>police</w:t>
      </w:r>
      <w:r w:rsidR="000F38D2">
        <w:t xml:space="preserve"> –</w:t>
      </w:r>
      <w:r w:rsidR="00FE020A" w:rsidRPr="00EC02CA">
        <w:t xml:space="preserve"> which </w:t>
      </w:r>
      <w:r w:rsidR="00F54988" w:rsidRPr="00EC02CA">
        <w:t>reflect</w:t>
      </w:r>
      <w:r w:rsidR="00FE020A" w:rsidRPr="00EC02CA">
        <w:t>s</w:t>
      </w:r>
      <w:r w:rsidR="00F54988" w:rsidRPr="00EC02CA">
        <w:t xml:space="preserve"> the principles of criminal responsibility under the criminal law</w:t>
      </w:r>
      <w:r w:rsidR="000F38D2">
        <w:t xml:space="preserve"> –</w:t>
      </w:r>
      <w:r w:rsidR="00FE020A" w:rsidRPr="00EC02CA">
        <w:t xml:space="preserve"> for a matter</w:t>
      </w:r>
      <w:r w:rsidR="00F54988" w:rsidRPr="00EC02CA">
        <w:t xml:space="preserve"> to proceed. Mandatory reports may lack sufficient detail for police to proceed, the </w:t>
      </w:r>
      <w:r w:rsidR="00886B70" w:rsidRPr="00EC02CA">
        <w:t>victim-survivor</w:t>
      </w:r>
      <w:r w:rsidR="00F54988" w:rsidRPr="00EC02CA">
        <w:t xml:space="preserve"> may not want to proceed, and/or there may be other concerns about the sufficiency of evidence, including concerns about the potential credibility or reliability of the </w:t>
      </w:r>
      <w:r w:rsidR="00886B70" w:rsidRPr="00EC02CA">
        <w:t>victim-survivor</w:t>
      </w:r>
      <w:r w:rsidR="00F54988" w:rsidRPr="00EC02CA">
        <w:t xml:space="preserve"> as a witness. </w:t>
      </w:r>
      <w:r w:rsidR="761BB68F" w:rsidRPr="00EC02CA">
        <w:t>However, i</w:t>
      </w:r>
      <w:r w:rsidR="00F54988" w:rsidRPr="00EC02CA">
        <w:t xml:space="preserve">n interviews, it was noted that there are possible benefits even </w:t>
      </w:r>
      <w:r w:rsidR="1D4F444E" w:rsidRPr="00EC02CA">
        <w:t xml:space="preserve">when </w:t>
      </w:r>
      <w:r w:rsidR="00F54988" w:rsidRPr="00EC02CA">
        <w:t>police only investigate</w:t>
      </w:r>
      <w:r w:rsidR="26A567E5" w:rsidRPr="00EC02CA">
        <w:t>,</w:t>
      </w:r>
      <w:r w:rsidR="00F54988" w:rsidRPr="00EC02CA">
        <w:t xml:space="preserve"> as the complainant feels listened to and the alleged offender </w:t>
      </w:r>
      <w:r w:rsidR="005D7396" w:rsidRPr="00EC02CA">
        <w:t>understands the</w:t>
      </w:r>
      <w:r w:rsidR="00F54988" w:rsidRPr="00EC02CA">
        <w:t xml:space="preserve"> seriousness of the</w:t>
      </w:r>
      <w:r w:rsidR="005D7396" w:rsidRPr="00EC02CA">
        <w:t>ir</w:t>
      </w:r>
      <w:r w:rsidR="00F54988" w:rsidRPr="00EC02CA">
        <w:t xml:space="preserve"> </w:t>
      </w:r>
      <w:r w:rsidR="00416CEE" w:rsidRPr="00EC02CA">
        <w:t>conduct,</w:t>
      </w:r>
      <w:r w:rsidR="00F54988" w:rsidRPr="00EC02CA">
        <w:t xml:space="preserve"> and </w:t>
      </w:r>
      <w:r w:rsidR="00EC5146" w:rsidRPr="00EC02CA">
        <w:t>that</w:t>
      </w:r>
      <w:r w:rsidR="00C40F0A" w:rsidRPr="00EC02CA">
        <w:t>,</w:t>
      </w:r>
      <w:r w:rsidR="00EC5146" w:rsidRPr="00EC02CA">
        <w:t xml:space="preserve"> indirectly</w:t>
      </w:r>
      <w:r w:rsidR="00C40F0A" w:rsidRPr="00EC02CA">
        <w:t>,</w:t>
      </w:r>
      <w:r w:rsidR="00E901EE" w:rsidRPr="00EC02CA">
        <w:t xml:space="preserve"> this</w:t>
      </w:r>
      <w:r w:rsidR="00F54988" w:rsidRPr="00EC02CA">
        <w:t xml:space="preserve"> </w:t>
      </w:r>
      <w:r w:rsidR="005D7396" w:rsidRPr="00EC02CA">
        <w:t xml:space="preserve">seriousness </w:t>
      </w:r>
      <w:r w:rsidR="00E901EE" w:rsidRPr="00EC02CA">
        <w:t>may be</w:t>
      </w:r>
      <w:r w:rsidR="00F54988" w:rsidRPr="00EC02CA">
        <w:t xml:space="preserve"> communicated to their peer</w:t>
      </w:r>
      <w:r w:rsidR="00E901EE" w:rsidRPr="00EC02CA">
        <w:t>s</w:t>
      </w:r>
      <w:r w:rsidR="00F54988" w:rsidRPr="00EC02CA">
        <w:t>.</w:t>
      </w:r>
    </w:p>
    <w:p w14:paraId="1A5A181C" w14:textId="2E0574E0" w:rsidR="00F54988" w:rsidRPr="00EC02CA" w:rsidRDefault="00F54988" w:rsidP="002F0007">
      <w:pPr>
        <w:pStyle w:val="NormalNumberedTextTLRI"/>
        <w:numPr>
          <w:ilvl w:val="0"/>
          <w:numId w:val="0"/>
        </w:numPr>
      </w:pPr>
      <w:r w:rsidRPr="00EC02CA">
        <w:t>The TLRI’s view is that</w:t>
      </w:r>
      <w:r w:rsidR="002B5F6D" w:rsidRPr="00EC02CA">
        <w:t>, to inform criminal justice responses to young people exhibiting harmful sexual behaviour,</w:t>
      </w:r>
      <w:r w:rsidRPr="00EC02CA">
        <w:t xml:space="preserve"> data collect</w:t>
      </w:r>
      <w:r w:rsidR="00304643" w:rsidRPr="00EC02CA">
        <w:t>ed</w:t>
      </w:r>
      <w:r w:rsidRPr="00EC02CA">
        <w:t xml:space="preserve"> </w:t>
      </w:r>
      <w:r w:rsidR="003C5442" w:rsidRPr="00EC02CA">
        <w:t>by government agencies in</w:t>
      </w:r>
      <w:r w:rsidR="00EC0341" w:rsidRPr="00EC02CA">
        <w:t xml:space="preserve"> relation to </w:t>
      </w:r>
      <w:r w:rsidR="003C5442" w:rsidRPr="00EC02CA">
        <w:t>allegations</w:t>
      </w:r>
      <w:r w:rsidR="00EC0341" w:rsidRPr="00EC02CA">
        <w:t xml:space="preserve"> of </w:t>
      </w:r>
      <w:r w:rsidR="003C5442" w:rsidRPr="00EC02CA">
        <w:t xml:space="preserve">sexual </w:t>
      </w:r>
      <w:r w:rsidR="00EC0341" w:rsidRPr="00EC02CA">
        <w:t xml:space="preserve">offending by </w:t>
      </w:r>
      <w:r w:rsidR="003C5442" w:rsidRPr="00EC02CA">
        <w:t>young</w:t>
      </w:r>
      <w:r w:rsidR="00EC0341" w:rsidRPr="00EC02CA">
        <w:t xml:space="preserve"> </w:t>
      </w:r>
      <w:r w:rsidR="002B5F6D" w:rsidRPr="00EC02CA">
        <w:t xml:space="preserve">people </w:t>
      </w:r>
      <w:r w:rsidR="00662391" w:rsidRPr="00EC02CA">
        <w:t>should</w:t>
      </w:r>
      <w:r w:rsidR="002B5F6D" w:rsidRPr="00EC02CA">
        <w:t xml:space="preserve"> be made publicly available</w:t>
      </w:r>
      <w:r w:rsidR="00BE1D41" w:rsidRPr="00EC02CA">
        <w:t>. This would include the</w:t>
      </w:r>
      <w:r w:rsidRPr="00EC02CA">
        <w:t xml:space="preserve"> number of reports made to police where the allegations relate to a young person</w:t>
      </w:r>
      <w:r w:rsidR="00662391" w:rsidRPr="00EC02CA">
        <w:t>,</w:t>
      </w:r>
      <w:r w:rsidRPr="00EC02CA">
        <w:t xml:space="preserve"> and</w:t>
      </w:r>
      <w:r w:rsidR="00BE1D41" w:rsidRPr="00EC02CA">
        <w:t xml:space="preserve"> </w:t>
      </w:r>
      <w:r w:rsidRPr="00EC02CA">
        <w:t>the reason</w:t>
      </w:r>
      <w:r w:rsidR="00662391" w:rsidRPr="00EC02CA">
        <w:t>s</w:t>
      </w:r>
      <w:r w:rsidRPr="00EC02CA">
        <w:t xml:space="preserve"> why matters do not proceed</w:t>
      </w:r>
      <w:r w:rsidR="00662391" w:rsidRPr="00EC02CA">
        <w:t xml:space="preserve"> – for </w:t>
      </w:r>
      <w:r w:rsidRPr="00EC02CA">
        <w:t xml:space="preserve">example, why a </w:t>
      </w:r>
      <w:r w:rsidR="00886B70" w:rsidRPr="00EC02CA">
        <w:t>victim-survivor</w:t>
      </w:r>
      <w:r w:rsidRPr="00EC02CA">
        <w:t xml:space="preserve"> </w:t>
      </w:r>
      <w:r w:rsidR="00662391" w:rsidRPr="00EC02CA">
        <w:t xml:space="preserve">did </w:t>
      </w:r>
      <w:r w:rsidRPr="00EC02CA">
        <w:t xml:space="preserve">not want to participate in a justice response and reasons why the police </w:t>
      </w:r>
      <w:r w:rsidR="00662391" w:rsidRPr="00EC02CA">
        <w:t xml:space="preserve">did </w:t>
      </w:r>
      <w:r w:rsidRPr="00EC02CA">
        <w:t xml:space="preserve">not proceed. </w:t>
      </w:r>
      <w:r w:rsidR="00662391" w:rsidRPr="00EC02CA">
        <w:t>Such information</w:t>
      </w:r>
      <w:r w:rsidRPr="00EC02CA">
        <w:t xml:space="preserve"> would </w:t>
      </w:r>
      <w:r w:rsidR="00662391" w:rsidRPr="00EC02CA">
        <w:t>assist</w:t>
      </w:r>
      <w:r w:rsidRPr="00EC02CA">
        <w:t xml:space="preserve"> consideration of how to better support those who experience sexual assault from a peer in the justice system. In addition, it </w:t>
      </w:r>
      <w:r w:rsidR="2A6EBCB7" w:rsidRPr="00EC02CA">
        <w:t>could</w:t>
      </w:r>
      <w:r w:rsidRPr="00EC02CA">
        <w:t xml:space="preserve"> assist in the development of better education about the nature of the criminal justice process for young people, schools, parents and carers</w:t>
      </w:r>
      <w:r w:rsidR="00662391" w:rsidRPr="00EC02CA">
        <w:t>,</w:t>
      </w:r>
      <w:r w:rsidRPr="00EC02CA">
        <w:t xml:space="preserve"> and other service providers who support young people</w:t>
      </w:r>
      <w:r w:rsidR="00662391" w:rsidRPr="00EC02CA">
        <w:t>. Information might include</w:t>
      </w:r>
      <w:r w:rsidRPr="00EC02CA">
        <w:t xml:space="preserve"> </w:t>
      </w:r>
      <w:r w:rsidR="004754AE" w:rsidRPr="00EC02CA">
        <w:t xml:space="preserve">the standard of evidence that </w:t>
      </w:r>
      <w:r w:rsidRPr="00EC02CA">
        <w:t>police need to charge</w:t>
      </w:r>
      <w:r w:rsidR="004754AE" w:rsidRPr="00EC02CA">
        <w:t xml:space="preserve"> a young person</w:t>
      </w:r>
      <w:r w:rsidR="00A42B77" w:rsidRPr="00EC02CA">
        <w:t xml:space="preserve"> with a sexual offence</w:t>
      </w:r>
      <w:r w:rsidRPr="00EC02CA">
        <w:t>, the standard of evidence required for prosecution, and the like</w:t>
      </w:r>
      <w:r w:rsidR="00662391" w:rsidRPr="00EC02CA">
        <w:t>,</w:t>
      </w:r>
      <w:r w:rsidRPr="00EC02CA">
        <w:t xml:space="preserve"> </w:t>
      </w:r>
      <w:r w:rsidR="00662391" w:rsidRPr="00EC02CA">
        <w:t xml:space="preserve">helping to create </w:t>
      </w:r>
      <w:r w:rsidRPr="00EC02CA">
        <w:t xml:space="preserve">realistic expectations about the justice system. It </w:t>
      </w:r>
      <w:r w:rsidR="00BB61B5" w:rsidRPr="00EC02CA">
        <w:t>might also help</w:t>
      </w:r>
      <w:r w:rsidRPr="00EC02CA">
        <w:t xml:space="preserve"> identif</w:t>
      </w:r>
      <w:r w:rsidR="00BB61B5" w:rsidRPr="00EC02CA">
        <w:t>y,</w:t>
      </w:r>
      <w:r w:rsidRPr="00EC02CA">
        <w:t xml:space="preserve"> from a police perspective</w:t>
      </w:r>
      <w:r w:rsidR="00BB61B5" w:rsidRPr="00EC02CA">
        <w:t xml:space="preserve">, any barriers </w:t>
      </w:r>
      <w:r w:rsidRPr="00EC02CA">
        <w:t xml:space="preserve">that exist to investigating and </w:t>
      </w:r>
      <w:r w:rsidR="002455DE" w:rsidRPr="00EC02CA">
        <w:t xml:space="preserve">initiating </w:t>
      </w:r>
      <w:r w:rsidRPr="00EC02CA">
        <w:t>proceeding</w:t>
      </w:r>
      <w:r w:rsidR="00662391" w:rsidRPr="00EC02CA">
        <w:t>s</w:t>
      </w:r>
      <w:r w:rsidR="00BB61B5" w:rsidRPr="00EC02CA">
        <w:t>,</w:t>
      </w:r>
      <w:r w:rsidRPr="00EC02CA">
        <w:t xml:space="preserve"> where appropriate.</w:t>
      </w:r>
    </w:p>
    <w:p w14:paraId="0D5B9F99" w14:textId="77777777" w:rsidR="00F54988" w:rsidRPr="00EC02CA" w:rsidRDefault="00F54988" w:rsidP="00A920EC">
      <w:pPr>
        <w:rPr>
          <w:bCs/>
          <w:iCs/>
        </w:rPr>
      </w:pPr>
      <w:bookmarkStart w:id="13" w:name="_Toc211849348"/>
      <w:r w:rsidRPr="00EC02CA">
        <w:rPr>
          <w:b/>
          <w:bCs/>
          <w:i/>
          <w:iCs/>
        </w:rPr>
        <w:t>Use of pre-court diversion (Part 7)</w:t>
      </w:r>
      <w:bookmarkEnd w:id="13"/>
    </w:p>
    <w:p w14:paraId="0F06779E" w14:textId="5C182EA6" w:rsidR="00F54988" w:rsidRPr="00EC02CA" w:rsidRDefault="00A42B77" w:rsidP="002F0007">
      <w:pPr>
        <w:pStyle w:val="NormalNumberedTextTLRI"/>
        <w:numPr>
          <w:ilvl w:val="0"/>
          <w:numId w:val="0"/>
        </w:numPr>
      </w:pPr>
      <w:r w:rsidRPr="00EC02CA">
        <w:t>P</w:t>
      </w:r>
      <w:r w:rsidR="552690C7" w:rsidRPr="00EC02CA">
        <w:t>olice</w:t>
      </w:r>
      <w:r w:rsidR="00F54988" w:rsidRPr="00EC02CA">
        <w:t xml:space="preserve"> (Tasmania Police and the AFP) </w:t>
      </w:r>
      <w:r w:rsidR="5D9856C8" w:rsidRPr="00EC02CA">
        <w:t xml:space="preserve">play </w:t>
      </w:r>
      <w:r w:rsidR="00F54988" w:rsidRPr="00EC02CA">
        <w:t xml:space="preserve">a significant role </w:t>
      </w:r>
      <w:r w:rsidR="68E2C49A" w:rsidRPr="00EC02CA">
        <w:t>in responding to young people alleged to have committed a sexual offence,</w:t>
      </w:r>
      <w:r w:rsidR="00F54988" w:rsidRPr="00EC02CA">
        <w:t xml:space="preserve"> through decisions made about investigation, charging and the use of diversionary procedure</w:t>
      </w:r>
      <w:r w:rsidR="00583D04" w:rsidRPr="00EC02CA">
        <w:t>s</w:t>
      </w:r>
      <w:r w:rsidR="00F54988" w:rsidRPr="00EC02CA">
        <w:t xml:space="preserve"> such as cautions or conferences. Under the </w:t>
      </w:r>
      <w:r w:rsidR="00F54988" w:rsidRPr="00EC02CA">
        <w:rPr>
          <w:i/>
          <w:iCs/>
        </w:rPr>
        <w:t xml:space="preserve">Youth Justice Act 1997 </w:t>
      </w:r>
      <w:r w:rsidR="00F54988" w:rsidRPr="00EC02CA">
        <w:t xml:space="preserve">(Tas), there are three tiers to the pre-court diversionary processes: </w:t>
      </w:r>
    </w:p>
    <w:p w14:paraId="0627A35F" w14:textId="478E7EA8" w:rsidR="00F54988" w:rsidRPr="00EC02CA" w:rsidRDefault="00F54988" w:rsidP="00A920EC">
      <w:pPr>
        <w:pStyle w:val="NumberlessNormalText"/>
      </w:pPr>
      <w:r w:rsidRPr="00EC02CA">
        <w:t xml:space="preserve">informal caution by police; </w:t>
      </w:r>
    </w:p>
    <w:p w14:paraId="39B3251D" w14:textId="409DCDEB" w:rsidR="00F54988" w:rsidRPr="00EC02CA" w:rsidRDefault="00F54988" w:rsidP="00A920EC">
      <w:pPr>
        <w:pStyle w:val="NumberlessNormalText"/>
      </w:pPr>
      <w:r w:rsidRPr="00EC02CA">
        <w:t xml:space="preserve">formal caution by police; and </w:t>
      </w:r>
    </w:p>
    <w:p w14:paraId="28A3ACD1" w14:textId="00F196E1" w:rsidR="00F54988" w:rsidRPr="00EC02CA" w:rsidRDefault="00F54988" w:rsidP="00A920EC">
      <w:pPr>
        <w:pStyle w:val="NumberlessNormalText"/>
      </w:pPr>
      <w:r w:rsidRPr="00EC02CA">
        <w:t>community conferences convened by the Secretary of the DECYP at the request of police.</w:t>
      </w:r>
    </w:p>
    <w:p w14:paraId="2A299B41" w14:textId="5F49D6CB" w:rsidR="00F54988" w:rsidRPr="00EC02CA" w:rsidRDefault="00F54988" w:rsidP="00F54988">
      <w:pPr>
        <w:spacing w:before="220"/>
      </w:pPr>
      <w:r w:rsidRPr="00EC02CA">
        <w:t xml:space="preserve">In addition, drawing on their federal jurisdiction, the AFP </w:t>
      </w:r>
      <w:r w:rsidR="00583D04" w:rsidRPr="00EC02CA">
        <w:t xml:space="preserve">can </w:t>
      </w:r>
      <w:r w:rsidRPr="00EC02CA">
        <w:t>divert young offenders from court by way of police caution in Tasmania. The AFP have jurisdiction in relation to Commonwealth offences, so in this context, online child sexual abuse material offences. The use of police cautions by the AFP is a discretionary power conferred by common law.</w:t>
      </w:r>
      <w:r w:rsidR="002C5E4B" w:rsidRPr="00EC02CA">
        <w:t xml:space="preserve"> </w:t>
      </w:r>
      <w:r w:rsidR="002C5E4B" w:rsidRPr="00EC02CA">
        <w:rPr>
          <w:rFonts w:eastAsia="Times" w:cs="Times New Roman"/>
        </w:rPr>
        <w:t>There were 81 diversions relating to online offending reported by the AFP in the twelve-month period from September 2023 to September 2024.</w:t>
      </w:r>
    </w:p>
    <w:p w14:paraId="1935D17A" w14:textId="7086A875" w:rsidR="00F54988" w:rsidRPr="00EC02CA" w:rsidRDefault="00F54988" w:rsidP="002F0007">
      <w:pPr>
        <w:pStyle w:val="NormalNumberedTextTLRI"/>
        <w:numPr>
          <w:ilvl w:val="0"/>
          <w:numId w:val="0"/>
        </w:numPr>
      </w:pPr>
      <w:r w:rsidRPr="00EC02CA">
        <w:t>In the period 2013</w:t>
      </w:r>
      <w:r w:rsidR="00583D04" w:rsidRPr="00EC02CA">
        <w:t>–</w:t>
      </w:r>
      <w:r w:rsidRPr="00EC02CA">
        <w:t>14 to 2023</w:t>
      </w:r>
      <w:r w:rsidR="00583D04" w:rsidRPr="00EC02CA">
        <w:t>–</w:t>
      </w:r>
      <w:r w:rsidRPr="00EC02CA">
        <w:t xml:space="preserve">24, </w:t>
      </w:r>
      <w:r w:rsidR="009427CA" w:rsidRPr="00EC02CA">
        <w:t xml:space="preserve">in Tasmania </w:t>
      </w:r>
      <w:r w:rsidRPr="00EC02CA">
        <w:t>there were 169 young people charged with sexual offences</w:t>
      </w:r>
      <w:r w:rsidR="00B232E6" w:rsidRPr="00EC02CA">
        <w:t xml:space="preserve"> (noting that </w:t>
      </w:r>
      <w:r w:rsidR="00320BB2" w:rsidRPr="00EC02CA">
        <w:t>several</w:t>
      </w:r>
      <w:r w:rsidR="00B232E6" w:rsidRPr="00EC02CA">
        <w:t xml:space="preserve"> were charged with more than one offence)</w:t>
      </w:r>
      <w:r w:rsidRPr="00EC02CA">
        <w:t xml:space="preserve">. This resulted in 108 young people </w:t>
      </w:r>
      <w:r w:rsidR="00B06125" w:rsidRPr="00EC02CA">
        <w:t xml:space="preserve">(63.9%) </w:t>
      </w:r>
      <w:r w:rsidRPr="00EC02CA">
        <w:t xml:space="preserve">referred to court and 61 </w:t>
      </w:r>
      <w:r w:rsidR="009427CA" w:rsidRPr="00EC02CA">
        <w:t xml:space="preserve">young people </w:t>
      </w:r>
      <w:r w:rsidR="00B06125" w:rsidRPr="00EC02CA">
        <w:t xml:space="preserve">(36.1%) </w:t>
      </w:r>
      <w:r w:rsidRPr="00EC02CA">
        <w:t xml:space="preserve">referred to diversionary </w:t>
      </w:r>
      <w:r w:rsidR="00B232E6" w:rsidRPr="00EC02CA">
        <w:t>processes</w:t>
      </w:r>
      <w:r w:rsidRPr="00EC02CA">
        <w:t xml:space="preserve">. Of the court referrals, there were 100 </w:t>
      </w:r>
      <w:r w:rsidR="00251F46" w:rsidRPr="00EC02CA">
        <w:t xml:space="preserve">referrals </w:t>
      </w:r>
      <w:r w:rsidRPr="00EC02CA">
        <w:t xml:space="preserve">for sexual assault offences, </w:t>
      </w:r>
      <w:r w:rsidR="00BD19F6" w:rsidRPr="00EC02CA">
        <w:t>eight</w:t>
      </w:r>
      <w:r w:rsidRPr="00EC02CA">
        <w:t xml:space="preserve"> for child exploitation offences and </w:t>
      </w:r>
      <w:r w:rsidR="00BD19F6" w:rsidRPr="00EC02CA">
        <w:t>two</w:t>
      </w:r>
      <w:r w:rsidRPr="00EC02CA">
        <w:t xml:space="preserve"> for other non-assaultive sexual offences. In this </w:t>
      </w:r>
      <w:r w:rsidR="00B232E6" w:rsidRPr="00EC02CA">
        <w:t xml:space="preserve">same </w:t>
      </w:r>
      <w:r w:rsidRPr="00EC02CA">
        <w:t>period, for sexual offences</w:t>
      </w:r>
      <w:r w:rsidR="00B232E6" w:rsidRPr="00EC02CA">
        <w:t xml:space="preserve"> by young people</w:t>
      </w:r>
      <w:r w:rsidRPr="00EC02CA">
        <w:t xml:space="preserve">, </w:t>
      </w:r>
      <w:r w:rsidR="00B232E6" w:rsidRPr="00EC02CA">
        <w:t>the following diversionary referrals</w:t>
      </w:r>
      <w:r w:rsidR="00117250" w:rsidRPr="00EC02CA">
        <w:t xml:space="preserve"> were made</w:t>
      </w:r>
      <w:r w:rsidRPr="00EC02CA">
        <w:t>:</w:t>
      </w:r>
    </w:p>
    <w:p w14:paraId="40B1E606" w14:textId="78F98C35" w:rsidR="00F54988" w:rsidRPr="00EC02CA" w:rsidRDefault="00E2036E" w:rsidP="00F54988">
      <w:pPr>
        <w:pStyle w:val="DotPointTLRI"/>
      </w:pPr>
      <w:r w:rsidRPr="00EC02CA">
        <w:t>three</w:t>
      </w:r>
      <w:r w:rsidR="00F54988" w:rsidRPr="00EC02CA">
        <w:t xml:space="preserve"> informal cautions administered by Tasmania Police for child exploitation material offences</w:t>
      </w:r>
      <w:r w:rsidRPr="00EC02CA">
        <w:t>;</w:t>
      </w:r>
    </w:p>
    <w:p w14:paraId="03D25092" w14:textId="3929DA7E" w:rsidR="00F54988" w:rsidRPr="00EC02CA" w:rsidRDefault="00F54988" w:rsidP="00F54988">
      <w:pPr>
        <w:pStyle w:val="DotPointTLRI"/>
      </w:pPr>
      <w:r w:rsidRPr="00EC02CA">
        <w:t>34 formal cautions administered by Tasmania Police: 19 for sexual assault offences, 12 for child exploitation material offences</w:t>
      </w:r>
      <w:r w:rsidR="00B232E6" w:rsidRPr="00EC02CA">
        <w:t>,</w:t>
      </w:r>
      <w:r w:rsidRPr="00EC02CA">
        <w:t xml:space="preserve"> and </w:t>
      </w:r>
      <w:r w:rsidR="002754A4" w:rsidRPr="00EC02CA">
        <w:t>three</w:t>
      </w:r>
      <w:r w:rsidRPr="00EC02CA">
        <w:t xml:space="preserve"> for other non-assaultive sexual offences</w:t>
      </w:r>
      <w:r w:rsidR="00E2036E" w:rsidRPr="00EC02CA">
        <w:t>; and</w:t>
      </w:r>
    </w:p>
    <w:p w14:paraId="3669A318" w14:textId="1A4C856C" w:rsidR="00F54988" w:rsidRPr="00EC02CA" w:rsidRDefault="00F54988" w:rsidP="00F54988">
      <w:pPr>
        <w:pStyle w:val="DotPointTLRI"/>
      </w:pPr>
      <w:r w:rsidRPr="00EC02CA">
        <w:t xml:space="preserve">28 community conferences from Tasmania </w:t>
      </w:r>
      <w:r w:rsidR="1FE84910" w:rsidRPr="00EC02CA">
        <w:t>P</w:t>
      </w:r>
      <w:r w:rsidRPr="00EC02CA">
        <w:t xml:space="preserve">olice referrals: 24 for sexual assault offences, </w:t>
      </w:r>
      <w:r w:rsidR="00E2036E" w:rsidRPr="00EC02CA">
        <w:t>two</w:t>
      </w:r>
      <w:r w:rsidRPr="00EC02CA">
        <w:t xml:space="preserve"> for child exploitation material offences</w:t>
      </w:r>
      <w:r w:rsidR="00B232E6" w:rsidRPr="00EC02CA">
        <w:t>,</w:t>
      </w:r>
      <w:r w:rsidRPr="00EC02CA">
        <w:t xml:space="preserve"> and </w:t>
      </w:r>
      <w:r w:rsidR="002754A4" w:rsidRPr="00EC02CA">
        <w:t>two</w:t>
      </w:r>
      <w:r w:rsidRPr="00EC02CA">
        <w:t xml:space="preserve"> for other non-assaultive sexual offences.</w:t>
      </w:r>
    </w:p>
    <w:p w14:paraId="0DA29016" w14:textId="7AF209BF" w:rsidR="00F54988" w:rsidRPr="00EC02CA" w:rsidRDefault="00F54988" w:rsidP="00F54988">
      <w:pPr>
        <w:spacing w:before="220"/>
        <w:rPr>
          <w:rFonts w:eastAsia="Times" w:cs="Times New Roman"/>
        </w:rPr>
      </w:pPr>
      <w:r w:rsidRPr="00EC02CA">
        <w:rPr>
          <w:rFonts w:eastAsia="Times" w:cs="Times New Roman"/>
        </w:rPr>
        <w:t xml:space="preserve">These data highlight the gap between the prevalence of harmful sexual behaviour by young people </w:t>
      </w:r>
      <w:r w:rsidR="0095748C" w:rsidRPr="00EC02CA">
        <w:rPr>
          <w:rFonts w:eastAsia="Times" w:cs="Times New Roman"/>
        </w:rPr>
        <w:t xml:space="preserve"> </w:t>
      </w:r>
      <w:r w:rsidRPr="00EC02CA">
        <w:rPr>
          <w:rFonts w:eastAsia="Times" w:cs="Times New Roman"/>
        </w:rPr>
        <w:t xml:space="preserve">(particularly for online behaviour) </w:t>
      </w:r>
      <w:r w:rsidR="00B6408B" w:rsidRPr="00EC02CA">
        <w:rPr>
          <w:rFonts w:eastAsia="Times" w:cs="Times New Roman"/>
        </w:rPr>
        <w:t xml:space="preserve">reflected in available data and </w:t>
      </w:r>
      <w:r w:rsidR="0095748C" w:rsidRPr="00EC02CA">
        <w:rPr>
          <w:rFonts w:eastAsia="Times" w:cs="Times New Roman"/>
        </w:rPr>
        <w:t xml:space="preserve">reported </w:t>
      </w:r>
      <w:r w:rsidR="00B6408B" w:rsidRPr="00EC02CA">
        <w:rPr>
          <w:rFonts w:eastAsia="Times" w:cs="Times New Roman"/>
        </w:rPr>
        <w:t>in the interviews conducted by the TLRI</w:t>
      </w:r>
      <w:r w:rsidR="0095748C" w:rsidRPr="00EC02CA">
        <w:rPr>
          <w:rFonts w:eastAsia="Times" w:cs="Times New Roman"/>
        </w:rPr>
        <w:t>,</w:t>
      </w:r>
      <w:r w:rsidR="00B6408B" w:rsidRPr="00EC02CA">
        <w:rPr>
          <w:rFonts w:eastAsia="Times" w:cs="Times New Roman"/>
        </w:rPr>
        <w:t xml:space="preserve"> </w:t>
      </w:r>
      <w:r w:rsidRPr="00EC02CA">
        <w:rPr>
          <w:rFonts w:eastAsia="Times" w:cs="Times New Roman"/>
        </w:rPr>
        <w:t xml:space="preserve">and the </w:t>
      </w:r>
      <w:r w:rsidR="00B06125" w:rsidRPr="00EC02CA">
        <w:rPr>
          <w:rFonts w:eastAsia="Times" w:cs="Times New Roman"/>
        </w:rPr>
        <w:t xml:space="preserve">number of </w:t>
      </w:r>
      <w:r w:rsidR="0095748C" w:rsidRPr="00EC02CA">
        <w:rPr>
          <w:rFonts w:eastAsia="Times" w:cs="Times New Roman"/>
        </w:rPr>
        <w:t xml:space="preserve">cases that resulted in </w:t>
      </w:r>
      <w:r w:rsidR="00B6408B" w:rsidRPr="00EC02CA">
        <w:rPr>
          <w:rFonts w:eastAsia="Times" w:cs="Times New Roman"/>
        </w:rPr>
        <w:t xml:space="preserve">formal </w:t>
      </w:r>
      <w:r w:rsidRPr="00EC02CA">
        <w:rPr>
          <w:rFonts w:eastAsia="Times" w:cs="Times New Roman"/>
        </w:rPr>
        <w:t>involvement of Tasmania Police.</w:t>
      </w:r>
      <w:r w:rsidR="552690C7" w:rsidRPr="00EC02CA">
        <w:rPr>
          <w:rFonts w:eastAsia="Times" w:cs="Times New Roman"/>
        </w:rPr>
        <w:t xml:space="preserve"> </w:t>
      </w:r>
      <w:r w:rsidR="00EF05B6" w:rsidRPr="00EC02CA">
        <w:rPr>
          <w:rFonts w:eastAsia="Times" w:cs="Times New Roman"/>
        </w:rPr>
        <w:t>Further</w:t>
      </w:r>
      <w:r w:rsidR="00B06125" w:rsidRPr="00EC02CA">
        <w:rPr>
          <w:rFonts w:eastAsia="Times" w:cs="Times New Roman"/>
        </w:rPr>
        <w:t>, the d</w:t>
      </w:r>
      <w:r w:rsidR="00516DBB" w:rsidRPr="00EC02CA">
        <w:rPr>
          <w:rFonts w:eastAsia="Times" w:cs="Times New Roman"/>
        </w:rPr>
        <w:t xml:space="preserve">ata </w:t>
      </w:r>
      <w:r w:rsidRPr="00EC02CA">
        <w:rPr>
          <w:rFonts w:eastAsia="Times" w:cs="Times New Roman"/>
        </w:rPr>
        <w:t>show that</w:t>
      </w:r>
      <w:r w:rsidR="00B06125" w:rsidRPr="00EC02CA">
        <w:rPr>
          <w:rFonts w:eastAsia="Times" w:cs="Times New Roman"/>
        </w:rPr>
        <w:t>,</w:t>
      </w:r>
      <w:r w:rsidR="00760AEB" w:rsidRPr="00EC02CA">
        <w:rPr>
          <w:rFonts w:eastAsia="Times" w:cs="Times New Roman"/>
        </w:rPr>
        <w:t xml:space="preserve"> </w:t>
      </w:r>
      <w:r w:rsidR="00B06125" w:rsidRPr="00EC02CA">
        <w:t>for young people alleged to have committed sexual offences,</w:t>
      </w:r>
      <w:r w:rsidRPr="00EC02CA">
        <w:rPr>
          <w:rFonts w:eastAsia="Times" w:cs="Times New Roman"/>
        </w:rPr>
        <w:t xml:space="preserve"> </w:t>
      </w:r>
      <w:r w:rsidRPr="00EC02CA">
        <w:t xml:space="preserve">referrals to </w:t>
      </w:r>
      <w:r w:rsidR="000F38D2">
        <w:t xml:space="preserve">a </w:t>
      </w:r>
      <w:r w:rsidRPr="00EC02CA">
        <w:t>diversionary proce</w:t>
      </w:r>
      <w:r w:rsidR="00B06125" w:rsidRPr="00EC02CA">
        <w:t>ss</w:t>
      </w:r>
      <w:r w:rsidRPr="00EC02CA">
        <w:t xml:space="preserve"> are generally less common than referrals to court</w:t>
      </w:r>
      <w:r w:rsidR="00B06125" w:rsidRPr="00EC02CA">
        <w:t xml:space="preserve">. </w:t>
      </w:r>
      <w:r w:rsidR="00EF05B6" w:rsidRPr="00EC02CA">
        <w:t>In addition</w:t>
      </w:r>
      <w:r w:rsidR="00B06125" w:rsidRPr="00EC02CA">
        <w:t>,</w:t>
      </w:r>
      <w:r w:rsidRPr="00EC02CA">
        <w:t xml:space="preserve"> young people </w:t>
      </w:r>
      <w:r w:rsidR="00B06125" w:rsidRPr="00EC02CA">
        <w:t xml:space="preserve">alleged to have committed sexual offences </w:t>
      </w:r>
      <w:r w:rsidRPr="00EC02CA">
        <w:t>may be less likely to receive a referral to a diversionary proce</w:t>
      </w:r>
      <w:r w:rsidR="00B06125" w:rsidRPr="00EC02CA">
        <w:t xml:space="preserve">ss </w:t>
      </w:r>
      <w:r w:rsidRPr="00EC02CA">
        <w:t xml:space="preserve">than young people who are alleged to have committed non-sexual offences. </w:t>
      </w:r>
    </w:p>
    <w:p w14:paraId="307E5098" w14:textId="36D59DD4" w:rsidR="00F54988" w:rsidRPr="00EC02CA" w:rsidRDefault="00F54988" w:rsidP="002F0007">
      <w:pPr>
        <w:pStyle w:val="NormalNumberedTextTLRI"/>
        <w:numPr>
          <w:ilvl w:val="0"/>
          <w:numId w:val="0"/>
        </w:numPr>
      </w:pPr>
      <w:r w:rsidRPr="00EC02CA">
        <w:t xml:space="preserve">There has been strong support for the use of diversion by police for youth offenders as </w:t>
      </w:r>
      <w:r w:rsidR="3A44EE93" w:rsidRPr="00EC02CA">
        <w:t xml:space="preserve">a </w:t>
      </w:r>
      <w:r w:rsidRPr="00EC02CA">
        <w:t>means of reducing youth reoffending. While the use of diversion for young people for low</w:t>
      </w:r>
      <w:r w:rsidR="00B567A3" w:rsidRPr="00EC02CA">
        <w:t>-</w:t>
      </w:r>
      <w:r w:rsidRPr="00EC02CA">
        <w:t>level, non-violent offending, such as shoplifting</w:t>
      </w:r>
      <w:r w:rsidR="000D7CDB" w:rsidRPr="00EC02CA">
        <w:t>,</w:t>
      </w:r>
      <w:r w:rsidRPr="00EC02CA">
        <w:t xml:space="preserve"> is well accepted, there are differing views about its use for </w:t>
      </w:r>
      <w:r w:rsidR="00C056CD" w:rsidRPr="00EC02CA">
        <w:t xml:space="preserve">more serious offending such as </w:t>
      </w:r>
      <w:r w:rsidRPr="00EC02CA">
        <w:t xml:space="preserve">sexual offences. However, in Tasmania and other Australian jurisdictions, there is an acceptance that diversion though the use of formal cautions can be </w:t>
      </w:r>
      <w:r w:rsidR="00BA402C" w:rsidRPr="00EC02CA">
        <w:t xml:space="preserve">an </w:t>
      </w:r>
      <w:r w:rsidRPr="00EC02CA">
        <w:t xml:space="preserve">appropriate response for at least some categories of sexual offending. Over time, there has </w:t>
      </w:r>
      <w:r w:rsidR="2B692D54" w:rsidRPr="00EC02CA">
        <w:t xml:space="preserve">also </w:t>
      </w:r>
      <w:r w:rsidRPr="00EC02CA">
        <w:t>been greater acceptance of the appropriateness of using community conferences, informed by restorative</w:t>
      </w:r>
      <w:r w:rsidR="00463687" w:rsidRPr="00EC02CA">
        <w:t xml:space="preserve"> </w:t>
      </w:r>
      <w:r w:rsidRPr="00EC02CA">
        <w:t xml:space="preserve">justice principles, in response to sexual offending. However, great care is required in the use of </w:t>
      </w:r>
      <w:r w:rsidR="00943248" w:rsidRPr="00EC02CA">
        <w:t xml:space="preserve">a </w:t>
      </w:r>
      <w:r w:rsidRPr="00EC02CA">
        <w:t>restorative justice</w:t>
      </w:r>
      <w:r w:rsidR="00943248" w:rsidRPr="00EC02CA">
        <w:t xml:space="preserve"> approach </w:t>
      </w:r>
      <w:r w:rsidRPr="00EC02CA">
        <w:t xml:space="preserve">for sexual offending. Particular concerns exist for </w:t>
      </w:r>
      <w:r w:rsidR="003C2332" w:rsidRPr="00EC02CA">
        <w:t>victim-survivors</w:t>
      </w:r>
      <w:r w:rsidRPr="00EC02CA">
        <w:t xml:space="preserve"> re</w:t>
      </w:r>
      <w:r w:rsidR="000D7CDB" w:rsidRPr="00EC02CA">
        <w:t>garding</w:t>
      </w:r>
      <w:r w:rsidRPr="00EC02CA">
        <w:t xml:space="preserve"> the</w:t>
      </w:r>
      <w:r w:rsidR="000D7CDB" w:rsidRPr="00EC02CA">
        <w:t xml:space="preserve"> potential </w:t>
      </w:r>
      <w:r w:rsidRPr="00EC02CA">
        <w:t xml:space="preserve">minimisation of </w:t>
      </w:r>
      <w:r w:rsidR="22DF53D9" w:rsidRPr="00EC02CA">
        <w:t xml:space="preserve">harm caused by </w:t>
      </w:r>
      <w:r w:rsidRPr="00EC02CA">
        <w:t xml:space="preserve">sexual violence and </w:t>
      </w:r>
      <w:r w:rsidR="26113074" w:rsidRPr="00EC02CA">
        <w:t xml:space="preserve">the </w:t>
      </w:r>
      <w:r w:rsidRPr="00EC02CA">
        <w:t xml:space="preserve">risks arising from </w:t>
      </w:r>
      <w:r w:rsidR="38699051" w:rsidRPr="00EC02CA">
        <w:t xml:space="preserve">unequal </w:t>
      </w:r>
      <w:r w:rsidRPr="00EC02CA">
        <w:t>interpersonal dynamics at a conference</w:t>
      </w:r>
      <w:r w:rsidR="00943248" w:rsidRPr="00EC02CA">
        <w:t>.</w:t>
      </w:r>
    </w:p>
    <w:p w14:paraId="78E69E53" w14:textId="31A5D2B6" w:rsidR="00F54988" w:rsidRPr="00EC02CA" w:rsidRDefault="00F54988" w:rsidP="00F54988">
      <w:pPr>
        <w:spacing w:before="220"/>
      </w:pPr>
      <w:r w:rsidRPr="00EC02CA">
        <w:t>In the interviews</w:t>
      </w:r>
      <w:r w:rsidR="00943248" w:rsidRPr="00EC02CA">
        <w:t>,</w:t>
      </w:r>
      <w:r w:rsidRPr="00EC02CA">
        <w:t xml:space="preserve"> there was general support for the use of diversion for less serious sexual offences</w:t>
      </w:r>
      <w:r w:rsidR="000D7CDB" w:rsidRPr="00EC02CA">
        <w:t>,</w:t>
      </w:r>
      <w:r w:rsidRPr="00EC02CA">
        <w:t xml:space="preserve"> with views expressed that there was scope for greater use of diversionary procedures</w:t>
      </w:r>
      <w:r w:rsidR="000D7CDB" w:rsidRPr="00EC02CA">
        <w:t xml:space="preserve"> for such offences</w:t>
      </w:r>
      <w:r w:rsidRPr="00EC02CA">
        <w:t>. Interview</w:t>
      </w:r>
      <w:r w:rsidR="00943248" w:rsidRPr="00EC02CA">
        <w:t>ee</w:t>
      </w:r>
      <w:r w:rsidRPr="00EC02CA">
        <w:t>s considered that diversion may</w:t>
      </w:r>
      <w:r w:rsidR="000D7CDB" w:rsidRPr="00EC02CA">
        <w:t xml:space="preserve"> </w:t>
      </w:r>
      <w:r w:rsidRPr="00EC02CA">
        <w:t xml:space="preserve">be particularly beneficial to educate the </w:t>
      </w:r>
      <w:r w:rsidR="552690C7" w:rsidRPr="00EC02CA">
        <w:t>you</w:t>
      </w:r>
      <w:r w:rsidR="77EC9C3A" w:rsidRPr="00EC02CA">
        <w:t>ng</w:t>
      </w:r>
      <w:r w:rsidRPr="00EC02CA">
        <w:t xml:space="preserve"> person,</w:t>
      </w:r>
      <w:r w:rsidR="552690C7" w:rsidRPr="00EC02CA">
        <w:t xml:space="preserve"> </w:t>
      </w:r>
      <w:r w:rsidR="2088D5D4" w:rsidRPr="00EC02CA">
        <w:t>and</w:t>
      </w:r>
      <w:r w:rsidRPr="00EC02CA">
        <w:t xml:space="preserve"> be better for both the offender and the </w:t>
      </w:r>
      <w:r w:rsidR="00886B70" w:rsidRPr="00EC02CA">
        <w:t>victim-survivor</w:t>
      </w:r>
      <w:r w:rsidRPr="00EC02CA">
        <w:t xml:space="preserve"> by reducing delay</w:t>
      </w:r>
      <w:r w:rsidR="001C7E34" w:rsidRPr="00EC02CA">
        <w:t>,</w:t>
      </w:r>
      <w:r w:rsidRPr="00EC02CA">
        <w:t xml:space="preserve"> and </w:t>
      </w:r>
      <w:r w:rsidR="001C7E34" w:rsidRPr="00EC02CA">
        <w:t>also</w:t>
      </w:r>
      <w:r w:rsidR="00AF6D20" w:rsidRPr="00EC02CA">
        <w:t xml:space="preserve"> </w:t>
      </w:r>
      <w:r w:rsidRPr="00EC02CA">
        <w:t>reduc</w:t>
      </w:r>
      <w:r w:rsidR="000D7CDB" w:rsidRPr="00EC02CA">
        <w:t>ing</w:t>
      </w:r>
      <w:r w:rsidRPr="00EC02CA">
        <w:t xml:space="preserve"> demand on the legal sector. Accordingly, the TLRI gave consideration to how the diversion framework could better address the needs of young people alleged to have committed sexual offences</w:t>
      </w:r>
      <w:r w:rsidR="000D7CDB" w:rsidRPr="00EC02CA">
        <w:t>,</w:t>
      </w:r>
      <w:r w:rsidRPr="00EC02CA">
        <w:t xml:space="preserve"> </w:t>
      </w:r>
      <w:r w:rsidR="000D7CDB" w:rsidRPr="00EC02CA">
        <w:t xml:space="preserve">as well as </w:t>
      </w:r>
      <w:r w:rsidRPr="00EC02CA">
        <w:t xml:space="preserve">the </w:t>
      </w:r>
      <w:r w:rsidR="003C2332" w:rsidRPr="00EC02CA">
        <w:t>victim-survivors</w:t>
      </w:r>
      <w:r w:rsidRPr="00EC02CA">
        <w:t xml:space="preserve"> of sexual harm. It has recommended that the eligibility criteria for formal cautions</w:t>
      </w:r>
      <w:r w:rsidR="000D7CDB" w:rsidRPr="00EC02CA">
        <w:t>,</w:t>
      </w:r>
      <w:r w:rsidRPr="00EC02CA">
        <w:t xml:space="preserve"> relating to the scope of offences and also the requirement that the young person admit guilt</w:t>
      </w:r>
      <w:r w:rsidR="000D7CDB" w:rsidRPr="00EC02CA">
        <w:t>, be reviewed</w:t>
      </w:r>
      <w:r w:rsidRPr="00EC02CA">
        <w:t>.</w:t>
      </w:r>
    </w:p>
    <w:p w14:paraId="4254BE74" w14:textId="4BD2DBBD" w:rsidR="00F54988" w:rsidRPr="00EC02CA" w:rsidRDefault="00F54988" w:rsidP="00F54988">
      <w:pPr>
        <w:spacing w:before="220"/>
      </w:pPr>
      <w:r w:rsidRPr="00EC02CA">
        <w:t xml:space="preserve">In addition, the TLRI has made recommendations to reform the unusual feature of the Tasmanian youth justice system, where the </w:t>
      </w:r>
      <w:r w:rsidRPr="00EC02CA">
        <w:rPr>
          <w:i/>
          <w:iCs/>
        </w:rPr>
        <w:t xml:space="preserve">Youth Justice Act 1997 </w:t>
      </w:r>
      <w:r w:rsidRPr="00EC02CA">
        <w:t xml:space="preserve">(Tas) makes provision for victims to attend formal cautions, which has resulted in Tasmania Police running formal cautions as a community conference. The involvement of victims in such a process presents significant risks. As acknowledged in existing literature and practice, </w:t>
      </w:r>
      <w:r w:rsidR="00886B70" w:rsidRPr="00EC02CA">
        <w:t>victim-survivor</w:t>
      </w:r>
      <w:r w:rsidRPr="00EC02CA">
        <w:t xml:space="preserve"> participation in diversion responses to sexual offending requires robust safeguards and the skills of trained facilitator</w:t>
      </w:r>
      <w:r w:rsidR="00AF6D20" w:rsidRPr="00EC02CA">
        <w:t>s</w:t>
      </w:r>
      <w:r w:rsidRPr="00EC02CA">
        <w:t xml:space="preserve"> and other experts. This framework is not supported in a formal caution process. Accordingly, the TLRI recommends that the </w:t>
      </w:r>
      <w:r w:rsidRPr="00EC02CA">
        <w:rPr>
          <w:i/>
          <w:iCs/>
        </w:rPr>
        <w:t xml:space="preserve">Youth Justice Act 1997 </w:t>
      </w:r>
      <w:r w:rsidRPr="00EC02CA">
        <w:t xml:space="preserve">(Tas) be amended to remove the ability for police to provide a </w:t>
      </w:r>
      <w:r w:rsidR="00886B70" w:rsidRPr="00EC02CA">
        <w:t>victim-survivor</w:t>
      </w:r>
      <w:r w:rsidRPr="00EC02CA">
        <w:t xml:space="preserve"> the opportunity to attend a formal caution for sexual offences. In addition, the TLRI’s view is that additional reforms are required to create a clear distinction between formal cautions and community conference</w:t>
      </w:r>
      <w:r w:rsidR="00943248" w:rsidRPr="00EC02CA">
        <w:t>s</w:t>
      </w:r>
      <w:r w:rsidRPr="00EC02CA">
        <w:t>.</w:t>
      </w:r>
    </w:p>
    <w:p w14:paraId="481B3BFC" w14:textId="261FEBFA" w:rsidR="00F54988" w:rsidRPr="00EC02CA" w:rsidRDefault="00F54988" w:rsidP="00F54988">
      <w:pPr>
        <w:spacing w:before="220"/>
      </w:pPr>
      <w:r w:rsidRPr="00EC02CA">
        <w:t>In relation to community conferences, data show that community conference are not frequently used for sexual offending, and this was reflected in the responses of interviewees</w:t>
      </w:r>
      <w:r w:rsidR="000A494A" w:rsidRPr="00EC02CA">
        <w:t>,</w:t>
      </w:r>
      <w:r w:rsidRPr="00EC02CA">
        <w:t xml:space="preserve"> </w:t>
      </w:r>
      <w:r w:rsidR="000A494A" w:rsidRPr="00EC02CA">
        <w:t xml:space="preserve">who confirmed </w:t>
      </w:r>
      <w:r w:rsidR="0019751E" w:rsidRPr="00EC02CA">
        <w:t>these were</w:t>
      </w:r>
      <w:r w:rsidRPr="00EC02CA">
        <w:t xml:space="preserve"> less common</w:t>
      </w:r>
      <w:r w:rsidR="000A494A" w:rsidRPr="00EC02CA">
        <w:t xml:space="preserve"> </w:t>
      </w:r>
      <w:r w:rsidRPr="00EC02CA">
        <w:t xml:space="preserve">for sexual offending. </w:t>
      </w:r>
      <w:r w:rsidR="304A1B9D" w:rsidRPr="00EC02CA">
        <w:t>I</w:t>
      </w:r>
      <w:r w:rsidR="552690C7" w:rsidRPr="00EC02CA">
        <w:t>nterviewees</w:t>
      </w:r>
      <w:r w:rsidRPr="00EC02CA">
        <w:t xml:space="preserve"> expressed reservations about the appropriateness of community conferences involving the participation of </w:t>
      </w:r>
      <w:r w:rsidR="003C2332" w:rsidRPr="00EC02CA">
        <w:t>victim-survivors</w:t>
      </w:r>
      <w:r w:rsidRPr="00EC02CA">
        <w:t>. As noted, the use of restorative justice processes, including conferences, for sexual offending has been a matter of debate. However, more recently, there has been greater acceptance that it can be an appropriate response</w:t>
      </w:r>
      <w:r w:rsidR="00AD7FF9" w:rsidRPr="00EC02CA">
        <w:t xml:space="preserve"> in light of </w:t>
      </w:r>
      <w:r w:rsidR="00A15292" w:rsidRPr="00EC02CA">
        <w:t xml:space="preserve">evidence that shows the potential benefits of </w:t>
      </w:r>
      <w:r w:rsidR="00A86E76" w:rsidRPr="00EC02CA">
        <w:t xml:space="preserve">participation in </w:t>
      </w:r>
      <w:r w:rsidR="00A15292" w:rsidRPr="00EC02CA">
        <w:t>conferences for victim-survivors of sexual o</w:t>
      </w:r>
      <w:r w:rsidR="00A86E76" w:rsidRPr="00EC02CA">
        <w:t xml:space="preserve">ffending. </w:t>
      </w:r>
      <w:r w:rsidR="00B16A67" w:rsidRPr="00EC02CA">
        <w:t>A</w:t>
      </w:r>
      <w:r w:rsidRPr="00EC02CA">
        <w:t>cceptance of the use of restorative justice for sexual offence</w:t>
      </w:r>
      <w:r w:rsidR="005D196E" w:rsidRPr="00EC02CA">
        <w:t>s</w:t>
      </w:r>
      <w:r w:rsidRPr="00EC02CA">
        <w:t xml:space="preserve"> has been accompanied with the strong caveat that this needs to be a carefully designed process, with considerable supports for </w:t>
      </w:r>
      <w:r w:rsidR="003C2332" w:rsidRPr="00EC02CA">
        <w:t>victim-survivors</w:t>
      </w:r>
      <w:r w:rsidR="7561EA42" w:rsidRPr="00EC02CA">
        <w:t>,</w:t>
      </w:r>
      <w:r w:rsidRPr="00EC02CA">
        <w:t xml:space="preserve"> and also for the young offender. The TLRI agrees that the greater use of community conferences (within a restorative justice framework) should be encouraged, accompanied by the development of a framework to ensure the safety of the </w:t>
      </w:r>
      <w:r w:rsidR="00886B70" w:rsidRPr="00EC02CA">
        <w:t>victim-survivor</w:t>
      </w:r>
      <w:r w:rsidRPr="00EC02CA">
        <w:t>, and to support the young person to engage in the process. Accordingly, it is necessary to evaluate the current operation of community conferences as they may apply to sexual offending, and identify further supports and guidelines that may be needed</w:t>
      </w:r>
      <w:r w:rsidR="007272E2" w:rsidRPr="00EC02CA">
        <w:t>.</w:t>
      </w:r>
      <w:r w:rsidRPr="00EC02CA">
        <w:t xml:space="preserve"> In this regard, the TLRI observes that consideration should be given to the use of witness intermediaries for both the </w:t>
      </w:r>
      <w:r w:rsidR="00886B70" w:rsidRPr="00EC02CA">
        <w:t>victim-survivor</w:t>
      </w:r>
      <w:r w:rsidRPr="00EC02CA">
        <w:t xml:space="preserve"> and the young offender. In addition, </w:t>
      </w:r>
      <w:r w:rsidR="007272E2" w:rsidRPr="00EC02CA">
        <w:t>complement</w:t>
      </w:r>
      <w:r w:rsidR="005D196E" w:rsidRPr="00EC02CA">
        <w:t>ing</w:t>
      </w:r>
      <w:r w:rsidR="007272E2" w:rsidRPr="00EC02CA">
        <w:t xml:space="preserve"> restorative </w:t>
      </w:r>
      <w:r w:rsidR="00AB5E63" w:rsidRPr="00EC02CA">
        <w:t>justice-based</w:t>
      </w:r>
      <w:r w:rsidR="009757DC" w:rsidRPr="00EC02CA">
        <w:t xml:space="preserve"> conferences </w:t>
      </w:r>
      <w:r w:rsidR="005D196E" w:rsidRPr="00EC02CA">
        <w:t>involving</w:t>
      </w:r>
      <w:r w:rsidR="009757DC" w:rsidRPr="00EC02CA">
        <w:t xml:space="preserve"> victim-survivor</w:t>
      </w:r>
      <w:r w:rsidR="005D196E" w:rsidRPr="00EC02CA">
        <w:t>s</w:t>
      </w:r>
      <w:r w:rsidR="009757DC" w:rsidRPr="00EC02CA">
        <w:t xml:space="preserve">, </w:t>
      </w:r>
      <w:r w:rsidR="00D17FD4" w:rsidRPr="00EC02CA">
        <w:t>consideration should be given to introduc</w:t>
      </w:r>
      <w:r w:rsidR="005D196E" w:rsidRPr="00EC02CA">
        <w:t>ing</w:t>
      </w:r>
      <w:r w:rsidR="00D17FD4" w:rsidRPr="00EC02CA">
        <w:t xml:space="preserve"> </w:t>
      </w:r>
      <w:r w:rsidR="00585808" w:rsidRPr="00EC02CA">
        <w:t>restorative justice processes</w:t>
      </w:r>
      <w:r w:rsidR="005D196E" w:rsidRPr="00EC02CA">
        <w:t xml:space="preserve"> that </w:t>
      </w:r>
      <w:r w:rsidRPr="00EC02CA">
        <w:t xml:space="preserve">do not </w:t>
      </w:r>
      <w:r w:rsidR="005D196E" w:rsidRPr="00EC02CA">
        <w:t>require their</w:t>
      </w:r>
      <w:r w:rsidRPr="00EC02CA">
        <w:t xml:space="preserve"> attendance</w:t>
      </w:r>
      <w:r w:rsidR="005D196E" w:rsidRPr="00EC02CA">
        <w:t xml:space="preserve">, </w:t>
      </w:r>
      <w:r w:rsidR="0079434D" w:rsidRPr="00EC02CA">
        <w:t>based on</w:t>
      </w:r>
      <w:r w:rsidR="005D196E" w:rsidRPr="00EC02CA">
        <w:t xml:space="preserve"> </w:t>
      </w:r>
      <w:r w:rsidR="00585808" w:rsidRPr="00EC02CA">
        <w:t>model</w:t>
      </w:r>
      <w:r w:rsidR="005D196E" w:rsidRPr="00EC02CA">
        <w:t>s</w:t>
      </w:r>
      <w:r w:rsidR="00585808" w:rsidRPr="00EC02CA">
        <w:t xml:space="preserve"> </w:t>
      </w:r>
      <w:r w:rsidR="0079434D" w:rsidRPr="00EC02CA">
        <w:t xml:space="preserve">that </w:t>
      </w:r>
      <w:r w:rsidR="00585808" w:rsidRPr="00EC02CA">
        <w:t xml:space="preserve">exist </w:t>
      </w:r>
      <w:r w:rsidR="005D196E" w:rsidRPr="00EC02CA">
        <w:t xml:space="preserve">in other jurisdictions </w:t>
      </w:r>
      <w:r w:rsidR="0079434D" w:rsidRPr="00EC02CA">
        <w:t xml:space="preserve">and </w:t>
      </w:r>
      <w:r w:rsidR="005D196E" w:rsidRPr="00EC02CA">
        <w:t xml:space="preserve">that might </w:t>
      </w:r>
      <w:r w:rsidRPr="00EC02CA">
        <w:t>guid</w:t>
      </w:r>
      <w:r w:rsidR="005D196E" w:rsidRPr="00EC02CA">
        <w:t>e</w:t>
      </w:r>
      <w:r w:rsidRPr="00EC02CA">
        <w:t xml:space="preserve"> </w:t>
      </w:r>
      <w:r w:rsidR="007272E2" w:rsidRPr="00EC02CA">
        <w:t xml:space="preserve">an approach </w:t>
      </w:r>
      <w:r w:rsidR="005D196E" w:rsidRPr="00EC02CA">
        <w:t xml:space="preserve">to </w:t>
      </w:r>
      <w:r w:rsidRPr="00EC02CA">
        <w:t>reform in Tasmania.</w:t>
      </w:r>
    </w:p>
    <w:p w14:paraId="57D91633" w14:textId="77777777" w:rsidR="00F54988" w:rsidRPr="00EC02CA" w:rsidRDefault="00F54988" w:rsidP="00A920EC">
      <w:pPr>
        <w:rPr>
          <w:bCs/>
          <w:i/>
          <w:iCs/>
        </w:rPr>
      </w:pPr>
      <w:bookmarkStart w:id="14" w:name="_Toc211849349"/>
      <w:r w:rsidRPr="00EC02CA">
        <w:rPr>
          <w:b/>
          <w:bCs/>
          <w:i/>
          <w:iCs/>
        </w:rPr>
        <w:t>The operation of the courts (Part 8)</w:t>
      </w:r>
      <w:bookmarkEnd w:id="14"/>
    </w:p>
    <w:p w14:paraId="3E3592B2" w14:textId="5C4D67FF" w:rsidR="00F54988" w:rsidRPr="00EC02CA" w:rsidRDefault="00F54988" w:rsidP="002F0007">
      <w:pPr>
        <w:pStyle w:val="NormalNumberedTextTLRI"/>
        <w:numPr>
          <w:ilvl w:val="0"/>
          <w:numId w:val="0"/>
        </w:numPr>
      </w:pPr>
      <w:r w:rsidRPr="00EC02CA">
        <w:t xml:space="preserve">The courts in Tasmanian that can hear matters relating to sexual offences committed by young people are the Magistrates Court (Youth Justice Division) and the Supreme Court. As noted, the Youth Justice Division can hear and determine charges against a youth, other than </w:t>
      </w:r>
      <w:r w:rsidR="00117250" w:rsidRPr="00EC02CA">
        <w:t xml:space="preserve">the </w:t>
      </w:r>
      <w:r w:rsidRPr="00EC02CA">
        <w:t>prescribed offences</w:t>
      </w:r>
      <w:r w:rsidR="00117250" w:rsidRPr="00EC02CA">
        <w:t xml:space="preserve"> of </w:t>
      </w:r>
      <w:r w:rsidRPr="00EC02CA">
        <w:t>rape, aggravated sexual assault</w:t>
      </w:r>
      <w:r w:rsidR="00117250" w:rsidRPr="00EC02CA">
        <w:t>,</w:t>
      </w:r>
      <w:r w:rsidRPr="00EC02CA">
        <w:t xml:space="preserve"> and persistent sexual abuse of a young person</w:t>
      </w:r>
      <w:r w:rsidR="00117250" w:rsidRPr="00EC02CA">
        <w:t>, which</w:t>
      </w:r>
      <w:r w:rsidRPr="00EC02CA">
        <w:t xml:space="preserve"> are dealt with in the Supreme Court for young people aged 14 and </w:t>
      </w:r>
      <w:r w:rsidR="00117250" w:rsidRPr="00EC02CA">
        <w:t>older</w:t>
      </w:r>
      <w:r w:rsidRPr="00EC02CA">
        <w:t>.</w:t>
      </w:r>
    </w:p>
    <w:p w14:paraId="28498D48" w14:textId="3BCC1DD6" w:rsidR="00F54988" w:rsidRPr="00EC02CA" w:rsidRDefault="00F54988" w:rsidP="002F0007">
      <w:pPr>
        <w:pStyle w:val="NormalNumberedTextTLRI"/>
        <w:numPr>
          <w:ilvl w:val="0"/>
          <w:numId w:val="0"/>
        </w:numPr>
      </w:pPr>
      <w:r w:rsidRPr="00EC02CA">
        <w:t xml:space="preserve">Court data show that very few </w:t>
      </w:r>
      <w:r w:rsidR="00614F56" w:rsidRPr="00EC02CA">
        <w:t xml:space="preserve">cases involving sexual offences by </w:t>
      </w:r>
      <w:r w:rsidRPr="00EC02CA">
        <w:t>young people were finalised in the Youth Justice Division. The A</w:t>
      </w:r>
      <w:r w:rsidR="009E63E8" w:rsidRPr="00EC02CA">
        <w:t xml:space="preserve">ustralian </w:t>
      </w:r>
      <w:r w:rsidRPr="00EC02CA">
        <w:t>B</w:t>
      </w:r>
      <w:r w:rsidR="009E63E8" w:rsidRPr="00EC02CA">
        <w:t xml:space="preserve">ureau of </w:t>
      </w:r>
      <w:r w:rsidRPr="00EC02CA">
        <w:t>S</w:t>
      </w:r>
      <w:r w:rsidR="009E63E8" w:rsidRPr="00EC02CA">
        <w:t>tatistics (ABS)</w:t>
      </w:r>
      <w:r w:rsidRPr="00EC02CA">
        <w:t xml:space="preserve"> Criminal Courts data for 2023</w:t>
      </w:r>
      <w:r w:rsidR="00614F56" w:rsidRPr="00EC02CA">
        <w:t>–</w:t>
      </w:r>
      <w:r w:rsidRPr="00EC02CA">
        <w:t xml:space="preserve">24 </w:t>
      </w:r>
      <w:r w:rsidR="00614F56" w:rsidRPr="00EC02CA">
        <w:t>indicate</w:t>
      </w:r>
      <w:r w:rsidRPr="00EC02CA">
        <w:t xml:space="preserve"> there were no </w:t>
      </w:r>
      <w:r w:rsidR="00614F56" w:rsidRPr="00EC02CA">
        <w:t xml:space="preserve">cases for a sexual offence </w:t>
      </w:r>
      <w:r w:rsidRPr="00EC02CA">
        <w:t>finalised with an adjudicated outcome in the Youth Justice Division</w:t>
      </w:r>
      <w:r w:rsidR="00614F56" w:rsidRPr="00EC02CA">
        <w:t xml:space="preserve"> that year</w:t>
      </w:r>
      <w:r w:rsidRPr="00EC02CA">
        <w:t>. This reflect</w:t>
      </w:r>
      <w:r w:rsidR="00614F56" w:rsidRPr="00EC02CA">
        <w:t>s a similar trend</w:t>
      </w:r>
      <w:r w:rsidRPr="00EC02CA">
        <w:t xml:space="preserve"> over time</w:t>
      </w:r>
      <w:r w:rsidR="00D71E9E" w:rsidRPr="00EC02CA">
        <w:t xml:space="preserve">. </w:t>
      </w:r>
      <w:r w:rsidRPr="00EC02CA">
        <w:t>In the period 2012</w:t>
      </w:r>
      <w:r w:rsidR="00614F56" w:rsidRPr="00EC02CA">
        <w:t>–</w:t>
      </w:r>
      <w:r w:rsidRPr="00EC02CA">
        <w:t>13 to 2023</w:t>
      </w:r>
      <w:r w:rsidR="00614F56" w:rsidRPr="00EC02CA">
        <w:t>–</w:t>
      </w:r>
      <w:r w:rsidRPr="00EC02CA">
        <w:t xml:space="preserve">24, there were 124 </w:t>
      </w:r>
      <w:r w:rsidR="00787F15" w:rsidRPr="00EC02CA">
        <w:t xml:space="preserve">matters </w:t>
      </w:r>
      <w:r w:rsidR="00112604" w:rsidRPr="00EC02CA">
        <w:t>initiated</w:t>
      </w:r>
      <w:r w:rsidRPr="00EC02CA">
        <w:t xml:space="preserve"> in the Youth Justice Division </w:t>
      </w:r>
      <w:r w:rsidR="00112604" w:rsidRPr="00EC02CA">
        <w:t xml:space="preserve">involving </w:t>
      </w:r>
      <w:r w:rsidRPr="00EC02CA">
        <w:t>a sexual offence</w:t>
      </w:r>
      <w:r w:rsidR="00112604" w:rsidRPr="00EC02CA">
        <w:t>,</w:t>
      </w:r>
      <w:r w:rsidRPr="00EC02CA">
        <w:t xml:space="preserve"> and all of these related to </w:t>
      </w:r>
      <w:r w:rsidR="00787F15" w:rsidRPr="00EC02CA">
        <w:t xml:space="preserve">charges for </w:t>
      </w:r>
      <w:r w:rsidRPr="00EC02CA">
        <w:t xml:space="preserve">physical sexual offending. In 80.9% </w:t>
      </w:r>
      <w:r w:rsidR="00112604" w:rsidRPr="00EC02CA">
        <w:t xml:space="preserve">of </w:t>
      </w:r>
      <w:r w:rsidR="00787F15" w:rsidRPr="00EC02CA">
        <w:t>these matters</w:t>
      </w:r>
      <w:r w:rsidR="00EF05B6" w:rsidRPr="00EC02CA">
        <w:t>,</w:t>
      </w:r>
      <w:r w:rsidR="00112604" w:rsidRPr="00EC02CA">
        <w:t xml:space="preserve"> </w:t>
      </w:r>
      <w:r w:rsidRPr="00EC02CA">
        <w:t xml:space="preserve">the charges related to sexual offending against an adult. Almost half of all charges were committed for trial, </w:t>
      </w:r>
      <w:r w:rsidR="552690C7" w:rsidRPr="00EC02CA">
        <w:t>sentence</w:t>
      </w:r>
      <w:r w:rsidR="5D42C210" w:rsidRPr="00EC02CA">
        <w:t>d</w:t>
      </w:r>
      <w:r w:rsidRPr="00EC02CA">
        <w:t xml:space="preserve"> or adjourned to the Supreme </w:t>
      </w:r>
      <w:r w:rsidR="006576A4" w:rsidRPr="00EC02CA">
        <w:t>Court; one</w:t>
      </w:r>
      <w:r w:rsidRPr="00EC02CA">
        <w:t xml:space="preserve"> in four charges resulted in dismissal or withdrawal</w:t>
      </w:r>
      <w:r w:rsidR="7DEDCC57" w:rsidRPr="00EC02CA">
        <w:t xml:space="preserve">; and </w:t>
      </w:r>
      <w:r w:rsidR="1B9706E3" w:rsidRPr="00EC02CA">
        <w:t>o</w:t>
      </w:r>
      <w:r w:rsidR="552690C7" w:rsidRPr="00EC02CA">
        <w:t>ver</w:t>
      </w:r>
      <w:r w:rsidRPr="00EC02CA">
        <w:t xml:space="preserve"> one-quarter of charges resulted in a guilty plea or </w:t>
      </w:r>
      <w:r w:rsidR="00112604" w:rsidRPr="00EC02CA">
        <w:t xml:space="preserve">a </w:t>
      </w:r>
      <w:r w:rsidRPr="00EC02CA">
        <w:t xml:space="preserve">proven charge. </w:t>
      </w:r>
    </w:p>
    <w:p w14:paraId="28BDDC19" w14:textId="2DCA63C3" w:rsidR="00F54988" w:rsidRPr="00EC02CA" w:rsidRDefault="00F54988" w:rsidP="002F0007">
      <w:pPr>
        <w:pStyle w:val="NormalNumberedTextTLRI"/>
        <w:numPr>
          <w:ilvl w:val="0"/>
          <w:numId w:val="0"/>
        </w:numPr>
      </w:pPr>
      <w:r w:rsidRPr="00EC02CA">
        <w:t xml:space="preserve">Of the 63 charges that resulted in sentencing outcomes in the Youth Justice Division, just over a third received a custodial sentence and just under a third received a sentence of probation. Other sentences included release on conditions, recognisance, community service or community correction order, driving disqualification or fines. </w:t>
      </w:r>
    </w:p>
    <w:p w14:paraId="16B175DD" w14:textId="1D950E1D" w:rsidR="00F54988" w:rsidRPr="00EC02CA" w:rsidRDefault="00F54988" w:rsidP="002F0007">
      <w:pPr>
        <w:pStyle w:val="NormalNumberedTextTLRI"/>
        <w:numPr>
          <w:ilvl w:val="0"/>
          <w:numId w:val="0"/>
        </w:numPr>
      </w:pPr>
      <w:r w:rsidRPr="00EC02CA">
        <w:t xml:space="preserve">In the Supreme Court, </w:t>
      </w:r>
      <w:r w:rsidR="00DC38C2" w:rsidRPr="00EC02CA">
        <w:t xml:space="preserve">in the period </w:t>
      </w:r>
      <w:r w:rsidR="00FF5AD7" w:rsidRPr="00EC02CA">
        <w:t>2</w:t>
      </w:r>
      <w:r w:rsidR="001B3703" w:rsidRPr="00EC02CA">
        <w:t>013</w:t>
      </w:r>
      <w:r w:rsidR="0078148C" w:rsidRPr="00EC02CA">
        <w:t>–</w:t>
      </w:r>
      <w:r w:rsidR="001B3703" w:rsidRPr="00EC02CA">
        <w:t>2024</w:t>
      </w:r>
      <w:r w:rsidR="00DC38C2" w:rsidRPr="00EC02CA">
        <w:t xml:space="preserve">, </w:t>
      </w:r>
      <w:r w:rsidRPr="00EC02CA">
        <w:t xml:space="preserve">there were 53 young people finalised for a sexual offence. </w:t>
      </w:r>
      <w:r w:rsidR="0078148C" w:rsidRPr="00EC02CA">
        <w:t>As with the Youth Justice Division, m</w:t>
      </w:r>
      <w:r w:rsidRPr="00EC02CA">
        <w:t xml:space="preserve">ost of the charges </w:t>
      </w:r>
      <w:r w:rsidR="21F9A6B7" w:rsidRPr="00EC02CA">
        <w:t xml:space="preserve">also </w:t>
      </w:r>
      <w:r w:rsidRPr="00EC02CA">
        <w:t>related to sexual assault and</w:t>
      </w:r>
      <w:r w:rsidR="3A3C726C" w:rsidRPr="00EC02CA">
        <w:t>, again,</w:t>
      </w:r>
      <w:r w:rsidRPr="00EC02CA">
        <w:t xml:space="preserve"> most of those sexual assault charges </w:t>
      </w:r>
      <w:r w:rsidR="0078148C" w:rsidRPr="00EC02CA">
        <w:t xml:space="preserve">(71.3%) </w:t>
      </w:r>
      <w:r w:rsidRPr="00EC02CA">
        <w:t xml:space="preserve">related </w:t>
      </w:r>
      <w:r w:rsidR="0078148C" w:rsidRPr="00EC02CA">
        <w:t xml:space="preserve">to </w:t>
      </w:r>
      <w:r w:rsidRPr="00EC02CA">
        <w:t>an adult victim</w:t>
      </w:r>
      <w:r w:rsidR="00EB0539" w:rsidRPr="00EC02CA">
        <w:t>-</w:t>
      </w:r>
      <w:r w:rsidRPr="00EC02CA">
        <w:t>survivor</w:t>
      </w:r>
      <w:r w:rsidR="00EB0539" w:rsidRPr="00EC02CA">
        <w:t xml:space="preserve"> </w:t>
      </w:r>
      <w:r w:rsidRPr="00EC02CA">
        <w:t xml:space="preserve">rather than a child. There were </w:t>
      </w:r>
      <w:r w:rsidR="002754A4" w:rsidRPr="00EC02CA">
        <w:t>six</w:t>
      </w:r>
      <w:r w:rsidRPr="00EC02CA">
        <w:t xml:space="preserve"> child exploitation material charges dealt with in the Supreme Court. In relation to these defendants, just over half resulted in a guilty plea or</w:t>
      </w:r>
      <w:r w:rsidR="0078148C" w:rsidRPr="00EC02CA">
        <w:t xml:space="preserve"> a</w:t>
      </w:r>
      <w:r w:rsidRPr="00EC02CA">
        <w:t xml:space="preserve"> proven charge, with one </w:t>
      </w:r>
      <w:r w:rsidR="0078148C" w:rsidRPr="00EC02CA">
        <w:t>matter</w:t>
      </w:r>
      <w:r w:rsidRPr="00EC02CA">
        <w:t xml:space="preserve"> resulting in a conviction on an alternative cha</w:t>
      </w:r>
      <w:r w:rsidR="0078148C" w:rsidRPr="00EC02CA">
        <w:t>r</w:t>
      </w:r>
      <w:r w:rsidRPr="00EC02CA">
        <w:t>ge. In over one-quarter of charges the young person was found not guilty or acquitted of the charge</w:t>
      </w:r>
      <w:r w:rsidR="552690C7" w:rsidRPr="00EC02CA">
        <w:t>.</w:t>
      </w:r>
      <w:r w:rsidRPr="00EC02CA">
        <w:t xml:space="preserve"> In nearly </w:t>
      </w:r>
      <w:r w:rsidR="0078148C" w:rsidRPr="00EC02CA">
        <w:t>one-fifth</w:t>
      </w:r>
      <w:r w:rsidRPr="00EC02CA">
        <w:t xml:space="preserve"> of charges, the charge was withdrawn or a </w:t>
      </w:r>
      <w:r w:rsidR="0078148C" w:rsidRPr="00EC02CA">
        <w:t>‘</w:t>
      </w:r>
      <w:r w:rsidR="0026709E" w:rsidRPr="00EC02CA">
        <w:rPr>
          <w:i/>
          <w:iCs/>
        </w:rPr>
        <w:t>nolle</w:t>
      </w:r>
      <w:r w:rsidR="0026709E" w:rsidRPr="00EC02CA">
        <w:t xml:space="preserve"> </w:t>
      </w:r>
      <w:r w:rsidR="0026709E" w:rsidRPr="00EC02CA">
        <w:rPr>
          <w:i/>
          <w:iCs/>
        </w:rPr>
        <w:t>prosequi</w:t>
      </w:r>
      <w:r w:rsidR="0078148C" w:rsidRPr="00EC02CA">
        <w:t>’</w:t>
      </w:r>
      <w:r w:rsidRPr="00EC02CA">
        <w:t xml:space="preserve"> filed</w:t>
      </w:r>
      <w:r w:rsidR="0078148C" w:rsidRPr="00EC02CA">
        <w:t xml:space="preserve">, </w:t>
      </w:r>
      <w:r w:rsidR="00914345" w:rsidRPr="00EC02CA">
        <w:t>meaning that the matter did not proceed</w:t>
      </w:r>
      <w:r w:rsidRPr="00EC02CA">
        <w:t>.</w:t>
      </w:r>
    </w:p>
    <w:p w14:paraId="31035D67" w14:textId="308C6E6B" w:rsidR="00F54988" w:rsidRPr="00EC02CA" w:rsidRDefault="00F54988" w:rsidP="002F0007">
      <w:pPr>
        <w:pStyle w:val="NormalNumberedTextTLRI"/>
        <w:numPr>
          <w:ilvl w:val="0"/>
          <w:numId w:val="0"/>
        </w:numPr>
      </w:pPr>
      <w:r w:rsidRPr="00EC02CA">
        <w:t xml:space="preserve">If a youth is found guilty of a prescribed offence or enters a plea of guilty, the Supreme Court has a discretion as to whether to sentence the youth under the </w:t>
      </w:r>
      <w:r w:rsidRPr="00EC02CA">
        <w:rPr>
          <w:i/>
          <w:iCs/>
        </w:rPr>
        <w:t xml:space="preserve">Sentencing Act 1997 </w:t>
      </w:r>
      <w:r w:rsidRPr="00EC02CA">
        <w:t xml:space="preserve">(Tas) or the </w:t>
      </w:r>
      <w:r w:rsidRPr="00EC02CA">
        <w:rPr>
          <w:i/>
          <w:iCs/>
        </w:rPr>
        <w:t xml:space="preserve">Youth Justice Act 1997 </w:t>
      </w:r>
      <w:r w:rsidRPr="00EC02CA">
        <w:t>(Tas). An analysis of sentencing comments of the Supreme Court for the period 2016</w:t>
      </w:r>
      <w:r w:rsidR="0078148C" w:rsidRPr="00EC02CA">
        <w:t>–</w:t>
      </w:r>
      <w:r w:rsidRPr="00EC02CA">
        <w:t>17 to 2024</w:t>
      </w:r>
      <w:r w:rsidR="0078148C" w:rsidRPr="00EC02CA">
        <w:t>–</w:t>
      </w:r>
      <w:r w:rsidRPr="00EC02CA">
        <w:t xml:space="preserve">25, identified 21 people sentenced for a sexual offence committed when the person was a young person. Analysed according to the most serious offence for which the person was sentenced, there were 11 cases </w:t>
      </w:r>
      <w:r w:rsidR="0078148C" w:rsidRPr="00EC02CA">
        <w:t xml:space="preserve">that </w:t>
      </w:r>
      <w:r w:rsidRPr="00EC02CA">
        <w:t>involved rape</w:t>
      </w:r>
      <w:r w:rsidR="0078148C" w:rsidRPr="00EC02CA">
        <w:t xml:space="preserve"> and</w:t>
      </w:r>
      <w:r w:rsidRPr="00EC02CA">
        <w:t xml:space="preserve"> </w:t>
      </w:r>
      <w:r w:rsidR="0078148C" w:rsidRPr="00EC02CA">
        <w:t>four</w:t>
      </w:r>
      <w:r w:rsidRPr="00EC02CA">
        <w:t xml:space="preserve"> </w:t>
      </w:r>
      <w:r w:rsidR="0078148C" w:rsidRPr="00EC02CA">
        <w:t xml:space="preserve">that </w:t>
      </w:r>
      <w:r w:rsidRPr="00EC02CA">
        <w:t xml:space="preserve">involved maintaining a sexual relationship with a young person/persistent sexual abuse. Other offences </w:t>
      </w:r>
      <w:r w:rsidR="008A1349" w:rsidRPr="00EC02CA">
        <w:t xml:space="preserve">where there was a guilty finding </w:t>
      </w:r>
      <w:r w:rsidRPr="00EC02CA">
        <w:t>included indecent assault, aggravated sexual assault, sexual intercourse with a young person/penetrative sexual abuse of a young person</w:t>
      </w:r>
      <w:r w:rsidR="0078148C" w:rsidRPr="00EC02CA">
        <w:t>,</w:t>
      </w:r>
      <w:r w:rsidRPr="00EC02CA">
        <w:t xml:space="preserve"> and attempted unlawful sexual intercourse with a young person. In 14 out of the 21 cases, the young person was sentenced under the </w:t>
      </w:r>
      <w:r w:rsidRPr="00EC02CA">
        <w:rPr>
          <w:i/>
          <w:iCs/>
        </w:rPr>
        <w:t xml:space="preserve">Sentencing Act 1997 </w:t>
      </w:r>
      <w:r w:rsidRPr="00EC02CA">
        <w:t xml:space="preserve">(Tas). </w:t>
      </w:r>
      <w:r w:rsidR="00922B57" w:rsidRPr="00EC02CA">
        <w:t xml:space="preserve">In 17 of the 21 cases, the offender was placed on the Community Protection Offender Register. </w:t>
      </w:r>
      <w:r w:rsidR="00CB48B8" w:rsidRPr="00EC02CA">
        <w:t xml:space="preserve">In 14 of the 21 cases, the person was 18 or older at the time of sentencing. </w:t>
      </w:r>
      <w:r w:rsidRPr="00EC02CA">
        <w:t xml:space="preserve">In cases where the offender was </w:t>
      </w:r>
      <w:r w:rsidR="0078148C" w:rsidRPr="00EC02CA">
        <w:t xml:space="preserve">aged </w:t>
      </w:r>
      <w:r w:rsidRPr="00EC02CA">
        <w:t xml:space="preserve">under 18 at the time of sentencing, in </w:t>
      </w:r>
      <w:r w:rsidR="002754A4" w:rsidRPr="00EC02CA">
        <w:t>five</w:t>
      </w:r>
      <w:r w:rsidRPr="00EC02CA">
        <w:t xml:space="preserve"> out of </w:t>
      </w:r>
      <w:r w:rsidR="002754A4" w:rsidRPr="00EC02CA">
        <w:t>seven</w:t>
      </w:r>
      <w:r w:rsidRPr="00EC02CA">
        <w:t xml:space="preserve"> </w:t>
      </w:r>
      <w:r w:rsidR="0078148C" w:rsidRPr="00EC02CA">
        <w:t xml:space="preserve">cases </w:t>
      </w:r>
      <w:r w:rsidRPr="00EC02CA">
        <w:t xml:space="preserve">the young person was sentenced under the </w:t>
      </w:r>
      <w:r w:rsidRPr="00EC02CA">
        <w:rPr>
          <w:i/>
          <w:iCs/>
        </w:rPr>
        <w:t xml:space="preserve">Youth Justice Act 1997 </w:t>
      </w:r>
      <w:r w:rsidRPr="00EC02CA">
        <w:t xml:space="preserve">(Tas). </w:t>
      </w:r>
    </w:p>
    <w:p w14:paraId="69230225" w14:textId="6977F73B" w:rsidR="00F54988" w:rsidRPr="00EC02CA" w:rsidRDefault="00F54988" w:rsidP="002F0007">
      <w:pPr>
        <w:pStyle w:val="NormalNumberedTextTLRI"/>
        <w:numPr>
          <w:ilvl w:val="0"/>
          <w:numId w:val="0"/>
        </w:numPr>
      </w:pPr>
      <w:r w:rsidRPr="00EC02CA">
        <w:t>Sentencing data for the Supreme Court for the period 2013</w:t>
      </w:r>
      <w:r w:rsidR="0078148C" w:rsidRPr="00EC02CA">
        <w:t>–</w:t>
      </w:r>
      <w:r w:rsidRPr="00EC02CA">
        <w:t>14 to 2023</w:t>
      </w:r>
      <w:r w:rsidR="0078148C" w:rsidRPr="00EC02CA">
        <w:t>–</w:t>
      </w:r>
      <w:r w:rsidRPr="00EC02CA">
        <w:t xml:space="preserve">24 was provided by the Department of Justice to the TLRI. These </w:t>
      </w:r>
      <w:r w:rsidR="0078148C" w:rsidRPr="00EC02CA">
        <w:t xml:space="preserve">data </w:t>
      </w:r>
      <w:r w:rsidRPr="00EC02CA">
        <w:t>show that there were 48 sexual offence charges sentence</w:t>
      </w:r>
      <w:r w:rsidR="0078148C" w:rsidRPr="00EC02CA">
        <w:t>d,</w:t>
      </w:r>
      <w:r w:rsidRPr="00EC02CA">
        <w:t xml:space="preserve"> with 85.4% </w:t>
      </w:r>
      <w:r w:rsidR="0078148C" w:rsidRPr="00EC02CA">
        <w:t>receiving</w:t>
      </w:r>
      <w:r w:rsidRPr="00EC02CA">
        <w:t xml:space="preserve"> sentences of imprisonment and 81.3% resulting in the offender being placed on the Community Protection Offender Register. </w:t>
      </w:r>
      <w:r w:rsidR="0078148C" w:rsidRPr="00EC02CA">
        <w:t>A c</w:t>
      </w:r>
      <w:r w:rsidRPr="00EC02CA">
        <w:t xml:space="preserve">ommunity service/community correction order was imposed in relation to </w:t>
      </w:r>
      <w:r w:rsidR="002754A4" w:rsidRPr="00EC02CA">
        <w:t>seven</w:t>
      </w:r>
      <w:r w:rsidRPr="00EC02CA">
        <w:t xml:space="preserve"> charges, a probation order for </w:t>
      </w:r>
      <w:r w:rsidR="002754A4" w:rsidRPr="00EC02CA">
        <w:t>four</w:t>
      </w:r>
      <w:r w:rsidRPr="00EC02CA">
        <w:t xml:space="preserve"> charges, home detention for </w:t>
      </w:r>
      <w:r w:rsidR="002754A4" w:rsidRPr="00EC02CA">
        <w:t>three</w:t>
      </w:r>
      <w:r w:rsidR="00FD07C8" w:rsidRPr="00EC02CA">
        <w:t xml:space="preserve"> charges</w:t>
      </w:r>
      <w:r w:rsidRPr="00EC02CA">
        <w:t xml:space="preserve"> and a detention order </w:t>
      </w:r>
      <w:r w:rsidR="00FD07C8" w:rsidRPr="00EC02CA">
        <w:t>for two charges</w:t>
      </w:r>
    </w:p>
    <w:p w14:paraId="7F163B73" w14:textId="16C20166" w:rsidR="00F54988" w:rsidRPr="00EC02CA" w:rsidRDefault="00F54988" w:rsidP="002F0007">
      <w:pPr>
        <w:pStyle w:val="NormalNumberedTextTLRI"/>
        <w:numPr>
          <w:ilvl w:val="0"/>
          <w:numId w:val="0"/>
        </w:numPr>
      </w:pPr>
      <w:r w:rsidRPr="00EC02CA">
        <w:t xml:space="preserve">There are also powers for the court to divert a young person. Following a finding of guilt or a plea of guilty, instead of proceeding to sentence, the </w:t>
      </w:r>
      <w:r w:rsidRPr="00EC02CA">
        <w:rPr>
          <w:i/>
          <w:iCs/>
        </w:rPr>
        <w:t>Youth Justice Act 1997</w:t>
      </w:r>
      <w:r w:rsidRPr="00EC02CA">
        <w:t xml:space="preserve"> </w:t>
      </w:r>
      <w:r w:rsidR="008A1349" w:rsidRPr="00EC02CA">
        <w:t xml:space="preserve">(Tas) </w:t>
      </w:r>
      <w:r w:rsidRPr="00EC02CA">
        <w:t xml:space="preserve">provides the court with powers that it can use to divert a young person. The </w:t>
      </w:r>
      <w:r w:rsidR="006F50DC" w:rsidRPr="00EC02CA">
        <w:t>c</w:t>
      </w:r>
      <w:r w:rsidRPr="00EC02CA">
        <w:t>ourt is able to:</w:t>
      </w:r>
    </w:p>
    <w:p w14:paraId="12F3AE34" w14:textId="42F1E65B" w:rsidR="00F54988" w:rsidRPr="00EC02CA" w:rsidRDefault="0019010B" w:rsidP="00A920EC">
      <w:pPr>
        <w:pStyle w:val="NumberlessNormalText"/>
        <w:numPr>
          <w:ilvl w:val="0"/>
          <w:numId w:val="133"/>
        </w:numPr>
      </w:pPr>
      <w:r w:rsidRPr="00EC02CA">
        <w:t>o</w:t>
      </w:r>
      <w:r w:rsidR="552690C7" w:rsidRPr="00EC02CA">
        <w:t>rder</w:t>
      </w:r>
      <w:r w:rsidR="00F54988" w:rsidRPr="00EC02CA">
        <w:t xml:space="preserve"> the young person to attend a community conference</w:t>
      </w:r>
    </w:p>
    <w:p w14:paraId="296ECB72" w14:textId="75DA3005" w:rsidR="00F54988" w:rsidRPr="00EC02CA" w:rsidRDefault="0019010B" w:rsidP="00A920EC">
      <w:pPr>
        <w:pStyle w:val="NumberlessNormalText"/>
      </w:pPr>
      <w:r w:rsidRPr="00EC02CA">
        <w:t>d</w:t>
      </w:r>
      <w:r w:rsidR="00F54988" w:rsidRPr="00EC02CA">
        <w:t xml:space="preserve">efer sentencing to allow </w:t>
      </w:r>
      <w:r w:rsidR="006F50DC" w:rsidRPr="00EC02CA">
        <w:t xml:space="preserve">the young person </w:t>
      </w:r>
      <w:r w:rsidR="00F54988" w:rsidRPr="00EC02CA">
        <w:t xml:space="preserve">to take part in an intervention plan. An intervention plan is a plan that specifies the activities or programs that </w:t>
      </w:r>
      <w:r w:rsidR="0078148C" w:rsidRPr="00EC02CA">
        <w:t>the</w:t>
      </w:r>
      <w:r w:rsidR="00F54988" w:rsidRPr="00EC02CA">
        <w:t xml:space="preserve"> youth is expected to undertake while on bail granted for the purpose of deferring sentence.</w:t>
      </w:r>
    </w:p>
    <w:p w14:paraId="1A7FA3FE" w14:textId="4E713051" w:rsidR="00F54988" w:rsidRPr="00EC02CA" w:rsidRDefault="00347C7D" w:rsidP="002F0007">
      <w:pPr>
        <w:pStyle w:val="NormalNumberedTextTLRI"/>
        <w:numPr>
          <w:ilvl w:val="0"/>
          <w:numId w:val="0"/>
        </w:numPr>
      </w:pPr>
      <w:r w:rsidRPr="00EC02CA">
        <w:t xml:space="preserve">These </w:t>
      </w:r>
      <w:r w:rsidR="0078148C" w:rsidRPr="00EC02CA">
        <w:t xml:space="preserve">orders </w:t>
      </w:r>
      <w:r w:rsidRPr="00EC02CA">
        <w:t xml:space="preserve">do not appear to be frequently used. </w:t>
      </w:r>
      <w:r w:rsidR="00F54988" w:rsidRPr="00EC02CA">
        <w:t xml:space="preserve">Under the </w:t>
      </w:r>
      <w:r w:rsidR="00F54988" w:rsidRPr="00EC02CA">
        <w:rPr>
          <w:i/>
          <w:iCs/>
        </w:rPr>
        <w:t xml:space="preserve">Sentence Act 1997 </w:t>
      </w:r>
      <w:r w:rsidR="00F54988" w:rsidRPr="00EC02CA">
        <w:t xml:space="preserve">(Tas), the Supreme Court also has power to defer sentencing. In addition, when sentencing a young person under the </w:t>
      </w:r>
      <w:r w:rsidR="00F54988" w:rsidRPr="00EC02CA">
        <w:rPr>
          <w:i/>
          <w:iCs/>
        </w:rPr>
        <w:t xml:space="preserve">Youth Justice Act 1997 </w:t>
      </w:r>
      <w:r w:rsidR="00F54988" w:rsidRPr="00EC02CA">
        <w:t xml:space="preserve">(Tas) or the </w:t>
      </w:r>
      <w:r w:rsidR="00F54988" w:rsidRPr="00EC02CA">
        <w:rPr>
          <w:i/>
          <w:iCs/>
        </w:rPr>
        <w:t xml:space="preserve">Sentencing Act 1997 </w:t>
      </w:r>
      <w:r w:rsidR="00F54988" w:rsidRPr="00EC02CA">
        <w:t xml:space="preserve">(Tas), there are powers for a court to impose conditions as part of a sentence that require the person to engage with treatment. </w:t>
      </w:r>
    </w:p>
    <w:p w14:paraId="2DC2F701" w14:textId="4DFE3375" w:rsidR="00F54988" w:rsidRPr="00EC02CA" w:rsidRDefault="00F54988" w:rsidP="002F0007">
      <w:pPr>
        <w:pStyle w:val="NormalNumberedTextTLRI"/>
        <w:numPr>
          <w:ilvl w:val="0"/>
          <w:numId w:val="0"/>
        </w:numPr>
      </w:pPr>
      <w:r w:rsidRPr="00EC02CA">
        <w:t xml:space="preserve">In summary, very few matters involving young people alleged to have committed sexual offences </w:t>
      </w:r>
      <w:r w:rsidR="00347C7D" w:rsidRPr="00EC02CA">
        <w:t xml:space="preserve">are </w:t>
      </w:r>
      <w:r w:rsidRPr="00EC02CA">
        <w:t xml:space="preserve">finalised in Tasmanian courts, and those that are dealt with in a court relate most commonly to physical sexual against an adult. Reflecting this, interviewees had more limited knowledge of the role of the courts. However, those who did comment </w:t>
      </w:r>
      <w:r w:rsidR="006E4E4C" w:rsidRPr="00EC02CA">
        <w:t xml:space="preserve">on the role of courts </w:t>
      </w:r>
      <w:r w:rsidRPr="00EC02CA">
        <w:t>made two main observations – the first in relation to delay and the second in relation to provision for the use of witness intermediaries for young defendants</w:t>
      </w:r>
      <w:r w:rsidR="3075C9F0" w:rsidRPr="00EC02CA">
        <w:t>,</w:t>
      </w:r>
      <w:r w:rsidRPr="00EC02CA">
        <w:t xml:space="preserve"> as well as other young witnesses. In addition, it was as noted in the interviews that a greater use of diversion would decrease the demand on the court system. This highlights the need to carefully consider the increased use of diversion for young people (</w:t>
      </w:r>
      <w:r w:rsidR="006E4E4C" w:rsidRPr="00EC02CA">
        <w:t xml:space="preserve">both </w:t>
      </w:r>
      <w:r w:rsidRPr="00EC02CA">
        <w:t>pre-plea and post</w:t>
      </w:r>
      <w:r w:rsidR="006E4E4C" w:rsidRPr="00EC02CA">
        <w:t>-</w:t>
      </w:r>
      <w:r w:rsidRPr="00EC02CA">
        <w:t xml:space="preserve">plea) where appropriate. The TLRI’s view is that the current powers in the </w:t>
      </w:r>
      <w:r w:rsidRPr="00EC02CA">
        <w:rPr>
          <w:i/>
          <w:iCs/>
        </w:rPr>
        <w:t xml:space="preserve">Youth Justice Act 1997 </w:t>
      </w:r>
      <w:r w:rsidRPr="00EC02CA">
        <w:t xml:space="preserve">(Tas) should be reviewed to identify any need for reform to facilitate </w:t>
      </w:r>
      <w:r w:rsidR="006E4E4C" w:rsidRPr="00EC02CA">
        <w:t xml:space="preserve">greater </w:t>
      </w:r>
      <w:r w:rsidRPr="00EC02CA">
        <w:t>use by the court</w:t>
      </w:r>
      <w:r w:rsidR="00751FEB" w:rsidRPr="00EC02CA">
        <w:t xml:space="preserve"> of diversionary processes</w:t>
      </w:r>
      <w:r w:rsidR="006E4E4C" w:rsidRPr="00EC02CA">
        <w:t xml:space="preserve"> in appropriate cases</w:t>
      </w:r>
      <w:r w:rsidRPr="00EC02CA">
        <w:t xml:space="preserve">. In addition, the TLRI’s view is that consideration should be given as to whether it </w:t>
      </w:r>
      <w:r w:rsidR="006E4E4C" w:rsidRPr="00EC02CA">
        <w:t>may be</w:t>
      </w:r>
      <w:r w:rsidRPr="00EC02CA">
        <w:t xml:space="preserve"> appropriate for </w:t>
      </w:r>
      <w:r w:rsidR="006E4E4C" w:rsidRPr="00EC02CA">
        <w:t xml:space="preserve">a </w:t>
      </w:r>
      <w:r w:rsidRPr="00EC02CA">
        <w:t>matter to be adjourned (before a plea) to allow a young person to participate in a treatment program.</w:t>
      </w:r>
    </w:p>
    <w:p w14:paraId="2B8AAFE4" w14:textId="2DDE1CAA" w:rsidR="00F54988" w:rsidRPr="00EC02CA" w:rsidRDefault="00F54988" w:rsidP="002F0007">
      <w:pPr>
        <w:pStyle w:val="NormalNumberedTextTLRI"/>
        <w:numPr>
          <w:ilvl w:val="0"/>
          <w:numId w:val="0"/>
        </w:numPr>
      </w:pPr>
      <w:r w:rsidRPr="00EC02CA">
        <w:t>The TLRI has concerns about the implementation of a statutory framework that would require young people to undergo treatment separate from the youth justice system</w:t>
      </w:r>
      <w:r w:rsidR="006E4E4C" w:rsidRPr="00EC02CA">
        <w:t>. I</w:t>
      </w:r>
      <w:r w:rsidR="00215B61" w:rsidRPr="00EC02CA">
        <w:t xml:space="preserve">ts view is that </w:t>
      </w:r>
      <w:r w:rsidR="00E9339C" w:rsidRPr="00EC02CA">
        <w:t xml:space="preserve">there should be </w:t>
      </w:r>
      <w:r w:rsidR="00164DBA" w:rsidRPr="00EC02CA">
        <w:t>careful</w:t>
      </w:r>
      <w:r w:rsidR="00E9339C" w:rsidRPr="00EC02CA">
        <w:t xml:space="preserve"> consideration and evaluation of the </w:t>
      </w:r>
      <w:r w:rsidR="00164DBA" w:rsidRPr="00EC02CA">
        <w:t>efficacy</w:t>
      </w:r>
      <w:r w:rsidR="00E9339C" w:rsidRPr="00EC02CA">
        <w:t xml:space="preserve"> of treatment and the implications of </w:t>
      </w:r>
      <w:r w:rsidR="00164DBA" w:rsidRPr="00EC02CA">
        <w:t xml:space="preserve">any mandatory treatment model </w:t>
      </w:r>
      <w:r w:rsidR="006E4E4C" w:rsidRPr="00EC02CA">
        <w:t xml:space="preserve">operating </w:t>
      </w:r>
      <w:r w:rsidR="00751FEB" w:rsidRPr="00EC02CA">
        <w:t>separate</w:t>
      </w:r>
      <w:r w:rsidR="00164DBA" w:rsidRPr="00EC02CA">
        <w:t xml:space="preserve"> from the criminal process</w:t>
      </w:r>
      <w:r w:rsidR="009D08F1" w:rsidRPr="00EC02CA">
        <w:t>.</w:t>
      </w:r>
      <w:r w:rsidRPr="00EC02CA">
        <w:t xml:space="preserve"> The TLRI also has concerns about providing the court</w:t>
      </w:r>
      <w:r w:rsidR="006E4E4C" w:rsidRPr="00EC02CA">
        <w:t>s</w:t>
      </w:r>
      <w:r w:rsidRPr="00EC02CA">
        <w:t xml:space="preserve"> with power to mandate that a young person participate in treatment before a finding or plea of guilt. However, </w:t>
      </w:r>
      <w:r w:rsidR="00164DBA" w:rsidRPr="00EC02CA">
        <w:t xml:space="preserve">the TLRI’s view is that </w:t>
      </w:r>
      <w:r w:rsidRPr="00EC02CA">
        <w:t xml:space="preserve">consideration should be given to providing the court with a power to adjourn a matter before taking a plea to allow a young person to participate voluntarily in </w:t>
      </w:r>
      <w:r w:rsidR="0054562E" w:rsidRPr="00EC02CA">
        <w:t xml:space="preserve">a </w:t>
      </w:r>
      <w:r w:rsidRPr="00EC02CA">
        <w:t xml:space="preserve">treatment program. </w:t>
      </w:r>
    </w:p>
    <w:p w14:paraId="028A7F18" w14:textId="6B3795C2" w:rsidR="00F54988" w:rsidRPr="00EC02CA" w:rsidRDefault="00F54988" w:rsidP="002F0007">
      <w:pPr>
        <w:pStyle w:val="NormalNumberedTextTLRI"/>
        <w:numPr>
          <w:ilvl w:val="0"/>
          <w:numId w:val="0"/>
        </w:numPr>
      </w:pPr>
      <w:r w:rsidRPr="00EC02CA">
        <w:t>The TLRI also recommends that there should be provision for witness intermediaries for young people under investigation</w:t>
      </w:r>
      <w:r w:rsidR="006E4E4C" w:rsidRPr="00EC02CA">
        <w:t xml:space="preserve"> for,</w:t>
      </w:r>
      <w:r w:rsidRPr="00EC02CA">
        <w:t xml:space="preserve"> or who have been charged with</w:t>
      </w:r>
      <w:r w:rsidR="006E4E4C" w:rsidRPr="00EC02CA">
        <w:t>,</w:t>
      </w:r>
      <w:r w:rsidRPr="00EC02CA">
        <w:t xml:space="preserve"> sexual offences, including during police interview</w:t>
      </w:r>
      <w:r w:rsidR="006E4E4C" w:rsidRPr="00EC02CA">
        <w:t>s</w:t>
      </w:r>
      <w:r w:rsidRPr="00EC02CA">
        <w:t>, formal cautions, conferences and court proceedings in the Magistrates Court and Supreme Court.</w:t>
      </w:r>
    </w:p>
    <w:p w14:paraId="163A7737" w14:textId="4DB3CC46" w:rsidR="00F54988" w:rsidRPr="00EC02CA" w:rsidRDefault="00F54988" w:rsidP="002F0007">
      <w:pPr>
        <w:pStyle w:val="NormalNumberedTextTLRI"/>
        <w:numPr>
          <w:ilvl w:val="0"/>
          <w:numId w:val="0"/>
        </w:numPr>
      </w:pPr>
      <w:r w:rsidRPr="00EC02CA">
        <w:t xml:space="preserve">In addition, the TLRI’s view is that a review of the operation of the offender reporting scheme under the </w:t>
      </w:r>
      <w:r w:rsidRPr="00EC02CA">
        <w:rPr>
          <w:i/>
          <w:iCs/>
        </w:rPr>
        <w:t xml:space="preserve">Community Protection (Offender Reporting) Act 2005 </w:t>
      </w:r>
      <w:r w:rsidRPr="00EC02CA">
        <w:t xml:space="preserve">(Tas) </w:t>
      </w:r>
      <w:r w:rsidR="006E4E4C" w:rsidRPr="00EC02CA">
        <w:t xml:space="preserve">as it applies to young people, </w:t>
      </w:r>
      <w:r w:rsidRPr="00EC02CA">
        <w:t xml:space="preserve">should </w:t>
      </w:r>
      <w:r w:rsidR="27C6D2D9" w:rsidRPr="00EC02CA">
        <w:t xml:space="preserve">also </w:t>
      </w:r>
      <w:r w:rsidRPr="00EC02CA">
        <w:t xml:space="preserve">be as part of the review of the </w:t>
      </w:r>
      <w:r w:rsidRPr="00EC02CA">
        <w:rPr>
          <w:i/>
          <w:iCs/>
        </w:rPr>
        <w:t xml:space="preserve">Youth Justice Act 1997 </w:t>
      </w:r>
      <w:r w:rsidRPr="00EC02CA">
        <w:t>(Tas</w:t>
      </w:r>
      <w:r w:rsidR="552690C7" w:rsidRPr="00EC02CA">
        <w:t>)</w:t>
      </w:r>
      <w:r w:rsidRPr="00EC02CA">
        <w:t>.</w:t>
      </w:r>
    </w:p>
    <w:p w14:paraId="5BFC3500" w14:textId="2EB1A637" w:rsidR="00F54988" w:rsidRPr="00EC02CA" w:rsidRDefault="00F54988" w:rsidP="002F0007">
      <w:pPr>
        <w:pStyle w:val="NormalNumberedTextTLRI"/>
        <w:numPr>
          <w:ilvl w:val="0"/>
          <w:numId w:val="0"/>
        </w:numPr>
      </w:pPr>
      <w:r w:rsidRPr="00EC02CA">
        <w:t xml:space="preserve">As a final matter, the TLRI observes the challenges that exist in addressing matters of delay in the criminal justice system. However, in the context of young people charged with sexual offences, delay can have a particularly detrimental effect. For this reason, the TLRI suggests that the Supreme Court should consider how to fast-track, so far as possible, matters involving young offenders in sexual offence cases. In this regard, the case management approach that applies to sexual offence cases with child complainants should be monitored to evaluate its effectiveness as a way of reducing delay. Further, consideration could be given to extending the Practice Direction </w:t>
      </w:r>
      <w:r w:rsidR="0006064D" w:rsidRPr="00EC02CA">
        <w:t xml:space="preserve">for those cases </w:t>
      </w:r>
      <w:r w:rsidRPr="00EC02CA">
        <w:t xml:space="preserve">to </w:t>
      </w:r>
      <w:r w:rsidR="0006064D" w:rsidRPr="00EC02CA">
        <w:t xml:space="preserve">also </w:t>
      </w:r>
      <w:r w:rsidRPr="00EC02CA">
        <w:t>include sexual offence cases where the accused is a youth.</w:t>
      </w:r>
    </w:p>
    <w:p w14:paraId="758A1E6F" w14:textId="77777777" w:rsidR="00F54988" w:rsidRPr="00EC02CA" w:rsidRDefault="00F54988" w:rsidP="002F0007">
      <w:pPr>
        <w:pStyle w:val="NormalNumberedTextTLRI"/>
        <w:numPr>
          <w:ilvl w:val="0"/>
          <w:numId w:val="0"/>
        </w:numPr>
      </w:pPr>
    </w:p>
    <w:p w14:paraId="5C3D3A5B" w14:textId="77777777" w:rsidR="00F54988" w:rsidRPr="00EC02CA" w:rsidRDefault="00F54988" w:rsidP="00177E74">
      <w:pPr>
        <w:sectPr w:rsidR="00F54988" w:rsidRPr="00EC02CA" w:rsidSect="001F6B94">
          <w:pgSz w:w="11906" w:h="16838"/>
          <w:pgMar w:top="1440" w:right="1440" w:bottom="1440" w:left="1440" w:header="708" w:footer="708" w:gutter="0"/>
          <w:pgNumType w:fmt="lowerRoman"/>
          <w:cols w:space="708"/>
          <w:docGrid w:linePitch="360"/>
        </w:sectPr>
      </w:pPr>
    </w:p>
    <w:p w14:paraId="5613459A" w14:textId="10815215" w:rsidR="00CC21C4" w:rsidRPr="00EC02CA" w:rsidRDefault="00CC21C4" w:rsidP="007737B6">
      <w:pPr>
        <w:pStyle w:val="ExecSummaryandAppendixHeading"/>
      </w:pPr>
      <w:bookmarkStart w:id="15" w:name="_Toc211849350"/>
      <w:bookmarkStart w:id="16" w:name="_Toc218157245"/>
      <w:r w:rsidRPr="00EC02CA">
        <w:t>Recommendations</w:t>
      </w:r>
      <w:bookmarkEnd w:id="15"/>
      <w:bookmarkEnd w:id="16"/>
    </w:p>
    <w:p w14:paraId="3FED571E" w14:textId="1D16B6B9" w:rsidR="00857A90" w:rsidRPr="00EC02CA" w:rsidRDefault="00E2036E" w:rsidP="00AD7910">
      <w:r w:rsidRPr="00EC02CA">
        <w:rPr>
          <w:b/>
          <w:bCs/>
        </w:rPr>
        <w:t>Recommendation 1</w:t>
      </w:r>
      <w:r w:rsidR="00032483" w:rsidRPr="00EC02CA">
        <w:t xml:space="preserve">: </w:t>
      </w:r>
      <w:r w:rsidR="00857A90" w:rsidRPr="00EC02CA">
        <w:t xml:space="preserve">The defences that apply to young people for the offences concerning child exploitation material contained in the </w:t>
      </w:r>
      <w:r w:rsidR="00857A90" w:rsidRPr="00EC02CA">
        <w:rPr>
          <w:i/>
          <w:iCs/>
        </w:rPr>
        <w:t xml:space="preserve">Criminal Code </w:t>
      </w:r>
      <w:r w:rsidR="00857A90" w:rsidRPr="00EC02CA">
        <w:t xml:space="preserve">(Tas), the </w:t>
      </w:r>
      <w:r w:rsidR="00857A90" w:rsidRPr="00EC02CA">
        <w:rPr>
          <w:i/>
          <w:iCs/>
        </w:rPr>
        <w:t xml:space="preserve">Classification (Publications, Films and Computer Games) Enforcement Act 1995 </w:t>
      </w:r>
      <w:r w:rsidR="00857A90" w:rsidRPr="00EC02CA">
        <w:t xml:space="preserve">(Tas) and the </w:t>
      </w:r>
      <w:r w:rsidR="00857A90" w:rsidRPr="00EC02CA">
        <w:rPr>
          <w:i/>
          <w:iCs/>
        </w:rPr>
        <w:t xml:space="preserve">Police Offences Act 1935 </w:t>
      </w:r>
      <w:r w:rsidR="00857A90" w:rsidRPr="00EC02CA">
        <w:t xml:space="preserve">(Tas) </w:t>
      </w:r>
      <w:r w:rsidR="006C7A14" w:rsidRPr="00EC02CA">
        <w:t xml:space="preserve">should </w:t>
      </w:r>
      <w:r w:rsidR="00857A90" w:rsidRPr="00EC02CA">
        <w:t>be reviewed and clarified in relation to a young person’s criminal responsibility for:</w:t>
      </w:r>
    </w:p>
    <w:p w14:paraId="0F33E08F" w14:textId="7F683F81" w:rsidR="00857A90" w:rsidRPr="00EC02CA" w:rsidRDefault="00857A90" w:rsidP="00AD7910">
      <w:pPr>
        <w:pStyle w:val="NormalNumberedTextTLRI"/>
        <w:numPr>
          <w:ilvl w:val="0"/>
          <w:numId w:val="134"/>
        </w:numPr>
      </w:pPr>
      <w:r w:rsidRPr="00EC02CA">
        <w:t>producing, distributing, accessing or possessing an image depicting themselves</w:t>
      </w:r>
      <w:r w:rsidR="001D3352" w:rsidRPr="00EC02CA">
        <w:t>;</w:t>
      </w:r>
    </w:p>
    <w:p w14:paraId="543A8C70" w14:textId="2A0266A6" w:rsidR="00857A90" w:rsidRPr="00EC02CA" w:rsidRDefault="00857A90" w:rsidP="00AD7910">
      <w:pPr>
        <w:pStyle w:val="NormalNumberedTextTLRI"/>
        <w:numPr>
          <w:ilvl w:val="0"/>
          <w:numId w:val="134"/>
        </w:numPr>
      </w:pPr>
      <w:r w:rsidRPr="00EC02CA">
        <w:t>producing an image of another young person with their consent, distributing that image to the young person depicted, or possessing or accessing that image</w:t>
      </w:r>
      <w:r w:rsidR="001D3352" w:rsidRPr="00EC02CA">
        <w:t>; and</w:t>
      </w:r>
    </w:p>
    <w:p w14:paraId="652A9142" w14:textId="5CC74F6E" w:rsidR="00857A90" w:rsidRPr="00EC02CA" w:rsidRDefault="00857A90" w:rsidP="00AD7910">
      <w:pPr>
        <w:pStyle w:val="NormalNumberedTextTLRI"/>
        <w:numPr>
          <w:ilvl w:val="0"/>
          <w:numId w:val="134"/>
        </w:numPr>
      </w:pPr>
      <w:r w:rsidRPr="00EC02CA">
        <w:t xml:space="preserve">possessing or accessing an image that was produced by another young person and provided consensually to them by that person. </w:t>
      </w:r>
    </w:p>
    <w:p w14:paraId="2D137263" w14:textId="38FB6888" w:rsidR="00857A90" w:rsidRPr="00EC02CA" w:rsidRDefault="00E2036E" w:rsidP="00AD7910">
      <w:r w:rsidRPr="00EC02CA">
        <w:rPr>
          <w:b/>
          <w:bCs/>
        </w:rPr>
        <w:t>Recommendation 2</w:t>
      </w:r>
      <w:r w:rsidR="00032483" w:rsidRPr="00EC02CA">
        <w:t xml:space="preserve">: </w:t>
      </w:r>
      <w:r w:rsidR="00857A90" w:rsidRPr="00EC02CA">
        <w:t xml:space="preserve">The </w:t>
      </w:r>
      <w:r w:rsidR="00857A90" w:rsidRPr="00EC02CA">
        <w:rPr>
          <w:i/>
          <w:iCs/>
        </w:rPr>
        <w:t xml:space="preserve">Criminal Code </w:t>
      </w:r>
      <w:r w:rsidR="00857A90" w:rsidRPr="00EC02CA">
        <w:t>(Tas) s</w:t>
      </w:r>
      <w:r w:rsidR="001D3352" w:rsidRPr="00EC02CA">
        <w:t>s</w:t>
      </w:r>
      <w:r w:rsidR="00857A90" w:rsidRPr="00EC02CA">
        <w:t xml:space="preserve"> 130–130D and the </w:t>
      </w:r>
      <w:r w:rsidR="00857A90" w:rsidRPr="00EC02CA">
        <w:rPr>
          <w:i/>
          <w:iCs/>
        </w:rPr>
        <w:t xml:space="preserve">Classification (Publication, Films and Computer Games) Enforcement Act 1995 </w:t>
      </w:r>
      <w:r w:rsidR="00857A90" w:rsidRPr="00EC02CA">
        <w:t>(Tas) s</w:t>
      </w:r>
      <w:r w:rsidR="001D3352" w:rsidRPr="00EC02CA">
        <w:t>s</w:t>
      </w:r>
      <w:r w:rsidR="00857A90" w:rsidRPr="00EC02CA">
        <w:t xml:space="preserve"> 72A, 73 </w:t>
      </w:r>
      <w:r w:rsidR="006C7A14" w:rsidRPr="00EC02CA">
        <w:t xml:space="preserve">and </w:t>
      </w:r>
      <w:r w:rsidR="00857A90" w:rsidRPr="00EC02CA">
        <w:t xml:space="preserve">74A should be amended to require that proceedings against a youth (as defined in the </w:t>
      </w:r>
      <w:r w:rsidR="00857A90" w:rsidRPr="00EC02CA">
        <w:rPr>
          <w:i/>
          <w:iCs/>
        </w:rPr>
        <w:t xml:space="preserve">Youth Justice Act 1997 </w:t>
      </w:r>
      <w:r w:rsidR="00857A90" w:rsidRPr="00EC02CA">
        <w:t>(Tas)) should only be instituted by or with the approval of the Director of Public Prosecutions.</w:t>
      </w:r>
    </w:p>
    <w:p w14:paraId="5E17F889" w14:textId="110CEE5B" w:rsidR="00857A90" w:rsidRPr="00EC02CA" w:rsidRDefault="00E2036E" w:rsidP="00AD7910">
      <w:r w:rsidRPr="00EC02CA">
        <w:rPr>
          <w:b/>
          <w:bCs/>
        </w:rPr>
        <w:t>Recommendation 3</w:t>
      </w:r>
      <w:r w:rsidR="00032483" w:rsidRPr="00EC02CA">
        <w:t xml:space="preserve">: </w:t>
      </w:r>
      <w:r w:rsidR="00857A90" w:rsidRPr="00EC02CA">
        <w:t xml:space="preserve">An offence relating to the non-consensual sharing or threatening to share intimate images should be created in Tasmania (see TLRI’s Recommendation 61 in the </w:t>
      </w:r>
      <w:r w:rsidR="00857A90" w:rsidRPr="00EC02CA">
        <w:rPr>
          <w:i/>
          <w:iCs/>
        </w:rPr>
        <w:t>Review of Privacy Laws in Tasmania</w:t>
      </w:r>
      <w:r w:rsidR="00857A90" w:rsidRPr="00EC02CA">
        <w:t>).</w:t>
      </w:r>
    </w:p>
    <w:p w14:paraId="58A67EED" w14:textId="786477B6" w:rsidR="00857A90" w:rsidRPr="00EC02CA" w:rsidRDefault="00E2036E" w:rsidP="00AD7910">
      <w:r w:rsidRPr="00EC02CA">
        <w:rPr>
          <w:b/>
          <w:bCs/>
        </w:rPr>
        <w:t>Recommendation 4</w:t>
      </w:r>
      <w:r w:rsidR="00032483" w:rsidRPr="00EC02CA">
        <w:t xml:space="preserve">: </w:t>
      </w:r>
      <w:r w:rsidR="005A4463" w:rsidRPr="00EC02CA">
        <w:t>A</w:t>
      </w:r>
      <w:r w:rsidR="00857A90" w:rsidRPr="00EC02CA">
        <w:t xml:space="preserve"> review of Tasmania Police’s powers in the </w:t>
      </w:r>
      <w:r w:rsidR="00857A90" w:rsidRPr="00EC02CA">
        <w:rPr>
          <w:i/>
          <w:iCs/>
        </w:rPr>
        <w:t xml:space="preserve">Search Warrants Act 1997 </w:t>
      </w:r>
      <w:r w:rsidR="00857A90" w:rsidRPr="00EC02CA">
        <w:t xml:space="preserve">(Tas) </w:t>
      </w:r>
      <w:r w:rsidR="005A4463" w:rsidRPr="00EC02CA">
        <w:t xml:space="preserve">be </w:t>
      </w:r>
      <w:r w:rsidR="006C7A14" w:rsidRPr="00EC02CA">
        <w:t>undertaken</w:t>
      </w:r>
      <w:r w:rsidR="005A4463" w:rsidRPr="00EC02CA">
        <w:t xml:space="preserve"> </w:t>
      </w:r>
      <w:r w:rsidR="00857A90" w:rsidRPr="00EC02CA">
        <w:t xml:space="preserve">to determine whether they are adequate </w:t>
      </w:r>
      <w:r w:rsidR="006C7A14" w:rsidRPr="00EC02CA">
        <w:t>for</w:t>
      </w:r>
      <w:r w:rsidR="00857A90" w:rsidRPr="00EC02CA">
        <w:t xml:space="preserve"> investigat</w:t>
      </w:r>
      <w:r w:rsidR="006C7A14" w:rsidRPr="00EC02CA">
        <w:t>ing</w:t>
      </w:r>
      <w:r w:rsidR="00857A90" w:rsidRPr="00EC02CA">
        <w:t xml:space="preserve"> online offending (particularly </w:t>
      </w:r>
      <w:r w:rsidR="006C7A14" w:rsidRPr="00EC02CA">
        <w:t xml:space="preserve">given </w:t>
      </w:r>
      <w:r w:rsidR="00857A90" w:rsidRPr="00EC02CA">
        <w:t xml:space="preserve">the powers to obtain access to data stored on someone’s phone or computer </w:t>
      </w:r>
      <w:r w:rsidR="005A4463" w:rsidRPr="00EC02CA">
        <w:t xml:space="preserve">under </w:t>
      </w:r>
      <w:r w:rsidR="00857A90" w:rsidRPr="00EC02CA">
        <w:t xml:space="preserve">the </w:t>
      </w:r>
      <w:r w:rsidR="00857A90" w:rsidRPr="00EC02CA">
        <w:rPr>
          <w:i/>
          <w:iCs/>
        </w:rPr>
        <w:t xml:space="preserve">Crimes Act 1914 </w:t>
      </w:r>
      <w:r w:rsidR="00857A90" w:rsidRPr="00EC02CA">
        <w:t>(Cth) s 3LA)).</w:t>
      </w:r>
    </w:p>
    <w:p w14:paraId="06603E2A" w14:textId="185447F2" w:rsidR="00857A90" w:rsidRPr="00EC02CA" w:rsidRDefault="00E2036E" w:rsidP="00AD7910">
      <w:r w:rsidRPr="00EC02CA">
        <w:rPr>
          <w:b/>
          <w:bCs/>
        </w:rPr>
        <w:t>Recommendation 5</w:t>
      </w:r>
      <w:r w:rsidR="00032483" w:rsidRPr="00EC02CA">
        <w:t xml:space="preserve">: </w:t>
      </w:r>
      <w:r w:rsidR="00857A90" w:rsidRPr="00EC02CA">
        <w:t xml:space="preserve">Data should be </w:t>
      </w:r>
      <w:r w:rsidR="001325A2" w:rsidRPr="00EC02CA">
        <w:t>made publicly available</w:t>
      </w:r>
      <w:r w:rsidR="00857A90" w:rsidRPr="00EC02CA">
        <w:t xml:space="preserve"> in relation to the number of reports of sexual offending that are made to the police where the alleged offender is a young person. These data should also (where possible) record the response from the police, and if a matter is not proceeded with</w:t>
      </w:r>
      <w:r w:rsidR="00DC7AC6" w:rsidRPr="00EC02CA">
        <w:t>,</w:t>
      </w:r>
      <w:r w:rsidR="00857A90" w:rsidRPr="00EC02CA">
        <w:t xml:space="preserve"> the reason(s) why matters do not proceed.</w:t>
      </w:r>
    </w:p>
    <w:p w14:paraId="353D9299" w14:textId="30D411ED" w:rsidR="00857A90" w:rsidRPr="00EC02CA" w:rsidRDefault="00E2036E" w:rsidP="00AD7910">
      <w:r w:rsidRPr="00EC02CA">
        <w:rPr>
          <w:b/>
          <w:bCs/>
        </w:rPr>
        <w:t>Recommendation 6</w:t>
      </w:r>
      <w:r w:rsidR="00032483" w:rsidRPr="00EC02CA">
        <w:t xml:space="preserve">: </w:t>
      </w:r>
      <w:r w:rsidR="00857A90" w:rsidRPr="00EC02CA">
        <w:t xml:space="preserve">Further evaluation of the efficacy of treatment and the </w:t>
      </w:r>
      <w:r w:rsidR="00A913BD" w:rsidRPr="00EC02CA">
        <w:t>implications</w:t>
      </w:r>
      <w:r w:rsidR="00857A90" w:rsidRPr="00EC02CA">
        <w:t xml:space="preserve"> of mandatory treatment is required if the </w:t>
      </w:r>
      <w:r w:rsidR="00857A90" w:rsidRPr="00EC02CA">
        <w:rPr>
          <w:i/>
        </w:rPr>
        <w:t xml:space="preserve">Children, Young Persons and Their Families Act 1997 </w:t>
      </w:r>
      <w:r w:rsidR="00A913BD" w:rsidRPr="00EC02CA">
        <w:rPr>
          <w:iCs/>
        </w:rPr>
        <w:t xml:space="preserve">(Tas) </w:t>
      </w:r>
      <w:r w:rsidR="00857A90" w:rsidRPr="00EC02CA">
        <w:t xml:space="preserve">is </w:t>
      </w:r>
      <w:r w:rsidR="006A0B8C" w:rsidRPr="00EC02CA">
        <w:t xml:space="preserve">to be </w:t>
      </w:r>
      <w:r w:rsidR="00857A90" w:rsidRPr="00EC02CA">
        <w:t>amended to give the Magistrates Court power</w:t>
      </w:r>
      <w:r w:rsidR="006A0B8C" w:rsidRPr="00EC02CA">
        <w:t>s</w:t>
      </w:r>
      <w:r w:rsidR="00857A90" w:rsidRPr="00EC02CA">
        <w:t xml:space="preserve"> to order that a young person </w:t>
      </w:r>
      <w:r w:rsidR="00DC7AC6" w:rsidRPr="00EC02CA">
        <w:t xml:space="preserve">who engages in </w:t>
      </w:r>
      <w:r w:rsidR="00857A90" w:rsidRPr="00EC02CA">
        <w:t xml:space="preserve">harmful sexual behaviour </w:t>
      </w:r>
      <w:r w:rsidR="00DC7AC6" w:rsidRPr="00EC02CA">
        <w:t xml:space="preserve">participate </w:t>
      </w:r>
      <w:r w:rsidR="00857A90" w:rsidRPr="00EC02CA">
        <w:t>in a therapeutic intervention for harmful sexual behaviour, separate from the criminal justice system.</w:t>
      </w:r>
    </w:p>
    <w:p w14:paraId="162DBA0C" w14:textId="56672973" w:rsidR="00857A90" w:rsidRPr="00EC02CA" w:rsidRDefault="00E2036E" w:rsidP="00AD7910">
      <w:r w:rsidRPr="00EC02CA">
        <w:rPr>
          <w:b/>
          <w:bCs/>
        </w:rPr>
        <w:t>Recommendation 7</w:t>
      </w:r>
      <w:r w:rsidR="00032483" w:rsidRPr="00EC02CA">
        <w:t xml:space="preserve">: </w:t>
      </w:r>
      <w:r w:rsidR="00857A90" w:rsidRPr="00EC02CA">
        <w:t>The eligibility criteria for pre-plea diversionary processes (both formal cautions and community conferences) should be reviewed</w:t>
      </w:r>
      <w:r w:rsidR="006A0B8C" w:rsidRPr="00EC02CA">
        <w:t>,</w:t>
      </w:r>
      <w:r w:rsidR="00857A90" w:rsidRPr="00EC02CA">
        <w:t xml:space="preserve"> </w:t>
      </w:r>
      <w:r w:rsidR="793C4E0E" w:rsidRPr="00EC02CA">
        <w:t>including:</w:t>
      </w:r>
    </w:p>
    <w:p w14:paraId="73471641" w14:textId="7A15F71E" w:rsidR="00857A90" w:rsidRPr="00EC02CA" w:rsidRDefault="00D82ADD" w:rsidP="00D82ADD">
      <w:pPr>
        <w:pStyle w:val="DotPointTLRI"/>
      </w:pPr>
      <w:r w:rsidRPr="00EC02CA">
        <w:t>the scope of the sexual offences that are eligible for diversion, including whether some offences should be excluded from diversion and whether the use of ‘prescribed offences’ is the most appropriate mechanism for this purpose</w:t>
      </w:r>
      <w:r w:rsidR="002C35FE" w:rsidRPr="00EC02CA">
        <w:t>; and</w:t>
      </w:r>
    </w:p>
    <w:p w14:paraId="092DA8CA" w14:textId="1A6C3EF1" w:rsidR="00857A90" w:rsidRPr="00EC02CA" w:rsidRDefault="00857A90" w:rsidP="00857A90">
      <w:pPr>
        <w:pStyle w:val="DotPointTLRI"/>
      </w:pPr>
      <w:r w:rsidRPr="00EC02CA">
        <w:t>the requirement that the youth admit to the commission of the offence</w:t>
      </w:r>
      <w:r w:rsidR="00DC7AC6" w:rsidRPr="00EC02CA">
        <w:t>, and the use that can be made of any admission of guilt.</w:t>
      </w:r>
      <w:r w:rsidRPr="00EC02CA">
        <w:t xml:space="preserve"> </w:t>
      </w:r>
    </w:p>
    <w:p w14:paraId="37B0F386" w14:textId="24693B79" w:rsidR="00857A90" w:rsidRPr="00EC02CA" w:rsidRDefault="00E2036E" w:rsidP="00AD7910">
      <w:pPr>
        <w:keepNext/>
        <w:keepLines/>
      </w:pPr>
      <w:r w:rsidRPr="00EC02CA">
        <w:rPr>
          <w:b/>
          <w:bCs/>
        </w:rPr>
        <w:t>Recommendation 8</w:t>
      </w:r>
      <w:r w:rsidR="00032483" w:rsidRPr="00EC02CA">
        <w:t xml:space="preserve">: </w:t>
      </w:r>
      <w:r w:rsidR="00857A90" w:rsidRPr="00EC02CA">
        <w:t xml:space="preserve">There should be a review of the formal cautioning provisions in the </w:t>
      </w:r>
      <w:r w:rsidR="00857A90" w:rsidRPr="00EC02CA">
        <w:rPr>
          <w:i/>
        </w:rPr>
        <w:t xml:space="preserve">Youth Justice Act 1997 </w:t>
      </w:r>
      <w:r w:rsidR="00857A90" w:rsidRPr="00EC02CA">
        <w:t>(Tas) to:</w:t>
      </w:r>
    </w:p>
    <w:p w14:paraId="1A7B209E" w14:textId="38CA5894" w:rsidR="00857A90" w:rsidRPr="00EC02CA" w:rsidRDefault="005A4463" w:rsidP="00AD7910">
      <w:pPr>
        <w:pStyle w:val="DotPointTLRI"/>
        <w:keepNext/>
        <w:keepLines/>
      </w:pPr>
      <w:r w:rsidRPr="00EC02CA">
        <w:t>e</w:t>
      </w:r>
      <w:r w:rsidR="00857A90" w:rsidRPr="00EC02CA">
        <w:t>stablish a hierarchy of diversionary processes and so make it clear that a formal caution should not operate as a community conference</w:t>
      </w:r>
      <w:r w:rsidRPr="00EC02CA">
        <w:t>;</w:t>
      </w:r>
    </w:p>
    <w:p w14:paraId="009F0513" w14:textId="3F34726A" w:rsidR="00857A90" w:rsidRPr="00EC02CA" w:rsidRDefault="005A4463" w:rsidP="00AD7910">
      <w:pPr>
        <w:pStyle w:val="DotPointTLRI"/>
        <w:keepNext/>
        <w:keepLines/>
      </w:pPr>
      <w:r w:rsidRPr="00EC02CA">
        <w:t>r</w:t>
      </w:r>
      <w:r w:rsidR="00857A90" w:rsidRPr="00EC02CA">
        <w:t xml:space="preserve">emove the ability for police to provide a </w:t>
      </w:r>
      <w:r w:rsidR="00886B70" w:rsidRPr="00EC02CA">
        <w:t>victim-survivor</w:t>
      </w:r>
      <w:r w:rsidR="00857A90" w:rsidRPr="00EC02CA">
        <w:t xml:space="preserve"> with an opportunity to attend a formal caution for a sexual offence</w:t>
      </w:r>
      <w:r w:rsidRPr="00EC02CA">
        <w:t>; and</w:t>
      </w:r>
    </w:p>
    <w:p w14:paraId="6F925BCD" w14:textId="49665FFE" w:rsidR="00857A90" w:rsidRPr="00EC02CA" w:rsidRDefault="005A4463" w:rsidP="00AD7910">
      <w:pPr>
        <w:pStyle w:val="DotPointTLRI"/>
        <w:keepNext/>
        <w:keepLines/>
      </w:pPr>
      <w:r w:rsidRPr="00EC02CA">
        <w:t>c</w:t>
      </w:r>
      <w:r w:rsidR="00857A90" w:rsidRPr="00EC02CA">
        <w:t xml:space="preserve">onsider removing the powers in the </w:t>
      </w:r>
      <w:r w:rsidR="00857A90" w:rsidRPr="00EC02CA">
        <w:rPr>
          <w:i/>
        </w:rPr>
        <w:t xml:space="preserve">Youth Justice Act 1997 </w:t>
      </w:r>
      <w:r w:rsidR="00857A90" w:rsidRPr="00EC02CA">
        <w:t>(Tas) for police to impose and enforce undertakings made at formal cautions.</w:t>
      </w:r>
    </w:p>
    <w:p w14:paraId="5CD8C6A0" w14:textId="2F9CBD50" w:rsidR="00857A90" w:rsidRPr="00EC02CA" w:rsidRDefault="00E2036E" w:rsidP="00AD7910">
      <w:r w:rsidRPr="00EC02CA">
        <w:rPr>
          <w:b/>
          <w:bCs/>
        </w:rPr>
        <w:t>Recommendation 9</w:t>
      </w:r>
      <w:r w:rsidR="00032483" w:rsidRPr="00EC02CA">
        <w:t xml:space="preserve">: </w:t>
      </w:r>
      <w:r w:rsidR="00857A90" w:rsidRPr="00EC02CA">
        <w:t xml:space="preserve">There should be a review of the community conference provisions in the </w:t>
      </w:r>
      <w:r w:rsidR="00857A90" w:rsidRPr="00EC02CA">
        <w:rPr>
          <w:i/>
        </w:rPr>
        <w:t xml:space="preserve">Youth Justice Act 1997 </w:t>
      </w:r>
      <w:r w:rsidR="00857A90" w:rsidRPr="00EC02CA">
        <w:t>(Tas) to:</w:t>
      </w:r>
    </w:p>
    <w:p w14:paraId="0348D6F3" w14:textId="242694B9" w:rsidR="00857A90" w:rsidRPr="00EC02CA" w:rsidRDefault="005A4463" w:rsidP="00857A90">
      <w:pPr>
        <w:pStyle w:val="DotPointTLRI"/>
      </w:pPr>
      <w:r w:rsidRPr="00EC02CA">
        <w:t>i</w:t>
      </w:r>
      <w:r w:rsidR="00857A90" w:rsidRPr="00EC02CA">
        <w:t>dentify and address barriers to the use of community conferences for sexual offences involving youth offenders</w:t>
      </w:r>
      <w:r w:rsidRPr="00EC02CA">
        <w:t>; and</w:t>
      </w:r>
    </w:p>
    <w:p w14:paraId="1C6ACE32" w14:textId="34AECAA4" w:rsidR="00857A90" w:rsidRPr="00EC02CA" w:rsidRDefault="005A4463" w:rsidP="00857A90">
      <w:pPr>
        <w:pStyle w:val="DotPointTLRI"/>
      </w:pPr>
      <w:r w:rsidRPr="00EC02CA">
        <w:t>e</w:t>
      </w:r>
      <w:r w:rsidR="00857A90" w:rsidRPr="00EC02CA">
        <w:t xml:space="preserve">nsure that the community conference process has safeguards to address the needs of </w:t>
      </w:r>
      <w:r w:rsidR="003C2332" w:rsidRPr="00EC02CA">
        <w:t>victim-survivors</w:t>
      </w:r>
      <w:r w:rsidR="00857A90" w:rsidRPr="00EC02CA">
        <w:t xml:space="preserve"> and youth offenders.</w:t>
      </w:r>
    </w:p>
    <w:p w14:paraId="48750432" w14:textId="18B9F394" w:rsidR="00857A90" w:rsidRPr="00EC02CA" w:rsidRDefault="00E2036E" w:rsidP="00AD7910">
      <w:r w:rsidRPr="00EC02CA">
        <w:rPr>
          <w:b/>
          <w:bCs/>
        </w:rPr>
        <w:t>Recommendation 10</w:t>
      </w:r>
      <w:r w:rsidR="00032483" w:rsidRPr="00EC02CA">
        <w:t xml:space="preserve">: </w:t>
      </w:r>
      <w:r w:rsidR="00857A90" w:rsidRPr="00EC02CA">
        <w:t xml:space="preserve">The Supreme Court should consider how to fast-track, so far as possible, matters involving young offenders in sexual offence cases. In this regard, the case management approach set out in Supreme Court Practice Direction </w:t>
      </w:r>
      <w:r w:rsidR="006A0B8C" w:rsidRPr="00EC02CA">
        <w:t xml:space="preserve">No 1 of 2025 </w:t>
      </w:r>
      <w:r w:rsidR="00857A90" w:rsidRPr="00EC02CA">
        <w:t>(dated 7 July 2025)</w:t>
      </w:r>
      <w:r w:rsidR="006A0B8C" w:rsidRPr="00EC02CA">
        <w:t>, which</w:t>
      </w:r>
      <w:r w:rsidR="00857A90" w:rsidRPr="00EC02CA">
        <w:t xml:space="preserve"> applies to sexual offence cases with child complainants</w:t>
      </w:r>
      <w:r w:rsidR="006A0B8C" w:rsidRPr="00EC02CA">
        <w:t>,</w:t>
      </w:r>
      <w:r w:rsidR="00857A90" w:rsidRPr="00EC02CA">
        <w:t xml:space="preserve"> should be monitored to evaluate its effectiveness as way of reducing delay. Further, consideration could be given to extending th</w:t>
      </w:r>
      <w:r w:rsidR="006A0B8C" w:rsidRPr="00EC02CA">
        <w:t>at</w:t>
      </w:r>
      <w:r w:rsidR="00857A90" w:rsidRPr="00EC02CA">
        <w:t xml:space="preserve"> Practice Direction to include sexual offence cases where the accused is a youth. </w:t>
      </w:r>
    </w:p>
    <w:p w14:paraId="4C2ECD34" w14:textId="30EF07F0" w:rsidR="00857A90" w:rsidRPr="00EC02CA" w:rsidRDefault="00E2036E" w:rsidP="00AD7910">
      <w:r w:rsidRPr="00EC02CA">
        <w:rPr>
          <w:b/>
          <w:bCs/>
        </w:rPr>
        <w:t>Recommendation 11</w:t>
      </w:r>
      <w:r w:rsidR="00032483" w:rsidRPr="00EC02CA">
        <w:t xml:space="preserve">: </w:t>
      </w:r>
      <w:r w:rsidR="00857A90" w:rsidRPr="00EC02CA">
        <w:t>The pathways for the court to refer a young person to a community conference for sexual offending should be reviewed to identify barriers to use.</w:t>
      </w:r>
    </w:p>
    <w:p w14:paraId="3A8311F7" w14:textId="1DFF8AB7" w:rsidR="00857A90" w:rsidRPr="00EC02CA" w:rsidRDefault="00E2036E" w:rsidP="00AD7910">
      <w:r w:rsidRPr="00EC02CA">
        <w:rPr>
          <w:b/>
          <w:bCs/>
        </w:rPr>
        <w:t>Recommendation 12</w:t>
      </w:r>
      <w:r w:rsidR="00032483" w:rsidRPr="00EC02CA">
        <w:t xml:space="preserve">: </w:t>
      </w:r>
      <w:r w:rsidR="00857A90" w:rsidRPr="00EC02CA">
        <w:t xml:space="preserve">The power of a sentencing court to refer young people to a community conference/restorative justice process as part of </w:t>
      </w:r>
      <w:r w:rsidR="00CE533C" w:rsidRPr="00EC02CA">
        <w:t xml:space="preserve">their </w:t>
      </w:r>
      <w:r w:rsidR="00857A90" w:rsidRPr="00EC02CA">
        <w:t>sentence should be considered as part of a review of the use of community conference powers as a response to sexual offending by young people in Tasmania.</w:t>
      </w:r>
    </w:p>
    <w:p w14:paraId="515514E9" w14:textId="122A01B8" w:rsidR="00857A90" w:rsidRPr="00EC02CA" w:rsidRDefault="00E2036E" w:rsidP="00AD7910">
      <w:r w:rsidRPr="00EC02CA">
        <w:rPr>
          <w:b/>
          <w:bCs/>
        </w:rPr>
        <w:t>Recommendation 13</w:t>
      </w:r>
      <w:r w:rsidR="00032483" w:rsidRPr="00EC02CA">
        <w:t xml:space="preserve">: </w:t>
      </w:r>
      <w:r w:rsidR="00857A90" w:rsidRPr="00EC02CA">
        <w:t xml:space="preserve">There should be provision for witness intermediaries for young people under investigation or who have been charged with sexual offences, including during police interview, formal cautions, conferences and court proceedings in the Magistrates Court and </w:t>
      </w:r>
      <w:r w:rsidR="005A4463" w:rsidRPr="00EC02CA">
        <w:t xml:space="preserve">the </w:t>
      </w:r>
      <w:r w:rsidR="00857A90" w:rsidRPr="00EC02CA">
        <w:t>Supreme Court.</w:t>
      </w:r>
    </w:p>
    <w:p w14:paraId="39B58AA5" w14:textId="543F3A4E" w:rsidR="00840836" w:rsidRPr="00EC02CA" w:rsidRDefault="00E2036E" w:rsidP="00AD7910">
      <w:pPr>
        <w:sectPr w:rsidR="00840836" w:rsidRPr="00EC02CA" w:rsidSect="00840836">
          <w:headerReference w:type="default" r:id="rId18"/>
          <w:footerReference w:type="default" r:id="rId19"/>
          <w:pgSz w:w="11906" w:h="16838"/>
          <w:pgMar w:top="1440" w:right="1440" w:bottom="1440" w:left="1440" w:header="708" w:footer="708" w:gutter="0"/>
          <w:pgNumType w:fmt="lowerRoman"/>
          <w:cols w:space="708"/>
          <w:docGrid w:linePitch="360"/>
        </w:sectPr>
      </w:pPr>
      <w:r w:rsidRPr="00EC02CA">
        <w:rPr>
          <w:b/>
          <w:bCs/>
        </w:rPr>
        <w:t>Recommendation 14</w:t>
      </w:r>
      <w:r w:rsidR="00032483" w:rsidRPr="00EC02CA">
        <w:t xml:space="preserve">: </w:t>
      </w:r>
      <w:r w:rsidR="00857A90" w:rsidRPr="00EC02CA">
        <w:t xml:space="preserve">A review of the operation of the offender reporting scheme under the </w:t>
      </w:r>
      <w:r w:rsidR="00857A90" w:rsidRPr="00EC02CA">
        <w:rPr>
          <w:i/>
          <w:iCs/>
        </w:rPr>
        <w:t xml:space="preserve">Community Protection (Offender Reporting) Act 2005 </w:t>
      </w:r>
      <w:r w:rsidR="00857A90" w:rsidRPr="00EC02CA">
        <w:t>(Tas)</w:t>
      </w:r>
      <w:r w:rsidR="00CE533C" w:rsidRPr="00EC02CA">
        <w:t>,</w:t>
      </w:r>
      <w:r w:rsidR="00857A90" w:rsidRPr="00EC02CA">
        <w:t xml:space="preserve"> </w:t>
      </w:r>
      <w:r w:rsidR="00CE533C" w:rsidRPr="00EC02CA">
        <w:t xml:space="preserve">as it applies to young people, </w:t>
      </w:r>
      <w:r w:rsidR="00857A90" w:rsidRPr="00EC02CA">
        <w:t xml:space="preserve">should be </w:t>
      </w:r>
      <w:r w:rsidR="005A4463" w:rsidRPr="00EC02CA">
        <w:t xml:space="preserve">undertaken </w:t>
      </w:r>
      <w:r w:rsidR="00857A90" w:rsidRPr="00EC02CA">
        <w:t>as part of the implement</w:t>
      </w:r>
      <w:r w:rsidR="005A4463" w:rsidRPr="00EC02CA">
        <w:t>ation</w:t>
      </w:r>
      <w:r w:rsidR="00857A90" w:rsidRPr="00EC02CA">
        <w:t xml:space="preserve"> review of the </w:t>
      </w:r>
      <w:r w:rsidR="00857A90" w:rsidRPr="00EC02CA">
        <w:rPr>
          <w:i/>
          <w:iCs/>
        </w:rPr>
        <w:t>Youth Justice Act</w:t>
      </w:r>
      <w:r w:rsidR="00857A90" w:rsidRPr="00EC02CA">
        <w:rPr>
          <w:b/>
          <w:bCs/>
          <w:i/>
          <w:iCs/>
        </w:rPr>
        <w:t xml:space="preserve"> </w:t>
      </w:r>
      <w:r w:rsidR="00857A90" w:rsidRPr="00EC02CA">
        <w:rPr>
          <w:i/>
          <w:iCs/>
        </w:rPr>
        <w:t xml:space="preserve">1997 </w:t>
      </w:r>
      <w:r w:rsidR="00857A90" w:rsidRPr="00EC02CA">
        <w:t xml:space="preserve">(Tas) to ensure that the registration scheme is appropriate </w:t>
      </w:r>
      <w:r w:rsidR="00CE533C" w:rsidRPr="00EC02CA">
        <w:t>for young offenders</w:t>
      </w:r>
      <w:r w:rsidR="00840836" w:rsidRPr="00EC02CA">
        <w:t>.</w:t>
      </w:r>
    </w:p>
    <w:p w14:paraId="1788ACEA" w14:textId="3DE81753" w:rsidR="00A433FC" w:rsidRPr="00EC02CA" w:rsidRDefault="007737B6" w:rsidP="00AD7910">
      <w:pPr>
        <w:pStyle w:val="PartNoTLRI"/>
        <w:spacing w:after="640"/>
        <w:ind w:left="0" w:firstLine="0"/>
      </w:pPr>
      <w:bookmarkStart w:id="17" w:name="_Toc218154115"/>
      <w:bookmarkStart w:id="18" w:name="_Toc218154369"/>
      <w:bookmarkStart w:id="19" w:name="_Toc218154869"/>
      <w:bookmarkStart w:id="20" w:name="_Toc218156429"/>
      <w:bookmarkStart w:id="21" w:name="_Toc218157034"/>
      <w:bookmarkStart w:id="22" w:name="_Toc218157246"/>
      <w:bookmarkStart w:id="23" w:name="_Toc211849351"/>
      <w:bookmarkStart w:id="24" w:name="_Toc218154116"/>
      <w:bookmarkStart w:id="25" w:name="_Toc218154370"/>
      <w:bookmarkStart w:id="26" w:name="_Toc218154870"/>
      <w:bookmarkStart w:id="27" w:name="_Toc218156430"/>
      <w:bookmarkStart w:id="28" w:name="_Toc218157035"/>
      <w:bookmarkStart w:id="29" w:name="_Toc218157247"/>
      <w:bookmarkStart w:id="30" w:name="_Toc211849352"/>
      <w:bookmarkEnd w:id="17"/>
      <w:bookmarkEnd w:id="18"/>
      <w:bookmarkEnd w:id="19"/>
      <w:bookmarkEnd w:id="20"/>
      <w:bookmarkEnd w:id="21"/>
      <w:bookmarkEnd w:id="22"/>
      <w:bookmarkEnd w:id="23"/>
      <w:bookmarkEnd w:id="24"/>
      <w:bookmarkEnd w:id="25"/>
      <w:bookmarkEnd w:id="26"/>
      <w:bookmarkEnd w:id="27"/>
      <w:bookmarkEnd w:id="28"/>
      <w:bookmarkEnd w:id="29"/>
      <w:r w:rsidRPr="00EC02CA">
        <w:br/>
      </w:r>
      <w:r w:rsidRPr="00EC02CA">
        <w:br/>
      </w:r>
      <w:bookmarkStart w:id="31" w:name="_Toc218157248"/>
      <w:r w:rsidR="00A433FC" w:rsidRPr="00EC02CA">
        <w:rPr>
          <w:sz w:val="52"/>
          <w:szCs w:val="28"/>
        </w:rPr>
        <w:t>Introd</w:t>
      </w:r>
      <w:r w:rsidR="003B4ABF" w:rsidRPr="00EC02CA">
        <w:rPr>
          <w:sz w:val="52"/>
          <w:szCs w:val="28"/>
        </w:rPr>
        <w:t>uction</w:t>
      </w:r>
      <w:bookmarkEnd w:id="30"/>
      <w:bookmarkEnd w:id="31"/>
    </w:p>
    <w:p w14:paraId="25DFB727" w14:textId="5C1B9C8B" w:rsidR="00AB7E06" w:rsidRPr="00EC02CA" w:rsidRDefault="00AB7E06" w:rsidP="00A433FC">
      <w:pPr>
        <w:pStyle w:val="NumberedHeadingTLRI"/>
      </w:pPr>
      <w:bookmarkStart w:id="32" w:name="_Toc211849353"/>
      <w:bookmarkStart w:id="33" w:name="_Toc218157249"/>
      <w:r w:rsidRPr="00EC02CA">
        <w:t>Introduction</w:t>
      </w:r>
      <w:bookmarkEnd w:id="32"/>
      <w:bookmarkEnd w:id="33"/>
      <w:r w:rsidR="0084734A" w:rsidRPr="00EC02CA">
        <w:t xml:space="preserve"> </w:t>
      </w:r>
    </w:p>
    <w:p w14:paraId="6FC30E74" w14:textId="11A05C63" w:rsidR="00665347" w:rsidRPr="00EC02CA" w:rsidRDefault="008D4673" w:rsidP="002F0007">
      <w:pPr>
        <w:pStyle w:val="NormalNumberedTextTLRI"/>
      </w:pPr>
      <w:r w:rsidRPr="00EC02CA">
        <w:t xml:space="preserve">While children and young people are more often recognised as </w:t>
      </w:r>
      <w:r w:rsidR="00886B70" w:rsidRPr="00EC02CA">
        <w:t>victim-survivor</w:t>
      </w:r>
      <w:r w:rsidRPr="00EC02CA">
        <w:t>s of sexual offending,</w:t>
      </w:r>
      <w:r w:rsidRPr="00EC02CA">
        <w:rPr>
          <w:rFonts w:ascii="Garamond" w:hAnsi="Garamond"/>
        </w:rPr>
        <w:t xml:space="preserve"> </w:t>
      </w:r>
      <w:r w:rsidRPr="00EC02CA">
        <w:t xml:space="preserve">there </w:t>
      </w:r>
      <w:r w:rsidR="00683481" w:rsidRPr="00EC02CA">
        <w:t xml:space="preserve">are </w:t>
      </w:r>
      <w:r w:rsidRPr="00EC02CA">
        <w:t>g</w:t>
      </w:r>
      <w:r w:rsidR="005A0A4A" w:rsidRPr="00EC02CA">
        <w:t>rowing concerns about sexual offending by young people</w:t>
      </w:r>
      <w:r w:rsidR="00460208" w:rsidRPr="00EC02CA">
        <w:t>,</w:t>
      </w:r>
      <w:r w:rsidR="005A0A4A" w:rsidRPr="00EC02CA">
        <w:t xml:space="preserve"> raised in academic literature, practice materials and government reports in many countries.</w:t>
      </w:r>
      <w:r w:rsidR="005A0A4A" w:rsidRPr="00EC02CA">
        <w:rPr>
          <w:rStyle w:val="FootnoteReference"/>
        </w:rPr>
        <w:footnoteReference w:id="2"/>
      </w:r>
      <w:r w:rsidR="001B1888" w:rsidRPr="00EC02CA">
        <w:t xml:space="preserve"> </w:t>
      </w:r>
      <w:r w:rsidR="001B4105" w:rsidRPr="00EC02CA">
        <w:t>Particularly in the context of child sexual abuse, o</w:t>
      </w:r>
      <w:r w:rsidR="00347000" w:rsidRPr="00EC02CA">
        <w:t>ver time, there has been a</w:t>
      </w:r>
      <w:r w:rsidR="006233FA" w:rsidRPr="00EC02CA">
        <w:t xml:space="preserve"> shift</w:t>
      </w:r>
      <w:r w:rsidR="00B70B34" w:rsidRPr="00EC02CA">
        <w:t xml:space="preserve"> in the </w:t>
      </w:r>
      <w:r w:rsidR="00F72E8F" w:rsidRPr="00EC02CA">
        <w:t xml:space="preserve">narrative </w:t>
      </w:r>
      <w:r w:rsidR="006233FA" w:rsidRPr="00EC02CA">
        <w:t>from</w:t>
      </w:r>
      <w:r w:rsidR="00F72E8F" w:rsidRPr="00EC02CA">
        <w:t xml:space="preserve"> </w:t>
      </w:r>
      <w:r w:rsidR="00347000" w:rsidRPr="00EC02CA">
        <w:t xml:space="preserve">an offence </w:t>
      </w:r>
      <w:r w:rsidR="00F72E8F" w:rsidRPr="00EC02CA">
        <w:t xml:space="preserve">being committed by </w:t>
      </w:r>
      <w:r w:rsidR="006233FA" w:rsidRPr="00EC02CA">
        <w:t xml:space="preserve">strangers, to </w:t>
      </w:r>
      <w:r w:rsidR="00AB323E" w:rsidRPr="00EC02CA">
        <w:t xml:space="preserve">child sexual abuse being </w:t>
      </w:r>
      <w:r w:rsidR="00A73A21" w:rsidRPr="00EC02CA">
        <w:t xml:space="preserve">something </w:t>
      </w:r>
      <w:r w:rsidR="00AB323E" w:rsidRPr="00EC02CA">
        <w:t>perpetrated by (male)</w:t>
      </w:r>
      <w:r w:rsidR="006233FA" w:rsidRPr="00EC02CA">
        <w:t xml:space="preserve"> adult fami</w:t>
      </w:r>
      <w:r w:rsidR="00D127C7" w:rsidRPr="00EC02CA">
        <w:t>ly members</w:t>
      </w:r>
      <w:r w:rsidR="00347328" w:rsidRPr="00EC02CA">
        <w:t>,</w:t>
      </w:r>
      <w:r w:rsidR="00D127C7" w:rsidRPr="00EC02CA">
        <w:t xml:space="preserve"> </w:t>
      </w:r>
      <w:r w:rsidR="002E22D2" w:rsidRPr="00EC02CA">
        <w:t xml:space="preserve">and then an awareness of abuse by </w:t>
      </w:r>
      <w:r w:rsidR="00460208" w:rsidRPr="00EC02CA">
        <w:t xml:space="preserve">other </w:t>
      </w:r>
      <w:r w:rsidR="002E22D2" w:rsidRPr="00EC02CA">
        <w:t>known adults</w:t>
      </w:r>
      <w:r w:rsidR="00460208" w:rsidRPr="00EC02CA">
        <w:t>,</w:t>
      </w:r>
      <w:r w:rsidR="002E22D2" w:rsidRPr="00EC02CA">
        <w:t xml:space="preserve"> such as carers, teachers</w:t>
      </w:r>
      <w:r w:rsidR="007A5C94" w:rsidRPr="00EC02CA">
        <w:t>, priests and others in supervisory roles.</w:t>
      </w:r>
      <w:bookmarkStart w:id="34" w:name="_Ref217901142"/>
      <w:r w:rsidR="007A5C94" w:rsidRPr="00EC02CA">
        <w:rPr>
          <w:rStyle w:val="FootnoteReference"/>
        </w:rPr>
        <w:footnoteReference w:id="3"/>
      </w:r>
      <w:bookmarkEnd w:id="34"/>
      <w:r w:rsidR="009105B6" w:rsidRPr="00EC02CA">
        <w:t xml:space="preserve"> </w:t>
      </w:r>
      <w:r w:rsidR="0038719C" w:rsidRPr="00EC02CA">
        <w:t xml:space="preserve">As with physical offences, there has also been a tendency to view </w:t>
      </w:r>
      <w:r w:rsidR="00D21E20" w:rsidRPr="00EC02CA">
        <w:t>online</w:t>
      </w:r>
      <w:r w:rsidR="0038719C" w:rsidRPr="00EC02CA">
        <w:rPr>
          <w:color w:val="215E99" w:themeColor="text2" w:themeTint="BF"/>
        </w:rPr>
        <w:t xml:space="preserve"> </w:t>
      </w:r>
      <w:r w:rsidR="0038719C" w:rsidRPr="00EC02CA">
        <w:t>sexual exploitation and abuse of children as something perpetrated by adults.</w:t>
      </w:r>
      <w:r w:rsidR="0038719C" w:rsidRPr="00EC02CA">
        <w:rPr>
          <w:rStyle w:val="FootnoteReference"/>
        </w:rPr>
        <w:footnoteReference w:id="4"/>
      </w:r>
      <w:r w:rsidR="0038719C" w:rsidRPr="00EC02CA">
        <w:t xml:space="preserve"> More recently</w:t>
      </w:r>
      <w:r w:rsidR="00665347" w:rsidRPr="00EC02CA">
        <w:t xml:space="preserve"> though</w:t>
      </w:r>
      <w:r w:rsidR="0038719C" w:rsidRPr="00EC02CA">
        <w:t xml:space="preserve">, there has been </w:t>
      </w:r>
      <w:r w:rsidR="00B210C2" w:rsidRPr="00EC02CA">
        <w:t xml:space="preserve">a recognition of the extent of </w:t>
      </w:r>
      <w:r w:rsidR="00667071" w:rsidRPr="00EC02CA">
        <w:t xml:space="preserve">both </w:t>
      </w:r>
      <w:r w:rsidR="00B210C2" w:rsidRPr="00EC02CA">
        <w:t>physical</w:t>
      </w:r>
      <w:r w:rsidR="00667071" w:rsidRPr="00EC02CA">
        <w:t xml:space="preserve"> sexual abuse and </w:t>
      </w:r>
      <w:r w:rsidR="00B210C2" w:rsidRPr="00EC02CA">
        <w:t>online sexual offending by young people</w:t>
      </w:r>
      <w:r w:rsidR="00E95EFD" w:rsidRPr="00EC02CA">
        <w:t xml:space="preserve">, and with that recognition, a need to better understand how the criminal justice </w:t>
      </w:r>
      <w:r w:rsidR="00665347" w:rsidRPr="00EC02CA">
        <w:t xml:space="preserve">system </w:t>
      </w:r>
      <w:r w:rsidR="00E95EFD" w:rsidRPr="00EC02CA">
        <w:t>responds to such offenders</w:t>
      </w:r>
      <w:r w:rsidR="00184AF4" w:rsidRPr="00EC02CA">
        <w:t>,</w:t>
      </w:r>
      <w:r w:rsidR="00B315CD" w:rsidRPr="00EC02CA">
        <w:rPr>
          <w:rStyle w:val="FootnoteReference"/>
        </w:rPr>
        <w:footnoteReference w:id="5"/>
      </w:r>
      <w:r w:rsidR="00A42ABF" w:rsidRPr="00EC02CA">
        <w:t xml:space="preserve"> </w:t>
      </w:r>
      <w:r w:rsidR="00184AF4" w:rsidRPr="00EC02CA">
        <w:t>an</w:t>
      </w:r>
      <w:r w:rsidR="007D4577" w:rsidRPr="00EC02CA">
        <w:t>d</w:t>
      </w:r>
      <w:r w:rsidR="00184AF4" w:rsidRPr="00EC02CA">
        <w:t xml:space="preserve"> </w:t>
      </w:r>
      <w:r w:rsidR="00347328" w:rsidRPr="00EC02CA">
        <w:t xml:space="preserve">a </w:t>
      </w:r>
      <w:r w:rsidR="00184AF4" w:rsidRPr="00EC02CA">
        <w:t>need to develop effective interventions</w:t>
      </w:r>
      <w:r w:rsidR="007D4577" w:rsidRPr="00EC02CA">
        <w:t>.</w:t>
      </w:r>
      <w:bookmarkStart w:id="35" w:name="_Ref217977090"/>
      <w:r w:rsidR="007D4577" w:rsidRPr="00EC02CA">
        <w:rPr>
          <w:rStyle w:val="FootnoteReference"/>
        </w:rPr>
        <w:footnoteReference w:id="6"/>
      </w:r>
      <w:bookmarkEnd w:id="35"/>
      <w:r w:rsidR="007D4577" w:rsidRPr="00EC02CA">
        <w:t xml:space="preserve"> </w:t>
      </w:r>
    </w:p>
    <w:p w14:paraId="6BFB3A63" w14:textId="07360A3C" w:rsidR="008B14DF" w:rsidRPr="00EC02CA" w:rsidRDefault="00D1223A" w:rsidP="002F0007">
      <w:pPr>
        <w:pStyle w:val="NormalNumberedTextTLRI"/>
      </w:pPr>
      <w:r w:rsidRPr="00EC02CA">
        <w:t xml:space="preserve">In </w:t>
      </w:r>
      <w:r w:rsidR="008F35A4" w:rsidRPr="00EC02CA">
        <w:t>this context</w:t>
      </w:r>
      <w:r w:rsidRPr="00EC02CA">
        <w:t>, th</w:t>
      </w:r>
      <w:r w:rsidR="007D09B7" w:rsidRPr="00EC02CA">
        <w:t xml:space="preserve">is Research </w:t>
      </w:r>
      <w:r w:rsidR="00B23FE2" w:rsidRPr="00EC02CA">
        <w:t>P</w:t>
      </w:r>
      <w:r w:rsidR="007D09B7" w:rsidRPr="00EC02CA">
        <w:t xml:space="preserve">aper provides </w:t>
      </w:r>
      <w:r w:rsidR="008F35A4" w:rsidRPr="00EC02CA">
        <w:t>an</w:t>
      </w:r>
      <w:r w:rsidRPr="00EC02CA">
        <w:t xml:space="preserve"> </w:t>
      </w:r>
      <w:r w:rsidR="008F35A4" w:rsidRPr="00EC02CA">
        <w:t>evaluation of</w:t>
      </w:r>
      <w:r w:rsidRPr="00EC02CA">
        <w:t xml:space="preserve"> the </w:t>
      </w:r>
      <w:r w:rsidR="007D09B7" w:rsidRPr="00EC02CA">
        <w:t xml:space="preserve">response of the </w:t>
      </w:r>
      <w:r w:rsidRPr="00EC02CA">
        <w:t xml:space="preserve">Tasmanian youth justice system to physical and online sexual offences committed by young people. </w:t>
      </w:r>
      <w:r w:rsidR="001055D3" w:rsidRPr="00EC02CA">
        <w:t xml:space="preserve">Criminal justice systems around the world seemingly struggle with reconciling the seriousness of </w:t>
      </w:r>
      <w:r w:rsidR="003214D9" w:rsidRPr="00EC02CA">
        <w:t xml:space="preserve">some </w:t>
      </w:r>
      <w:r w:rsidR="001055D3" w:rsidRPr="00EC02CA">
        <w:t xml:space="preserve">sexual offending </w:t>
      </w:r>
      <w:r w:rsidR="003214D9" w:rsidRPr="00EC02CA">
        <w:t xml:space="preserve">committed by young people </w:t>
      </w:r>
      <w:r w:rsidR="001055D3" w:rsidRPr="00EC02CA">
        <w:t>with the</w:t>
      </w:r>
      <w:r w:rsidR="003214D9" w:rsidRPr="00EC02CA">
        <w:t>ir</w:t>
      </w:r>
      <w:r w:rsidR="001055D3" w:rsidRPr="00EC02CA">
        <w:t xml:space="preserve"> youthfulness.</w:t>
      </w:r>
      <w:bookmarkStart w:id="36" w:name="_Ref218004465"/>
      <w:r w:rsidR="001055D3" w:rsidRPr="00EC02CA">
        <w:rPr>
          <w:rStyle w:val="FootnoteReference"/>
        </w:rPr>
        <w:footnoteReference w:id="7"/>
      </w:r>
      <w:bookmarkEnd w:id="36"/>
      <w:r w:rsidR="001055D3" w:rsidRPr="00EC02CA">
        <w:t xml:space="preserve"> </w:t>
      </w:r>
      <w:r w:rsidR="008B14DF" w:rsidRPr="00EC02CA">
        <w:t xml:space="preserve">Justice responses often emphasise punishment </w:t>
      </w:r>
      <w:r w:rsidR="00536E01" w:rsidRPr="00EC02CA">
        <w:t>for</w:t>
      </w:r>
      <w:r w:rsidR="008B14DF" w:rsidRPr="00EC02CA">
        <w:t xml:space="preserve"> offences of a sexual nature, where a higher level of maturity is often assumed</w:t>
      </w:r>
      <w:r w:rsidR="00536E01" w:rsidRPr="00EC02CA">
        <w:t>,</w:t>
      </w:r>
      <w:r w:rsidR="008B14DF" w:rsidRPr="00EC02CA">
        <w:t xml:space="preserve"> in accordance with the seriousness of the offence</w:t>
      </w:r>
      <w:r w:rsidR="00536E01" w:rsidRPr="00EC02CA">
        <w:t xml:space="preserve">; </w:t>
      </w:r>
      <w:r w:rsidR="00126319" w:rsidRPr="00EC02CA">
        <w:t>that is</w:t>
      </w:r>
      <w:r w:rsidR="002A513D" w:rsidRPr="00EC02CA">
        <w:t>,</w:t>
      </w:r>
      <w:r w:rsidR="008B14DF" w:rsidRPr="00EC02CA">
        <w:t xml:space="preserve"> sexual offending by young people may be referred to as an </w:t>
      </w:r>
      <w:r w:rsidR="00536E01" w:rsidRPr="00EC02CA">
        <w:t>‘</w:t>
      </w:r>
      <w:r w:rsidR="008B14DF" w:rsidRPr="00EC02CA">
        <w:t>adult crime</w:t>
      </w:r>
      <w:r w:rsidR="00536E01" w:rsidRPr="00EC02CA">
        <w:t>’</w:t>
      </w:r>
      <w:r w:rsidR="008B14DF" w:rsidRPr="00EC02CA">
        <w:t>, thereby warranting a harsher response</w:t>
      </w:r>
      <w:r w:rsidR="008B14DF" w:rsidRPr="00EC02CA">
        <w:fldChar w:fldCharType="begin"/>
      </w:r>
      <w:r w:rsidR="008B14DF" w:rsidRPr="00EC02CA">
        <w:instrText xml:space="preserve"> ADDIN EN.CITE &lt;EndNote&gt;&lt;Cite&gt;&lt;Author&gt;Blackley&lt;/Author&gt;&lt;Year&gt;2018&lt;/Year&gt;&lt;RecNum&gt;667&lt;/RecNum&gt;&lt;record&gt;&lt;rec-number&gt;667&lt;/rec-number&gt;&lt;foreign-keys&gt;&lt;key app="EN" db-id="92twpawtxsdzaae5zwevdsw799fderxv2d52" timestamp="1689652140" guid="8733d135-35b7-4f3f-80e4-3d91d3847d41"&gt;667&lt;/key&gt;&lt;/foreign-keys&gt;&lt;ref-type name="Journal Article"&gt;17&lt;/ref-type&gt;&lt;contributors&gt;&lt;authors&gt;&lt;author&gt;Blackley, Riddhi&lt;/author&gt;&lt;author&gt;Bartels, Lorana&lt;/author&gt;&lt;/authors&gt;&lt;/contributors&gt;&lt;titles&gt;&lt;title&gt;Sentencing and treatment of juvenile sex offenders in Australia&lt;/title&gt;&lt;secondary-title&gt;Trends and Issues in Crime and Criminal Justice&lt;/secondary-title&gt;&lt;/titles&gt;&lt;periodical&gt;&lt;full-title&gt;Trends and Issues in Crime and Criminal Justice&lt;/full-title&gt;&lt;/periodical&gt;&lt;pages&gt;1-15&lt;/pages&gt;&lt;number&gt;555&lt;/number&gt;&lt;dates&gt;&lt;year&gt;2018&lt;/year&gt;&lt;/dates&gt;&lt;urls&gt;&lt;/urls&gt;&lt;/record&gt;&lt;/Cite&gt;&lt;/EndNote&gt;</w:instrText>
      </w:r>
      <w:r w:rsidR="008B14DF" w:rsidRPr="00EC02CA">
        <w:fldChar w:fldCharType="separate"/>
      </w:r>
      <w:r w:rsidR="008B14DF" w:rsidRPr="00EC02CA">
        <w:fldChar w:fldCharType="end"/>
      </w:r>
      <w:r w:rsidR="008B14DF" w:rsidRPr="00EC02CA">
        <w:t>.</w:t>
      </w:r>
      <w:r w:rsidR="008B14DF" w:rsidRPr="00EC02CA">
        <w:rPr>
          <w:vertAlign w:val="superscript"/>
        </w:rPr>
        <w:footnoteReference w:id="8"/>
      </w:r>
      <w:r w:rsidR="008B14DF" w:rsidRPr="00EC02CA">
        <w:t xml:space="preserve"> However, as the literature suggests, these young people often present with complex needs, emphasising the importance of treatment and rehabilitation.</w:t>
      </w:r>
    </w:p>
    <w:p w14:paraId="1387D1E7" w14:textId="7FB216CB" w:rsidR="003F631E" w:rsidRPr="00EC02CA" w:rsidRDefault="00D94A91" w:rsidP="002F0007">
      <w:pPr>
        <w:pStyle w:val="NormalNumberedTextTLRI"/>
      </w:pPr>
      <w:r w:rsidRPr="00EC02CA">
        <w:t xml:space="preserve">Both internationally and within Australia, complications in responding to youth online sexual offending may </w:t>
      </w:r>
      <w:r w:rsidR="002A513D" w:rsidRPr="00EC02CA">
        <w:t xml:space="preserve">also </w:t>
      </w:r>
      <w:r w:rsidRPr="00EC02CA">
        <w:t xml:space="preserve">arise under existing policy and legislation, particularly in cases of self-produced child pornography, where the </w:t>
      </w:r>
      <w:r w:rsidR="00227156" w:rsidRPr="00EC02CA">
        <w:t>person responsib</w:t>
      </w:r>
      <w:r w:rsidR="008E6DDF" w:rsidRPr="00EC02CA">
        <w:t>le</w:t>
      </w:r>
      <w:r w:rsidRPr="00EC02CA">
        <w:t xml:space="preserve"> may also be the </w:t>
      </w:r>
      <w:r w:rsidR="00886B70" w:rsidRPr="00EC02CA">
        <w:t>victim-survivor</w:t>
      </w:r>
      <w:r w:rsidRPr="00EC02CA">
        <w:t>.</w:t>
      </w:r>
      <w:r w:rsidRPr="00EC02CA">
        <w:rPr>
          <w:rStyle w:val="FootnoteReference"/>
        </w:rPr>
        <w:footnoteReference w:id="9"/>
      </w:r>
      <w:r w:rsidRPr="00EC02CA">
        <w:t xml:space="preserve"> </w:t>
      </w:r>
      <w:r w:rsidR="006F4BB4" w:rsidRPr="00EC02CA">
        <w:t>Responding</w:t>
      </w:r>
      <w:r w:rsidR="00751C33" w:rsidRPr="00EC02CA">
        <w:t xml:space="preserve"> to onl</w:t>
      </w:r>
      <w:r w:rsidR="00A62520" w:rsidRPr="00EC02CA">
        <w:t xml:space="preserve">ine sexual </w:t>
      </w:r>
      <w:r w:rsidR="006F4BB4" w:rsidRPr="00EC02CA">
        <w:t>behaviour</w:t>
      </w:r>
      <w:r w:rsidR="00A62520" w:rsidRPr="00EC02CA">
        <w:t xml:space="preserve"> by young people </w:t>
      </w:r>
      <w:r w:rsidR="006F4BB4" w:rsidRPr="00EC02CA">
        <w:t xml:space="preserve">is a difficult task for government and non-government agencies. Determining the boundary between criminal and non-criminal behaviour is not always simple. </w:t>
      </w:r>
      <w:r w:rsidR="000E43CE" w:rsidRPr="00EC02CA">
        <w:t xml:space="preserve">There </w:t>
      </w:r>
      <w:r w:rsidR="005677D0" w:rsidRPr="00EC02CA">
        <w:t xml:space="preserve">is </w:t>
      </w:r>
      <w:r w:rsidR="000E43CE" w:rsidRPr="00EC02CA">
        <w:t>a range of potentially offending behaviour</w:t>
      </w:r>
      <w:r w:rsidR="005677D0" w:rsidRPr="00EC02CA">
        <w:t>s</w:t>
      </w:r>
      <w:r w:rsidR="000E43CE" w:rsidRPr="00EC02CA">
        <w:t xml:space="preserve"> that require a nuanced justice system response. </w:t>
      </w:r>
      <w:r w:rsidR="000F2454" w:rsidRPr="00EC02CA">
        <w:t>There is</w:t>
      </w:r>
      <w:r w:rsidR="008F2462" w:rsidRPr="00EC02CA">
        <w:t xml:space="preserve"> </w:t>
      </w:r>
      <w:r w:rsidR="00F84EB0" w:rsidRPr="00EC02CA">
        <w:t xml:space="preserve">recognition that striking the right </w:t>
      </w:r>
      <w:r w:rsidR="005677D0" w:rsidRPr="00EC02CA">
        <w:t xml:space="preserve">balance in the </w:t>
      </w:r>
      <w:r w:rsidR="00F84EB0" w:rsidRPr="00EC02CA">
        <w:t>youth justice system response is challenging</w:t>
      </w:r>
      <w:r w:rsidR="000F2454" w:rsidRPr="00EC02CA">
        <w:t xml:space="preserve">, as </w:t>
      </w:r>
      <w:r w:rsidR="006F626C" w:rsidRPr="00EC02CA">
        <w:t>the Royal Commission cautioned</w:t>
      </w:r>
      <w:r w:rsidR="005A1950" w:rsidRPr="00EC02CA">
        <w:t xml:space="preserve"> that</w:t>
      </w:r>
      <w:r w:rsidR="00CC3730" w:rsidRPr="00EC02CA">
        <w:t>:</w:t>
      </w:r>
      <w:r w:rsidR="006F626C" w:rsidRPr="00EC02CA">
        <w:t xml:space="preserve"> ‘</w:t>
      </w:r>
      <w:r w:rsidR="00CC3730" w:rsidRPr="00EC02CA">
        <w:t>A</w:t>
      </w:r>
      <w:r w:rsidR="006F626C" w:rsidRPr="00EC02CA">
        <w:t>dults and institutions should neither under- or over-react to these behaviours; rather, the reaction and response should be proportionate to the behaviours and the circumstances in which they occurred’.</w:t>
      </w:r>
      <w:bookmarkStart w:id="37" w:name="_Ref217902008"/>
      <w:r w:rsidR="006F626C" w:rsidRPr="00EC02CA">
        <w:rPr>
          <w:rStyle w:val="FootnoteReference"/>
        </w:rPr>
        <w:footnoteReference w:id="10"/>
      </w:r>
      <w:bookmarkEnd w:id="37"/>
      <w:r w:rsidR="001F26BE" w:rsidRPr="00EC02CA">
        <w:t xml:space="preserve"> </w:t>
      </w:r>
    </w:p>
    <w:p w14:paraId="0F9475FB" w14:textId="0BE6299D" w:rsidR="001F26BE" w:rsidRPr="00EC02CA" w:rsidRDefault="00741F2B" w:rsidP="002F0007">
      <w:pPr>
        <w:pStyle w:val="NormalNumberedTextTLRI"/>
      </w:pPr>
      <w:r w:rsidRPr="00EC02CA">
        <w:t xml:space="preserve">Sexual offending is a </w:t>
      </w:r>
      <w:r w:rsidR="00380395" w:rsidRPr="00EC02CA">
        <w:t>subset</w:t>
      </w:r>
      <w:r w:rsidRPr="00EC02CA">
        <w:t xml:space="preserve"> of a broader set of behaviours </w:t>
      </w:r>
      <w:r w:rsidR="00380395" w:rsidRPr="00EC02CA">
        <w:t>termed</w:t>
      </w:r>
      <w:r w:rsidRPr="00EC02CA">
        <w:t xml:space="preserve"> harmful sexual behaviour</w:t>
      </w:r>
      <w:r w:rsidR="009E63E8" w:rsidRPr="00EC02CA">
        <w:t xml:space="preserve"> (HSB)</w:t>
      </w:r>
      <w:r w:rsidR="001E002C" w:rsidRPr="00EC02CA">
        <w:t>.</w:t>
      </w:r>
      <w:r w:rsidRPr="00EC02CA">
        <w:t xml:space="preserve"> </w:t>
      </w:r>
      <w:r w:rsidR="004F1C6A" w:rsidRPr="00EC02CA">
        <w:t xml:space="preserve">Much of the </w:t>
      </w:r>
      <w:r w:rsidR="006B2359" w:rsidRPr="00EC02CA">
        <w:t xml:space="preserve">recent </w:t>
      </w:r>
      <w:r w:rsidR="004F1C6A" w:rsidRPr="00EC02CA">
        <w:t xml:space="preserve">work in response to young people </w:t>
      </w:r>
      <w:r w:rsidR="00804743" w:rsidRPr="00EC02CA">
        <w:t xml:space="preserve">who </w:t>
      </w:r>
      <w:r w:rsidR="005677D0" w:rsidRPr="00EC02CA">
        <w:t>engag</w:t>
      </w:r>
      <w:r w:rsidR="00804743" w:rsidRPr="00EC02CA">
        <w:t>e</w:t>
      </w:r>
      <w:r w:rsidR="005677D0" w:rsidRPr="00EC02CA">
        <w:t xml:space="preserve"> in </w:t>
      </w:r>
      <w:r w:rsidR="004F1C6A" w:rsidRPr="00EC02CA">
        <w:t>harmful sexual behaviour has been directed to ‘keep [them] in view as children, rather than seeing them as a mini version adult sex offenders’.</w:t>
      </w:r>
      <w:bookmarkStart w:id="38" w:name="_Ref217901178"/>
      <w:r w:rsidR="004F1C6A" w:rsidRPr="00EC02CA">
        <w:rPr>
          <w:rStyle w:val="FootnoteReference"/>
        </w:rPr>
        <w:footnoteReference w:id="11"/>
      </w:r>
      <w:bookmarkEnd w:id="38"/>
      <w:r w:rsidR="004F1C6A" w:rsidRPr="00EC02CA">
        <w:t xml:space="preserve"> </w:t>
      </w:r>
      <w:r w:rsidR="009D212C" w:rsidRPr="00EC02CA">
        <w:t xml:space="preserve">Government </w:t>
      </w:r>
      <w:r w:rsidR="002A0759" w:rsidRPr="00EC02CA">
        <w:t xml:space="preserve">measures </w:t>
      </w:r>
      <w:r w:rsidR="00633D8C" w:rsidRPr="00EC02CA">
        <w:t>introduced with the aim of</w:t>
      </w:r>
      <w:r w:rsidR="002A0759" w:rsidRPr="00EC02CA">
        <w:t xml:space="preserve"> responding to young people </w:t>
      </w:r>
      <w:r w:rsidR="005677D0" w:rsidRPr="00EC02CA">
        <w:t xml:space="preserve">engaging in </w:t>
      </w:r>
      <w:r w:rsidR="002A0759" w:rsidRPr="00EC02CA">
        <w:t xml:space="preserve">harmful sexual </w:t>
      </w:r>
      <w:r w:rsidR="000003F5" w:rsidRPr="00EC02CA">
        <w:t>behaviour</w:t>
      </w:r>
      <w:r w:rsidR="00633D8C" w:rsidRPr="00EC02CA">
        <w:t xml:space="preserve"> have</w:t>
      </w:r>
      <w:r w:rsidR="002A0759" w:rsidRPr="00EC02CA">
        <w:t xml:space="preserve"> </w:t>
      </w:r>
      <w:r w:rsidR="00487494" w:rsidRPr="00EC02CA">
        <w:t>adopt</w:t>
      </w:r>
      <w:r w:rsidR="00633D8C" w:rsidRPr="00EC02CA">
        <w:t>ed</w:t>
      </w:r>
      <w:r w:rsidR="000003F5" w:rsidRPr="00EC02CA">
        <w:t xml:space="preserve"> a public health framework, with a focus on early intervention</w:t>
      </w:r>
      <w:r w:rsidR="00267565" w:rsidRPr="00EC02CA">
        <w:t>, as well as the provision of youth justice and therapeutic services</w:t>
      </w:r>
      <w:r w:rsidR="000003F5" w:rsidRPr="00EC02CA">
        <w:t>.</w:t>
      </w:r>
      <w:bookmarkStart w:id="39" w:name="_Ref217905183"/>
      <w:r w:rsidR="000003F5" w:rsidRPr="00EC02CA">
        <w:rPr>
          <w:rStyle w:val="FootnoteReference"/>
        </w:rPr>
        <w:footnoteReference w:id="12"/>
      </w:r>
      <w:bookmarkEnd w:id="39"/>
      <w:r w:rsidR="006A460C" w:rsidRPr="00EC02CA">
        <w:t xml:space="preserve"> </w:t>
      </w:r>
      <w:r w:rsidR="008268B2" w:rsidRPr="00EC02CA">
        <w:t xml:space="preserve">An effective criminal justice system response to harmful sexual behaviour is a key component of </w:t>
      </w:r>
      <w:r w:rsidR="00920F0D" w:rsidRPr="00EC02CA">
        <w:t xml:space="preserve">any </w:t>
      </w:r>
      <w:r w:rsidR="008268B2" w:rsidRPr="00EC02CA">
        <w:t xml:space="preserve">government responses </w:t>
      </w:r>
      <w:r w:rsidR="00E029AD" w:rsidRPr="00EC02CA">
        <w:t xml:space="preserve">and </w:t>
      </w:r>
      <w:r w:rsidR="00001985" w:rsidRPr="00EC02CA">
        <w:t xml:space="preserve">involves </w:t>
      </w:r>
      <w:r w:rsidR="00E029AD" w:rsidRPr="00EC02CA">
        <w:t>considering what specialised and appropriate legal response</w:t>
      </w:r>
      <w:r w:rsidR="005677D0" w:rsidRPr="00EC02CA">
        <w:t>s</w:t>
      </w:r>
      <w:r w:rsidR="00E029AD" w:rsidRPr="00EC02CA">
        <w:t xml:space="preserve"> </w:t>
      </w:r>
      <w:r w:rsidR="00001985" w:rsidRPr="00EC02CA">
        <w:t>might look like</w:t>
      </w:r>
      <w:r w:rsidR="00E029AD" w:rsidRPr="00EC02CA">
        <w:t xml:space="preserve">. </w:t>
      </w:r>
      <w:r w:rsidR="00001985" w:rsidRPr="00EC02CA">
        <w:t>It</w:t>
      </w:r>
      <w:r w:rsidR="008268B2" w:rsidRPr="00EC02CA">
        <w:t xml:space="preserve"> means </w:t>
      </w:r>
      <w:r w:rsidR="00D525F0" w:rsidRPr="00EC02CA">
        <w:t>understanding the adequacy of the current response</w:t>
      </w:r>
      <w:r w:rsidR="005677D0" w:rsidRPr="00EC02CA">
        <w:t>s</w:t>
      </w:r>
      <w:r w:rsidR="00D525F0" w:rsidRPr="00EC02CA">
        <w:t xml:space="preserve"> </w:t>
      </w:r>
      <w:r w:rsidR="00D462EA" w:rsidRPr="00EC02CA">
        <w:t>as a</w:t>
      </w:r>
      <w:r w:rsidR="00D525F0" w:rsidRPr="00EC02CA">
        <w:t xml:space="preserve"> </w:t>
      </w:r>
      <w:r w:rsidR="00BD553B" w:rsidRPr="00EC02CA">
        <w:t xml:space="preserve">matter of </w:t>
      </w:r>
      <w:r w:rsidR="00D525F0" w:rsidRPr="00EC02CA">
        <w:t>critically important</w:t>
      </w:r>
      <w:r w:rsidR="00D462EA" w:rsidRPr="00EC02CA">
        <w:t xml:space="preserve"> focus</w:t>
      </w:r>
      <w:r w:rsidR="00D525F0" w:rsidRPr="00EC02CA">
        <w:t xml:space="preserve">, </w:t>
      </w:r>
      <w:r w:rsidR="00464047" w:rsidRPr="00EC02CA">
        <w:t>g</w:t>
      </w:r>
      <w:r w:rsidR="00D525F0" w:rsidRPr="00EC02CA">
        <w:t xml:space="preserve">iven the </w:t>
      </w:r>
      <w:r w:rsidR="00464047" w:rsidRPr="00EC02CA">
        <w:t>increasing</w:t>
      </w:r>
      <w:r w:rsidR="00D525F0" w:rsidRPr="00EC02CA">
        <w:t xml:space="preserve"> </w:t>
      </w:r>
      <w:r w:rsidR="00464047" w:rsidRPr="00EC02CA">
        <w:t>recognition</w:t>
      </w:r>
      <w:r w:rsidR="00D525F0" w:rsidRPr="00EC02CA">
        <w:t xml:space="preserve"> </w:t>
      </w:r>
      <w:r w:rsidR="00464047" w:rsidRPr="00EC02CA">
        <w:t>of the</w:t>
      </w:r>
      <w:r w:rsidR="00D525F0" w:rsidRPr="00EC02CA">
        <w:t xml:space="preserve"> extent to which </w:t>
      </w:r>
      <w:r w:rsidR="00464047" w:rsidRPr="00EC02CA">
        <w:t xml:space="preserve">sexual </w:t>
      </w:r>
      <w:r w:rsidR="00920F0D" w:rsidRPr="00EC02CA">
        <w:t>offending against young people</w:t>
      </w:r>
      <w:r w:rsidR="00464047" w:rsidRPr="00EC02CA">
        <w:t xml:space="preserve"> is done by other young people</w:t>
      </w:r>
      <w:r w:rsidR="008F5348" w:rsidRPr="00EC02CA">
        <w:t>.</w:t>
      </w:r>
      <w:bookmarkStart w:id="40" w:name="_Ref217902685"/>
      <w:r w:rsidR="00D525F0" w:rsidRPr="00EC02CA">
        <w:rPr>
          <w:rStyle w:val="FootnoteReference"/>
        </w:rPr>
        <w:footnoteReference w:id="13"/>
      </w:r>
      <w:bookmarkEnd w:id="40"/>
      <w:r w:rsidR="00261A81" w:rsidRPr="00EC02CA">
        <w:t xml:space="preserve"> </w:t>
      </w:r>
      <w:r w:rsidR="00BD553B" w:rsidRPr="00EC02CA">
        <w:t>It</w:t>
      </w:r>
      <w:r w:rsidR="00261A81" w:rsidRPr="00EC02CA">
        <w:t xml:space="preserve"> is </w:t>
      </w:r>
      <w:r w:rsidR="00BD553B" w:rsidRPr="00EC02CA">
        <w:t xml:space="preserve">also </w:t>
      </w:r>
      <w:r w:rsidR="00261A81" w:rsidRPr="00EC02CA">
        <w:t xml:space="preserve">important </w:t>
      </w:r>
      <w:r w:rsidR="00BD553B" w:rsidRPr="00EC02CA">
        <w:t xml:space="preserve">to recognise </w:t>
      </w:r>
      <w:r w:rsidR="00261A81" w:rsidRPr="00EC02CA">
        <w:t>that the criminal justice process is fair ‘for all interested parties - the accused, the complainant and the public’.</w:t>
      </w:r>
      <w:bookmarkStart w:id="41" w:name="_Ref217902398"/>
      <w:r w:rsidR="00261A81" w:rsidRPr="00EC02CA">
        <w:rPr>
          <w:rStyle w:val="FootnoteReference"/>
        </w:rPr>
        <w:footnoteReference w:id="14"/>
      </w:r>
      <w:bookmarkEnd w:id="41"/>
      <w:r w:rsidR="001D1C0A" w:rsidRPr="00EC02CA">
        <w:t xml:space="preserve"> In responding to the needs of young people </w:t>
      </w:r>
      <w:r w:rsidR="00804743" w:rsidRPr="00EC02CA">
        <w:t xml:space="preserve">who </w:t>
      </w:r>
      <w:r w:rsidR="005677D0" w:rsidRPr="00EC02CA">
        <w:t>engag</w:t>
      </w:r>
      <w:r w:rsidR="00804743" w:rsidRPr="00EC02CA">
        <w:t>e</w:t>
      </w:r>
      <w:r w:rsidR="005677D0" w:rsidRPr="00EC02CA">
        <w:t xml:space="preserve"> in </w:t>
      </w:r>
      <w:r w:rsidR="001D1C0A" w:rsidRPr="00EC02CA">
        <w:t xml:space="preserve">harmful sexual behaviour, it </w:t>
      </w:r>
      <w:r w:rsidR="00091F35" w:rsidRPr="00EC02CA">
        <w:t>is</w:t>
      </w:r>
      <w:r w:rsidR="001D1C0A" w:rsidRPr="00EC02CA">
        <w:t xml:space="preserve"> </w:t>
      </w:r>
      <w:r w:rsidR="00091F35" w:rsidRPr="00EC02CA">
        <w:t>important</w:t>
      </w:r>
      <w:r w:rsidR="001D1C0A" w:rsidRPr="00EC02CA">
        <w:t xml:space="preserve"> not to </w:t>
      </w:r>
      <w:r w:rsidR="00091F35" w:rsidRPr="00EC02CA">
        <w:t xml:space="preserve">lose sight of the needs of young people who are the </w:t>
      </w:r>
      <w:r w:rsidR="00886B70" w:rsidRPr="00EC02CA">
        <w:t>victim-survivor</w:t>
      </w:r>
      <w:r w:rsidR="007D6B2E" w:rsidRPr="00EC02CA">
        <w:t>s</w:t>
      </w:r>
      <w:r w:rsidR="00091F35" w:rsidRPr="00EC02CA">
        <w:t xml:space="preserve"> of </w:t>
      </w:r>
      <w:r w:rsidR="007D6B2E" w:rsidRPr="00EC02CA">
        <w:t>this behaviour</w:t>
      </w:r>
      <w:r w:rsidR="005677D0" w:rsidRPr="00EC02CA">
        <w:t>,</w:t>
      </w:r>
      <w:r w:rsidR="007D6B2E" w:rsidRPr="00EC02CA">
        <w:rPr>
          <w:rStyle w:val="FootnoteReference"/>
        </w:rPr>
        <w:footnoteReference w:id="15"/>
      </w:r>
      <w:r w:rsidR="007D6B2E" w:rsidRPr="00EC02CA">
        <w:t xml:space="preserve"> </w:t>
      </w:r>
      <w:r w:rsidR="005677D0" w:rsidRPr="00EC02CA">
        <w:t xml:space="preserve">including </w:t>
      </w:r>
      <w:r w:rsidR="007D6B2E" w:rsidRPr="00EC02CA">
        <w:t xml:space="preserve">recognising that a young person may both display harmful sexual behaviour and be a </w:t>
      </w:r>
      <w:r w:rsidR="00886B70" w:rsidRPr="00EC02CA">
        <w:t>victim-survivor</w:t>
      </w:r>
      <w:r w:rsidR="007D6B2E" w:rsidRPr="00EC02CA">
        <w:t xml:space="preserve"> of sexual abuse.</w:t>
      </w:r>
      <w:r w:rsidR="007D6B2E" w:rsidRPr="00EC02CA">
        <w:rPr>
          <w:rStyle w:val="FootnoteReference"/>
        </w:rPr>
        <w:footnoteReference w:id="16"/>
      </w:r>
    </w:p>
    <w:p w14:paraId="715E48DF" w14:textId="701448FB" w:rsidR="00A433FC" w:rsidRPr="00EC02CA" w:rsidRDefault="006728E1" w:rsidP="001B595A">
      <w:pPr>
        <w:pStyle w:val="NumberedHeadingTLRI"/>
      </w:pPr>
      <w:bookmarkStart w:id="42" w:name="_Toc211849354"/>
      <w:bookmarkStart w:id="43" w:name="_Toc218157250"/>
      <w:r w:rsidRPr="00EC02CA">
        <w:t xml:space="preserve">Background to this Research </w:t>
      </w:r>
      <w:r w:rsidR="00DE26E2" w:rsidRPr="00EC02CA">
        <w:t>Paper</w:t>
      </w:r>
      <w:bookmarkEnd w:id="42"/>
      <w:bookmarkEnd w:id="43"/>
    </w:p>
    <w:p w14:paraId="4EB3BFCF" w14:textId="1CAA20C5" w:rsidR="008364FB" w:rsidRPr="00EC02CA" w:rsidRDefault="007F0EC6" w:rsidP="002F0007">
      <w:pPr>
        <w:pStyle w:val="NormalNumberedTextTLRI"/>
      </w:pPr>
      <w:r w:rsidRPr="00EC02CA">
        <w:t>In September 2022, the Attorney</w:t>
      </w:r>
      <w:r w:rsidR="00740E89" w:rsidRPr="00EC02CA">
        <w:t>-</w:t>
      </w:r>
      <w:r w:rsidRPr="00EC02CA">
        <w:t xml:space="preserve">General </w:t>
      </w:r>
      <w:r w:rsidR="004C4C8C" w:rsidRPr="00EC02CA">
        <w:t>called for expressions of interest to seek</w:t>
      </w:r>
      <w:r w:rsidRPr="00EC02CA">
        <w:t xml:space="preserve"> funding </w:t>
      </w:r>
      <w:r w:rsidR="00E26DE2" w:rsidRPr="00EC02CA">
        <w:t>‘</w:t>
      </w:r>
      <w:r w:rsidRPr="00EC02CA">
        <w:t>to support innovative, stand-alone projects within the legal assistance sector, that will improve access to justice in Tasmania</w:t>
      </w:r>
      <w:r w:rsidR="00813DE6" w:rsidRPr="00EC02CA">
        <w:t>’</w:t>
      </w:r>
      <w:r w:rsidR="00492834" w:rsidRPr="00EC02CA">
        <w:t>.</w:t>
      </w:r>
      <w:r w:rsidRPr="00EC02CA">
        <w:t xml:space="preserve"> With Board approval, the </w:t>
      </w:r>
      <w:r w:rsidR="00E1085D" w:rsidRPr="00EC02CA">
        <w:t>Tasmania Law Reform Institute (</w:t>
      </w:r>
      <w:r w:rsidR="003A5091" w:rsidRPr="00EC02CA">
        <w:t>TLRI</w:t>
      </w:r>
      <w:r w:rsidR="00E1085D" w:rsidRPr="00EC02CA">
        <w:t>)</w:t>
      </w:r>
      <w:r w:rsidRPr="00EC02CA">
        <w:t xml:space="preserve"> lodged an expression of interest in October 2022 for funding </w:t>
      </w:r>
      <w:r w:rsidR="00D44BA8" w:rsidRPr="00EC02CA">
        <w:t xml:space="preserve">to </w:t>
      </w:r>
      <w:r w:rsidR="003F689C" w:rsidRPr="00EC02CA">
        <w:t xml:space="preserve">conduct an </w:t>
      </w:r>
      <w:r w:rsidR="00B85E6B" w:rsidRPr="00EC02CA">
        <w:t xml:space="preserve">exploratory </w:t>
      </w:r>
      <w:r w:rsidR="00C64CA0" w:rsidRPr="00EC02CA">
        <w:t xml:space="preserve">study of </w:t>
      </w:r>
      <w:r w:rsidRPr="00EC02CA">
        <w:t xml:space="preserve">responses by the Tasmanian </w:t>
      </w:r>
      <w:r w:rsidR="005677D0" w:rsidRPr="00EC02CA">
        <w:t>y</w:t>
      </w:r>
      <w:r w:rsidRPr="00EC02CA">
        <w:t xml:space="preserve">outh </w:t>
      </w:r>
      <w:r w:rsidR="005677D0" w:rsidRPr="00EC02CA">
        <w:t>j</w:t>
      </w:r>
      <w:r w:rsidRPr="00EC02CA">
        <w:t xml:space="preserve">ustice </w:t>
      </w:r>
      <w:r w:rsidR="005677D0" w:rsidRPr="00EC02CA">
        <w:t>s</w:t>
      </w:r>
      <w:r w:rsidRPr="00EC02CA">
        <w:t xml:space="preserve">ystem to sexual offences committed by young people. </w:t>
      </w:r>
      <w:r w:rsidR="00E63C21" w:rsidRPr="00EC02CA">
        <w:t>After</w:t>
      </w:r>
      <w:r w:rsidRPr="00EC02CA">
        <w:t xml:space="preserve"> discussions with the Department of Justice </w:t>
      </w:r>
      <w:r w:rsidR="0022560C" w:rsidRPr="00EC02CA">
        <w:t>about the scope of the project</w:t>
      </w:r>
      <w:r w:rsidR="00F65797" w:rsidRPr="00EC02CA">
        <w:t xml:space="preserve">, </w:t>
      </w:r>
      <w:r w:rsidR="006535B8" w:rsidRPr="00EC02CA">
        <w:t>the TLRI</w:t>
      </w:r>
      <w:r w:rsidRPr="00EC02CA">
        <w:t xml:space="preserve"> was notified </w:t>
      </w:r>
      <w:r w:rsidR="005677D0" w:rsidRPr="00EC02CA">
        <w:t xml:space="preserve">on 22 May 2023 </w:t>
      </w:r>
      <w:r w:rsidRPr="00EC02CA">
        <w:t>that its application for funding was successful.</w:t>
      </w:r>
    </w:p>
    <w:p w14:paraId="196B875E" w14:textId="79126FB3" w:rsidR="003E2E87" w:rsidRPr="00EC02CA" w:rsidRDefault="00DE26E2" w:rsidP="002F0007">
      <w:pPr>
        <w:pStyle w:val="NormalNumberedTextTLRI"/>
      </w:pPr>
      <w:r w:rsidRPr="00EC02CA">
        <w:t>As noted, this Rese</w:t>
      </w:r>
      <w:r w:rsidR="00AE30FB" w:rsidRPr="00EC02CA">
        <w:t>ar</w:t>
      </w:r>
      <w:r w:rsidRPr="00EC02CA">
        <w:t xml:space="preserve">ch Paper </w:t>
      </w:r>
      <w:r w:rsidR="00122B26" w:rsidRPr="00EC02CA">
        <w:t xml:space="preserve">addresses </w:t>
      </w:r>
      <w:r w:rsidR="00E527C6" w:rsidRPr="00EC02CA">
        <w:t>concerns</w:t>
      </w:r>
      <w:r w:rsidR="00122B26" w:rsidRPr="00EC02CA">
        <w:t xml:space="preserve"> </w:t>
      </w:r>
      <w:r w:rsidR="00E527C6" w:rsidRPr="00EC02CA">
        <w:t>a</w:t>
      </w:r>
      <w:r w:rsidR="00122B26" w:rsidRPr="00EC02CA">
        <w:t xml:space="preserve">bout the extent of sexual </w:t>
      </w:r>
      <w:r w:rsidR="00E527C6" w:rsidRPr="00EC02CA">
        <w:t>offending</w:t>
      </w:r>
      <w:r w:rsidR="00122B26" w:rsidRPr="00EC02CA">
        <w:t xml:space="preserve"> by</w:t>
      </w:r>
      <w:r w:rsidR="00E527C6" w:rsidRPr="00EC02CA">
        <w:t xml:space="preserve"> young people, and considers the appropriateness of the current </w:t>
      </w:r>
      <w:r w:rsidR="005400FF" w:rsidRPr="00EC02CA">
        <w:t>youth</w:t>
      </w:r>
      <w:r w:rsidR="00E527C6" w:rsidRPr="00EC02CA">
        <w:t xml:space="preserve"> justice system response. </w:t>
      </w:r>
      <w:r w:rsidR="003E2E87" w:rsidRPr="00EC02CA">
        <w:t>The Commission of Inquiry into the Tasmanian Government’s Response to Child Sexual Abuse in Institutional Settings (Commission of Inquiry) released its report in 2023</w:t>
      </w:r>
      <w:r w:rsidR="00D83B5A" w:rsidRPr="00EC02CA">
        <w:t>,</w:t>
      </w:r>
      <w:r w:rsidR="003E2E87" w:rsidRPr="00EC02CA">
        <w:t xml:space="preserve"> </w:t>
      </w:r>
      <w:r w:rsidR="00D83B5A" w:rsidRPr="00EC02CA">
        <w:t>which</w:t>
      </w:r>
      <w:r w:rsidR="003E2E87" w:rsidRPr="00EC02CA">
        <w:t xml:space="preserve"> examined allegations and incidents of child sexual abuse in Tasmanian Government institutions</w:t>
      </w:r>
      <w:r w:rsidR="00D83B5A" w:rsidRPr="00EC02CA">
        <w:t>.</w:t>
      </w:r>
      <w:r w:rsidR="003E2E87" w:rsidRPr="00EC02CA">
        <w:rPr>
          <w:rStyle w:val="FootnoteReference"/>
        </w:rPr>
        <w:footnoteReference w:id="17"/>
      </w:r>
      <w:r w:rsidR="003E2E87" w:rsidRPr="00EC02CA">
        <w:t xml:space="preserve"> </w:t>
      </w:r>
      <w:r w:rsidR="00D83B5A" w:rsidRPr="00EC02CA">
        <w:t>As part of this inquiry, t</w:t>
      </w:r>
      <w:r w:rsidR="003E2E87" w:rsidRPr="00EC02CA">
        <w:t xml:space="preserve">he Commission </w:t>
      </w:r>
      <w:r w:rsidR="001E4620" w:rsidRPr="00EC02CA">
        <w:t xml:space="preserve">examined the extent of </w:t>
      </w:r>
      <w:r w:rsidR="003E2E87" w:rsidRPr="00EC02CA">
        <w:t xml:space="preserve">child sexual abuse that is </w:t>
      </w:r>
      <w:r w:rsidR="001E4620" w:rsidRPr="00EC02CA">
        <w:t>done</w:t>
      </w:r>
      <w:r w:rsidR="003E2E87" w:rsidRPr="00EC02CA">
        <w:t xml:space="preserve"> by other young people</w:t>
      </w:r>
      <w:r w:rsidR="007A4B6A" w:rsidRPr="00EC02CA">
        <w:t xml:space="preserve">. It found </w:t>
      </w:r>
      <w:r w:rsidR="00BC47F6" w:rsidRPr="00EC02CA">
        <w:t>examples of coercive and/or violen</w:t>
      </w:r>
      <w:r w:rsidR="009E2937" w:rsidRPr="00EC02CA">
        <w:t>t</w:t>
      </w:r>
      <w:r w:rsidR="00BC47F6" w:rsidRPr="00EC02CA">
        <w:t xml:space="preserve"> sexual behaviours </w:t>
      </w:r>
      <w:r w:rsidR="008247FA" w:rsidRPr="00EC02CA">
        <w:t>by children in institutional settings</w:t>
      </w:r>
      <w:r w:rsidR="009E2937" w:rsidRPr="00EC02CA">
        <w:t>,</w:t>
      </w:r>
      <w:r w:rsidR="008247FA" w:rsidRPr="00EC02CA">
        <w:t xml:space="preserve"> </w:t>
      </w:r>
      <w:r w:rsidR="003E2E87" w:rsidRPr="00EC02CA">
        <w:t xml:space="preserve">and </w:t>
      </w:r>
      <w:r w:rsidR="00EC027C" w:rsidRPr="00EC02CA">
        <w:t>its recommendations</w:t>
      </w:r>
      <w:r w:rsidR="007A4B6A" w:rsidRPr="00EC02CA">
        <w:t xml:space="preserve"> </w:t>
      </w:r>
      <w:r w:rsidR="00D33C75" w:rsidRPr="00EC02CA">
        <w:t>addressed</w:t>
      </w:r>
      <w:r w:rsidR="003E2E87" w:rsidRPr="00EC02CA">
        <w:t xml:space="preserve"> respon</w:t>
      </w:r>
      <w:r w:rsidR="009E2937" w:rsidRPr="00EC02CA">
        <w:t>ding</w:t>
      </w:r>
      <w:r w:rsidR="003E2E87" w:rsidRPr="00EC02CA">
        <w:t xml:space="preserve"> to harmful </w:t>
      </w:r>
      <w:r w:rsidR="00EC027C" w:rsidRPr="00EC02CA">
        <w:t xml:space="preserve">sexual </w:t>
      </w:r>
      <w:r w:rsidR="003E2E87" w:rsidRPr="00EC02CA">
        <w:t>behaviour</w:t>
      </w:r>
      <w:r w:rsidR="00EC027C" w:rsidRPr="00EC02CA">
        <w:t xml:space="preserve"> </w:t>
      </w:r>
      <w:r w:rsidR="003E2E87" w:rsidRPr="00EC02CA">
        <w:t>within schools, out</w:t>
      </w:r>
      <w:r w:rsidR="00B567A3" w:rsidRPr="00EC02CA">
        <w:t>-</w:t>
      </w:r>
      <w:r w:rsidR="003E2E87" w:rsidRPr="00EC02CA">
        <w:t>of</w:t>
      </w:r>
      <w:r w:rsidR="00B567A3" w:rsidRPr="00EC02CA">
        <w:t>-</w:t>
      </w:r>
      <w:r w:rsidR="003E2E87" w:rsidRPr="00EC02CA">
        <w:t xml:space="preserve">home care, youth detention </w:t>
      </w:r>
      <w:r w:rsidR="009E2937" w:rsidRPr="00EC02CA">
        <w:t xml:space="preserve">and </w:t>
      </w:r>
      <w:r w:rsidR="003E2E87" w:rsidRPr="00EC02CA">
        <w:t>health service</w:t>
      </w:r>
      <w:r w:rsidR="009E2937" w:rsidRPr="00EC02CA">
        <w:t>s,</w:t>
      </w:r>
      <w:r w:rsidR="003E2E87" w:rsidRPr="00EC02CA">
        <w:t xml:space="preserve"> </w:t>
      </w:r>
      <w:r w:rsidR="007A4B6A" w:rsidRPr="00EC02CA">
        <w:t xml:space="preserve">as well as </w:t>
      </w:r>
      <w:r w:rsidR="003E2E87" w:rsidRPr="00EC02CA">
        <w:t>providing access to therapeutic support</w:t>
      </w:r>
      <w:r w:rsidR="007A4B6A" w:rsidRPr="00EC02CA">
        <w:t xml:space="preserve"> for young people</w:t>
      </w:r>
      <w:r w:rsidR="00A87AC1" w:rsidRPr="00EC02CA">
        <w:t>.</w:t>
      </w:r>
      <w:r w:rsidR="003E2E87" w:rsidRPr="00EC02CA">
        <w:rPr>
          <w:rStyle w:val="FootnoteReference"/>
        </w:rPr>
        <w:footnoteReference w:id="18"/>
      </w:r>
      <w:r w:rsidR="007D1A54" w:rsidRPr="00EC02CA">
        <w:t xml:space="preserve"> </w:t>
      </w:r>
    </w:p>
    <w:p w14:paraId="44ADD19A" w14:textId="51086716" w:rsidR="00CD17B7" w:rsidRPr="00EC02CA" w:rsidRDefault="00166726" w:rsidP="002F0007">
      <w:pPr>
        <w:pStyle w:val="NormalNumberedTextTLRI"/>
      </w:pPr>
      <w:r w:rsidRPr="00EC02CA">
        <w:t xml:space="preserve">The Commission of Inquiry followed the </w:t>
      </w:r>
      <w:r w:rsidR="00E1085D" w:rsidRPr="00EC02CA">
        <w:t>r</w:t>
      </w:r>
      <w:r w:rsidR="009E2937" w:rsidRPr="00EC02CA">
        <w:t xml:space="preserve">eport of the </w:t>
      </w:r>
      <w:r w:rsidRPr="00EC02CA">
        <w:t>20</w:t>
      </w:r>
      <w:r w:rsidR="00906D69">
        <w:t>1</w:t>
      </w:r>
      <w:r w:rsidRPr="00EC02CA">
        <w:t xml:space="preserve">7 </w:t>
      </w:r>
      <w:r w:rsidR="008F3D77" w:rsidRPr="00EC02CA">
        <w:rPr>
          <w:i/>
          <w:iCs/>
        </w:rPr>
        <w:t>Royal Commission into Institutional Responses to Child Sexual Abuse</w:t>
      </w:r>
      <w:r w:rsidR="00A65D89" w:rsidRPr="00EC02CA">
        <w:rPr>
          <w:i/>
          <w:iCs/>
        </w:rPr>
        <w:t xml:space="preserve"> </w:t>
      </w:r>
      <w:r w:rsidR="00A65D89" w:rsidRPr="00EC02CA">
        <w:t>(the Royal Commission)</w:t>
      </w:r>
      <w:r w:rsidR="00842DE6" w:rsidRPr="00EC02CA">
        <w:rPr>
          <w:i/>
          <w:iCs/>
        </w:rPr>
        <w:t>,</w:t>
      </w:r>
      <w:r w:rsidR="00842DE6" w:rsidRPr="00EC02CA">
        <w:t xml:space="preserve"> </w:t>
      </w:r>
      <w:r w:rsidR="000F21B8" w:rsidRPr="00EC02CA">
        <w:t>which</w:t>
      </w:r>
      <w:r w:rsidR="00842DE6" w:rsidRPr="00EC02CA">
        <w:t xml:space="preserve"> </w:t>
      </w:r>
      <w:r w:rsidR="007135D8" w:rsidRPr="00EC02CA">
        <w:t xml:space="preserve">had also </w:t>
      </w:r>
      <w:r w:rsidR="00842DE6" w:rsidRPr="00EC02CA">
        <w:t>addressed the issue of young people who display harmful sexual behaviour</w:t>
      </w:r>
      <w:r w:rsidR="007135D8" w:rsidRPr="00EC02CA">
        <w:t>.</w:t>
      </w:r>
      <w:bookmarkStart w:id="44" w:name="_Ref217902525"/>
      <w:r w:rsidR="00842DE6" w:rsidRPr="00EC02CA">
        <w:rPr>
          <w:rStyle w:val="FootnoteReference"/>
        </w:rPr>
        <w:footnoteReference w:id="19"/>
      </w:r>
      <w:bookmarkEnd w:id="44"/>
      <w:r w:rsidR="00842DE6" w:rsidRPr="00EC02CA">
        <w:t xml:space="preserve"> </w:t>
      </w:r>
      <w:r w:rsidR="007135D8" w:rsidRPr="00EC02CA">
        <w:t xml:space="preserve">The Royal Commission </w:t>
      </w:r>
      <w:r w:rsidR="008F3D77" w:rsidRPr="00EC02CA">
        <w:t xml:space="preserve">recognised </w:t>
      </w:r>
      <w:r w:rsidR="00F77723" w:rsidRPr="00EC02CA">
        <w:t xml:space="preserve">that </w:t>
      </w:r>
      <w:r w:rsidR="008728D9">
        <w:t>a</w:t>
      </w:r>
      <w:r w:rsidR="007135D8" w:rsidRPr="00EC02CA">
        <w:t xml:space="preserve"> </w:t>
      </w:r>
      <w:r w:rsidR="00ED3831" w:rsidRPr="00EC02CA">
        <w:t xml:space="preserve">significant level of sexual abuse </w:t>
      </w:r>
      <w:r w:rsidR="000F1B20" w:rsidRPr="00EC02CA">
        <w:t xml:space="preserve">was </w:t>
      </w:r>
      <w:r w:rsidR="00ED3831" w:rsidRPr="00EC02CA">
        <w:t>committed by children on other children</w:t>
      </w:r>
      <w:r w:rsidR="000F21B8" w:rsidRPr="00EC02CA">
        <w:t>,</w:t>
      </w:r>
      <w:r w:rsidR="00216E2C" w:rsidRPr="00EC02CA">
        <w:rPr>
          <w:rStyle w:val="FootnoteReference"/>
        </w:rPr>
        <w:footnoteReference w:id="20"/>
      </w:r>
      <w:r w:rsidR="00893B61" w:rsidRPr="00EC02CA">
        <w:t xml:space="preserve"> </w:t>
      </w:r>
      <w:r w:rsidR="007135D8" w:rsidRPr="00EC02CA">
        <w:t>with the estimate provided</w:t>
      </w:r>
      <w:r w:rsidR="00502D30" w:rsidRPr="00EC02CA">
        <w:t xml:space="preserve"> that one in every six cases of child sexual abuse in institutional setting is per</w:t>
      </w:r>
      <w:r w:rsidR="00175682" w:rsidRPr="00EC02CA">
        <w:t>petrated by minors.</w:t>
      </w:r>
      <w:r w:rsidR="00175682" w:rsidRPr="00EC02CA">
        <w:rPr>
          <w:rStyle w:val="FootnoteReference"/>
        </w:rPr>
        <w:footnoteReference w:id="21"/>
      </w:r>
      <w:r w:rsidR="007135D8" w:rsidRPr="00EC02CA">
        <w:t xml:space="preserve"> However, </w:t>
      </w:r>
      <w:r w:rsidR="009E2937" w:rsidRPr="00EC02CA">
        <w:t xml:space="preserve">the Royal Commission </w:t>
      </w:r>
      <w:r w:rsidR="007135D8" w:rsidRPr="00EC02CA">
        <w:t xml:space="preserve">recommended that </w:t>
      </w:r>
      <w:r w:rsidR="003B149D" w:rsidRPr="00EC02CA">
        <w:t>there be further research conducted</w:t>
      </w:r>
      <w:r w:rsidR="00170B53" w:rsidRPr="00EC02CA">
        <w:t xml:space="preserve"> </w:t>
      </w:r>
      <w:r w:rsidR="008A7C56" w:rsidRPr="00EC02CA">
        <w:t>and aligned with its recommendation,</w:t>
      </w:r>
      <w:r w:rsidR="008A7C56" w:rsidRPr="00EC02CA">
        <w:rPr>
          <w:rStyle w:val="FootnoteReference"/>
        </w:rPr>
        <w:footnoteReference w:id="22"/>
      </w:r>
      <w:r w:rsidR="008A7C56" w:rsidRPr="00EC02CA">
        <w:t xml:space="preserve"> the Australian Child Maltreatment Study</w:t>
      </w:r>
      <w:r w:rsidR="00BA3693" w:rsidRPr="00EC02CA">
        <w:t xml:space="preserve"> (ACMS)</w:t>
      </w:r>
      <w:r w:rsidR="009E2937" w:rsidRPr="00EC02CA">
        <w:t xml:space="preserve">, </w:t>
      </w:r>
      <w:r w:rsidR="008A7C56" w:rsidRPr="00EC02CA">
        <w:t>released in 2024</w:t>
      </w:r>
      <w:r w:rsidR="009E2937" w:rsidRPr="00EC02CA">
        <w:t>,</w:t>
      </w:r>
      <w:r w:rsidR="008A7C56" w:rsidRPr="00EC02CA">
        <w:t xml:space="preserve"> </w:t>
      </w:r>
      <w:r w:rsidR="009E2937" w:rsidRPr="00EC02CA">
        <w:t>analysed</w:t>
      </w:r>
      <w:r w:rsidR="008A7C56" w:rsidRPr="00EC02CA">
        <w:t xml:space="preserve"> empirical data to provide the first nationally representative prevalence estimates of five types of child maltreatment in Australia</w:t>
      </w:r>
      <w:r w:rsidR="009E2937" w:rsidRPr="00EC02CA">
        <w:t xml:space="preserve">: </w:t>
      </w:r>
      <w:r w:rsidR="008A7C56" w:rsidRPr="00EC02CA">
        <w:t>physical abuse, sexual abuse, emotional abuse, neglect, and exposure to domestic violence.</w:t>
      </w:r>
      <w:r w:rsidR="008A7C56" w:rsidRPr="00EC02CA">
        <w:rPr>
          <w:rStyle w:val="FootnoteReference"/>
        </w:rPr>
        <w:footnoteReference w:id="23"/>
      </w:r>
      <w:r w:rsidR="008A7C56" w:rsidRPr="00EC02CA">
        <w:t xml:space="preserve"> </w:t>
      </w:r>
    </w:p>
    <w:p w14:paraId="2078A30B" w14:textId="2BDAFF4A" w:rsidR="006A007F" w:rsidRPr="00EC02CA" w:rsidRDefault="00720EAF" w:rsidP="002F0007">
      <w:pPr>
        <w:pStyle w:val="NormalNumberedTextTLRI"/>
      </w:pPr>
      <w:r w:rsidRPr="00EC02CA">
        <w:t>The ACMS</w:t>
      </w:r>
      <w:r w:rsidR="008A7C56" w:rsidRPr="00EC02CA">
        <w:t xml:space="preserve"> found that 28.5% of participants had experienced sexual abuse </w:t>
      </w:r>
      <w:r w:rsidR="009E2937" w:rsidRPr="00EC02CA">
        <w:t xml:space="preserve">(defined to include any sexual act inflicted on a child) </w:t>
      </w:r>
      <w:r w:rsidR="008A7C56" w:rsidRPr="00EC02CA">
        <w:t>before the age of 18</w:t>
      </w:r>
      <w:r w:rsidR="008A7C56" w:rsidRPr="00EC02CA">
        <w:rPr>
          <w:rStyle w:val="FootnoteReference"/>
        </w:rPr>
        <w:footnoteReference w:id="24"/>
      </w:r>
      <w:r w:rsidR="008A7C56" w:rsidRPr="00EC02CA">
        <w:t xml:space="preserve"> </w:t>
      </w:r>
      <w:r w:rsidR="00BC5B79" w:rsidRPr="00EC02CA">
        <w:t xml:space="preserve">and </w:t>
      </w:r>
      <w:r w:rsidR="00D5629F" w:rsidRPr="00EC02CA">
        <w:t>7.6</w:t>
      </w:r>
      <w:r w:rsidR="00247DA5" w:rsidRPr="00EC02CA">
        <w:t>% ha</w:t>
      </w:r>
      <w:r w:rsidR="00F119C2" w:rsidRPr="00EC02CA">
        <w:t xml:space="preserve">d </w:t>
      </w:r>
      <w:r w:rsidR="00A40C7F" w:rsidRPr="00EC02CA">
        <w:t>experienced</w:t>
      </w:r>
      <w:r w:rsidR="00D5629F" w:rsidRPr="00EC02CA">
        <w:t xml:space="preserve"> </w:t>
      </w:r>
      <w:r w:rsidR="00A40C7F" w:rsidRPr="00EC02CA">
        <w:t>non</w:t>
      </w:r>
      <w:r w:rsidR="009E2937" w:rsidRPr="00EC02CA">
        <w:t>-</w:t>
      </w:r>
      <w:r w:rsidR="00A40C7F" w:rsidRPr="00EC02CA">
        <w:t>consensual sharing of a sexual image before the age of 18.</w:t>
      </w:r>
      <w:bookmarkStart w:id="45" w:name="_Ref217903522"/>
      <w:r w:rsidR="002D4BCD" w:rsidRPr="00EC02CA">
        <w:rPr>
          <w:rStyle w:val="FootnoteReference"/>
        </w:rPr>
        <w:footnoteReference w:id="25"/>
      </w:r>
      <w:bookmarkEnd w:id="45"/>
      <w:r w:rsidR="00CD17B7" w:rsidRPr="00EC02CA">
        <w:t xml:space="preserve"> </w:t>
      </w:r>
      <w:r w:rsidR="008A7C56" w:rsidRPr="00EC02CA">
        <w:t>Describing the findings on child sexual abuse as ‘harrowing’,</w:t>
      </w:r>
      <w:r w:rsidR="008A7C56" w:rsidRPr="00EC02CA">
        <w:rPr>
          <w:rStyle w:val="FootnoteReference"/>
        </w:rPr>
        <w:footnoteReference w:id="26"/>
      </w:r>
      <w:r w:rsidR="008A7C56" w:rsidRPr="00EC02CA">
        <w:t xml:space="preserve"> the study examined the prevalence of child sexual abuse </w:t>
      </w:r>
      <w:r w:rsidR="00AD2CAB" w:rsidRPr="00EC02CA">
        <w:t xml:space="preserve">committed </w:t>
      </w:r>
      <w:r w:rsidR="008A7C56" w:rsidRPr="00EC02CA">
        <w:t xml:space="preserve">by different classes of </w:t>
      </w:r>
      <w:r w:rsidR="00AD2CAB" w:rsidRPr="00EC02CA">
        <w:t>people</w:t>
      </w:r>
      <w:r w:rsidR="008A7C56" w:rsidRPr="00EC02CA">
        <w:t xml:space="preserve"> and found that the national prevalence of </w:t>
      </w:r>
      <w:r w:rsidR="00AD2CAB" w:rsidRPr="00EC02CA">
        <w:t>reported</w:t>
      </w:r>
      <w:r w:rsidR="008A7C56" w:rsidRPr="00EC02CA">
        <w:t xml:space="preserve"> child sexual abuse by adolescent </w:t>
      </w:r>
      <w:r w:rsidR="00AD2CAB" w:rsidRPr="00EC02CA">
        <w:t>offender</w:t>
      </w:r>
      <w:r w:rsidR="009E2937" w:rsidRPr="00EC02CA">
        <w:t>s</w:t>
      </w:r>
      <w:r w:rsidR="008A7C56" w:rsidRPr="00EC02CA">
        <w:t xml:space="preserve"> was 13.7% and by adult </w:t>
      </w:r>
      <w:r w:rsidR="009E2937" w:rsidRPr="00EC02CA">
        <w:t xml:space="preserve">offenders </w:t>
      </w:r>
      <w:r w:rsidR="008A7C56" w:rsidRPr="00EC02CA">
        <w:t>was 18.5%.</w:t>
      </w:r>
      <w:r w:rsidR="008A7C56" w:rsidRPr="00EC02CA">
        <w:rPr>
          <w:rStyle w:val="FootnoteReference"/>
        </w:rPr>
        <w:footnoteReference w:id="27"/>
      </w:r>
      <w:r w:rsidR="008A7C56" w:rsidRPr="00EC02CA">
        <w:t xml:space="preserve"> The study also found that ‘sexual abuse by adolescent </w:t>
      </w:r>
      <w:r w:rsidR="005F43B4" w:rsidRPr="00EC02CA">
        <w:t>offenders</w:t>
      </w:r>
      <w:r w:rsidR="008A7C56" w:rsidRPr="00EC02CA">
        <w:rPr>
          <w:color w:val="215E99" w:themeColor="text2" w:themeTint="BF"/>
        </w:rPr>
        <w:t xml:space="preserve"> </w:t>
      </w:r>
      <w:r w:rsidR="008A7C56" w:rsidRPr="00EC02CA">
        <w:t>both in and out of relationships, typically by males, has long been common in Australia</w:t>
      </w:r>
      <w:r w:rsidR="009E2937" w:rsidRPr="00EC02CA">
        <w:t>’</w:t>
      </w:r>
      <w:r w:rsidR="008A7C56" w:rsidRPr="00EC02CA">
        <w:rPr>
          <w:rStyle w:val="FootnoteReference"/>
        </w:rPr>
        <w:footnoteReference w:id="28"/>
      </w:r>
      <w:r w:rsidR="008A7C56" w:rsidRPr="00EC02CA">
        <w:t xml:space="preserve"> and reported that there had been a ‘substantial increase’ in the prevalence of child sexual abuse by other adolescents.</w:t>
      </w:r>
      <w:r w:rsidR="008A7C56" w:rsidRPr="00EC02CA">
        <w:rPr>
          <w:rStyle w:val="FootnoteReference"/>
        </w:rPr>
        <w:footnoteReference w:id="29"/>
      </w:r>
      <w:r w:rsidR="008A7C56" w:rsidRPr="00EC02CA">
        <w:t xml:space="preserve"> It was stated that ‘in contemporary Australian society, </w:t>
      </w:r>
      <w:r w:rsidR="009E63E8" w:rsidRPr="00EC02CA">
        <w:t xml:space="preserve">[child sexual abuse] </w:t>
      </w:r>
      <w:r w:rsidR="008A7C56" w:rsidRPr="00EC02CA">
        <w:t>by known adolescents in non-romantic relationships is by far the single most common category of offending’.</w:t>
      </w:r>
      <w:r w:rsidR="008A7C56" w:rsidRPr="00EC02CA">
        <w:rPr>
          <w:rStyle w:val="FootnoteReference"/>
        </w:rPr>
        <w:footnoteReference w:id="30"/>
      </w:r>
      <w:r w:rsidR="008A7C56" w:rsidRPr="00EC02CA">
        <w:t xml:space="preserve"> </w:t>
      </w:r>
      <w:r w:rsidR="00500764" w:rsidRPr="00EC02CA">
        <w:t>In relation to online child</w:t>
      </w:r>
      <w:r w:rsidR="00C03084" w:rsidRPr="00EC02CA">
        <w:t xml:space="preserve"> </w:t>
      </w:r>
      <w:r w:rsidR="00EE40F1" w:rsidRPr="00EC02CA">
        <w:t xml:space="preserve">sexual victimisation, it found that </w:t>
      </w:r>
      <w:r w:rsidR="009D6D5F" w:rsidRPr="00EC02CA">
        <w:t>non</w:t>
      </w:r>
      <w:r w:rsidR="009E2937" w:rsidRPr="00EC02CA">
        <w:t>-</w:t>
      </w:r>
      <w:r w:rsidR="009D6D5F" w:rsidRPr="00EC02CA">
        <w:t xml:space="preserve">consensual sharing of images was most </w:t>
      </w:r>
      <w:r w:rsidR="001119C1" w:rsidRPr="00EC02CA">
        <w:t>often</w:t>
      </w:r>
      <w:r w:rsidR="009D6D5F" w:rsidRPr="00EC02CA">
        <w:t xml:space="preserve"> inflicted by other adolescents (in </w:t>
      </w:r>
      <w:r w:rsidR="00EF6329" w:rsidRPr="00EC02CA">
        <w:t>80</w:t>
      </w:r>
      <w:r w:rsidR="001119C1" w:rsidRPr="00EC02CA">
        <w:t>%</w:t>
      </w:r>
      <w:r w:rsidR="00EB0D02" w:rsidRPr="00EC02CA">
        <w:t xml:space="preserve"> of </w:t>
      </w:r>
      <w:r w:rsidR="009E2937" w:rsidRPr="00EC02CA">
        <w:t xml:space="preserve">such </w:t>
      </w:r>
      <w:r w:rsidR="003D6871" w:rsidRPr="00EC02CA">
        <w:t>cases</w:t>
      </w:r>
      <w:r w:rsidR="001119C1" w:rsidRPr="00EC02CA">
        <w:t>).</w:t>
      </w:r>
      <w:r w:rsidR="001119C1" w:rsidRPr="00EC02CA">
        <w:rPr>
          <w:rStyle w:val="FootnoteReference"/>
        </w:rPr>
        <w:footnoteReference w:id="31"/>
      </w:r>
      <w:r w:rsidR="001119C1" w:rsidRPr="00EC02CA">
        <w:t xml:space="preserve"> </w:t>
      </w:r>
      <w:r w:rsidR="008A7C56" w:rsidRPr="00EC02CA">
        <w:t xml:space="preserve">The findings of the study are considered in more detail at </w:t>
      </w:r>
      <w:r w:rsidR="0063235A" w:rsidRPr="00EC02CA">
        <w:t>[</w:t>
      </w:r>
      <w:r w:rsidR="004A201D" w:rsidRPr="00EC02CA">
        <w:fldChar w:fldCharType="begin"/>
      </w:r>
      <w:r w:rsidR="004A201D" w:rsidRPr="00EC02CA">
        <w:instrText xml:space="preserve"> REF _Ref217903249 \r \h </w:instrText>
      </w:r>
      <w:r w:rsidR="004A201D" w:rsidRPr="00EC02CA">
        <w:fldChar w:fldCharType="separate"/>
      </w:r>
      <w:r w:rsidR="007D7830">
        <w:t>2.4</w:t>
      </w:r>
      <w:r w:rsidR="004A201D" w:rsidRPr="00EC02CA">
        <w:fldChar w:fldCharType="end"/>
      </w:r>
      <w:r w:rsidR="0063235A" w:rsidRPr="00EC02CA">
        <w:t>]</w:t>
      </w:r>
      <w:r w:rsidR="008A7C56" w:rsidRPr="00EC02CA">
        <w:t>.</w:t>
      </w:r>
    </w:p>
    <w:p w14:paraId="0EAB4FAF" w14:textId="2CB73EE1" w:rsidR="006A5F10" w:rsidRPr="00EC02CA" w:rsidRDefault="00F42CF0" w:rsidP="002F0007">
      <w:pPr>
        <w:pStyle w:val="NormalNumberedTextTLRI"/>
      </w:pPr>
      <w:r w:rsidRPr="00EC02CA">
        <w:t xml:space="preserve">At the </w:t>
      </w:r>
      <w:r w:rsidR="00FC5798" w:rsidRPr="00EC02CA">
        <w:t>state</w:t>
      </w:r>
      <w:r w:rsidR="000A520D" w:rsidRPr="00EC02CA">
        <w:t xml:space="preserve"> and federal</w:t>
      </w:r>
      <w:r w:rsidR="00FC5798" w:rsidRPr="00EC02CA">
        <w:t xml:space="preserve"> level there are a range of</w:t>
      </w:r>
      <w:r w:rsidRPr="00EC02CA">
        <w:t xml:space="preserve"> </w:t>
      </w:r>
      <w:r w:rsidR="00AA2451" w:rsidRPr="00EC02CA">
        <w:t xml:space="preserve">government initiatives </w:t>
      </w:r>
      <w:r w:rsidR="00BD3998" w:rsidRPr="00EC02CA">
        <w:t>relevant to respon</w:t>
      </w:r>
      <w:r w:rsidR="00804743" w:rsidRPr="00EC02CA">
        <w:t>ding to</w:t>
      </w:r>
      <w:r w:rsidR="00BD3998" w:rsidRPr="00EC02CA">
        <w:t xml:space="preserve"> harmful sexual behaviour (including </w:t>
      </w:r>
      <w:r w:rsidR="00EB5DE2" w:rsidRPr="00EC02CA">
        <w:t>sexual offending by young people) in</w:t>
      </w:r>
      <w:r w:rsidR="006A5F10" w:rsidRPr="00EC02CA">
        <w:t xml:space="preserve"> Tasmania includ</w:t>
      </w:r>
      <w:r w:rsidR="00AA2451" w:rsidRPr="00EC02CA">
        <w:t>ing</w:t>
      </w:r>
      <w:r w:rsidR="006A5F10" w:rsidRPr="00EC02CA">
        <w:t>:</w:t>
      </w:r>
    </w:p>
    <w:p w14:paraId="6F1F9C07" w14:textId="4C5F2915" w:rsidR="007A482D" w:rsidRPr="00EC02CA" w:rsidRDefault="007A482D" w:rsidP="007A482D">
      <w:pPr>
        <w:pStyle w:val="DotPointTLRI"/>
        <w:rPr>
          <w:i/>
          <w:iCs/>
        </w:rPr>
      </w:pPr>
      <w:r w:rsidRPr="00EC02CA">
        <w:rPr>
          <w:i/>
          <w:iCs/>
        </w:rPr>
        <w:t xml:space="preserve">Tasmania’s </w:t>
      </w:r>
      <w:r w:rsidR="00387100" w:rsidRPr="00EC02CA">
        <w:rPr>
          <w:i/>
          <w:iCs/>
        </w:rPr>
        <w:t>Third</w:t>
      </w:r>
      <w:r w:rsidRPr="00EC02CA">
        <w:rPr>
          <w:i/>
          <w:iCs/>
        </w:rPr>
        <w:t xml:space="preserve"> Family and Sexual Violence </w:t>
      </w:r>
      <w:r w:rsidR="00387100" w:rsidRPr="00EC02CA">
        <w:rPr>
          <w:i/>
          <w:iCs/>
        </w:rPr>
        <w:t>Action Plan</w:t>
      </w:r>
      <w:r w:rsidR="00D175AA" w:rsidRPr="00EC02CA">
        <w:rPr>
          <w:i/>
          <w:iCs/>
        </w:rPr>
        <w:t xml:space="preserve"> </w:t>
      </w:r>
      <w:r w:rsidRPr="00EC02CA">
        <w:rPr>
          <w:i/>
          <w:iCs/>
        </w:rPr>
        <w:t>20</w:t>
      </w:r>
      <w:r w:rsidR="00A83667" w:rsidRPr="00EC02CA">
        <w:rPr>
          <w:i/>
          <w:iCs/>
        </w:rPr>
        <w:t>22</w:t>
      </w:r>
      <w:r w:rsidRPr="00EC02CA">
        <w:rPr>
          <w:i/>
          <w:iCs/>
        </w:rPr>
        <w:t>–202</w:t>
      </w:r>
      <w:r w:rsidR="00A83667" w:rsidRPr="00EC02CA">
        <w:rPr>
          <w:i/>
          <w:iCs/>
        </w:rPr>
        <w:t>7</w:t>
      </w:r>
      <w:r w:rsidR="00D175AA" w:rsidRPr="00EC02CA">
        <w:rPr>
          <w:i/>
          <w:iCs/>
        </w:rPr>
        <w:t>: Survivors at the Centre</w:t>
      </w:r>
      <w:r w:rsidR="004F6A4F" w:rsidRPr="00EC02CA">
        <w:t>,</w:t>
      </w:r>
      <w:r w:rsidR="009F5620" w:rsidRPr="00EC02CA">
        <w:rPr>
          <w:rStyle w:val="FootnoteReference"/>
        </w:rPr>
        <w:footnoteReference w:id="32"/>
      </w:r>
      <w:r w:rsidRPr="00EC02CA">
        <w:t xml:space="preserve"> </w:t>
      </w:r>
      <w:r w:rsidR="00465C2E" w:rsidRPr="00EC02CA">
        <w:t>which includes</w:t>
      </w:r>
      <w:r w:rsidR="00141704" w:rsidRPr="00EC02CA">
        <w:t xml:space="preserve"> prevention strategies </w:t>
      </w:r>
      <w:r w:rsidR="00804743" w:rsidRPr="00EC02CA">
        <w:t xml:space="preserve">such as </w:t>
      </w:r>
      <w:r w:rsidR="00141704" w:rsidRPr="00EC02CA">
        <w:t xml:space="preserve">embedding respectful relationships education in schools and delivering a program </w:t>
      </w:r>
      <w:r w:rsidR="00804743" w:rsidRPr="00EC02CA">
        <w:t xml:space="preserve">for </w:t>
      </w:r>
      <w:r w:rsidR="00141704" w:rsidRPr="00EC02CA">
        <w:t xml:space="preserve">children and young people </w:t>
      </w:r>
      <w:r w:rsidR="00844542" w:rsidRPr="00EC02CA">
        <w:t>targeted at harmful sexual behaviours</w:t>
      </w:r>
      <w:r w:rsidR="00465C2E" w:rsidRPr="00EC02CA">
        <w:t>.</w:t>
      </w:r>
      <w:r w:rsidR="00465C2E" w:rsidRPr="00EC02CA">
        <w:rPr>
          <w:rStyle w:val="FootnoteReference"/>
        </w:rPr>
        <w:footnoteReference w:id="33"/>
      </w:r>
      <w:r w:rsidR="00844542" w:rsidRPr="00EC02CA">
        <w:t xml:space="preserve"> </w:t>
      </w:r>
    </w:p>
    <w:p w14:paraId="4CDA03B8" w14:textId="31B02F8D" w:rsidR="00AC3FAF" w:rsidRPr="00EC02CA" w:rsidRDefault="00C10C9C" w:rsidP="007A482D">
      <w:pPr>
        <w:pStyle w:val="DotPointTLRI"/>
        <w:rPr>
          <w:i/>
          <w:iCs/>
        </w:rPr>
      </w:pPr>
      <w:r w:rsidRPr="00EC02CA">
        <w:rPr>
          <w:i/>
          <w:iCs/>
        </w:rPr>
        <w:t>Safe. Secure</w:t>
      </w:r>
      <w:r w:rsidR="00292E55" w:rsidRPr="00EC02CA">
        <w:rPr>
          <w:i/>
          <w:iCs/>
        </w:rPr>
        <w:t>. Supported. Our Safeguarding Framework</w:t>
      </w:r>
      <w:r w:rsidR="007333BF" w:rsidRPr="00EC02CA">
        <w:t>,</w:t>
      </w:r>
      <w:r w:rsidR="007333BF" w:rsidRPr="00EC02CA">
        <w:rPr>
          <w:rStyle w:val="FootnoteReference"/>
        </w:rPr>
        <w:footnoteReference w:id="34"/>
      </w:r>
      <w:r w:rsidR="00D3699F" w:rsidRPr="00EC02CA">
        <w:t xml:space="preserve"> which addresses </w:t>
      </w:r>
      <w:r w:rsidR="00D4206B" w:rsidRPr="00EC02CA">
        <w:t>harmful sexual behaviour</w:t>
      </w:r>
      <w:r w:rsidR="00804743" w:rsidRPr="00EC02CA">
        <w:t xml:space="preserve"> through</w:t>
      </w:r>
      <w:r w:rsidR="0038281D" w:rsidRPr="00EC02CA">
        <w:t xml:space="preserve"> </w:t>
      </w:r>
      <w:r w:rsidR="005D7CC2" w:rsidRPr="00EC02CA">
        <w:t>reporting</w:t>
      </w:r>
      <w:r w:rsidR="0038281D" w:rsidRPr="00EC02CA">
        <w:t xml:space="preserve"> and record</w:t>
      </w:r>
      <w:r w:rsidR="00804743" w:rsidRPr="00EC02CA">
        <w:t>-</w:t>
      </w:r>
      <w:r w:rsidR="0038281D" w:rsidRPr="00EC02CA">
        <w:t>keeping obligations</w:t>
      </w:r>
      <w:r w:rsidR="005D7CC2" w:rsidRPr="00EC02CA">
        <w:t>, staff awareness</w:t>
      </w:r>
      <w:r w:rsidR="000F7367" w:rsidRPr="00EC02CA">
        <w:t xml:space="preserve"> and training</w:t>
      </w:r>
      <w:r w:rsidR="00A344A5" w:rsidRPr="00EC02CA">
        <w:t xml:space="preserve">, and having in place </w:t>
      </w:r>
      <w:r w:rsidR="006063EE" w:rsidRPr="00EC02CA">
        <w:t>responses</w:t>
      </w:r>
      <w:r w:rsidR="003B78F6" w:rsidRPr="00EC02CA">
        <w:t xml:space="preserve"> to harmful sexual behaviour through </w:t>
      </w:r>
      <w:r w:rsidR="006063EE" w:rsidRPr="00EC02CA">
        <w:t>trauma</w:t>
      </w:r>
      <w:r w:rsidR="00256232" w:rsidRPr="00EC02CA">
        <w:t>-</w:t>
      </w:r>
      <w:r w:rsidR="006063EE" w:rsidRPr="00EC02CA">
        <w:t>informed</w:t>
      </w:r>
      <w:r w:rsidR="003B78F6" w:rsidRPr="00EC02CA">
        <w:t xml:space="preserve"> </w:t>
      </w:r>
      <w:r w:rsidR="006063EE" w:rsidRPr="00EC02CA">
        <w:t>practice</w:t>
      </w:r>
      <w:r w:rsidR="003B78F6" w:rsidRPr="00EC02CA">
        <w:t>.</w:t>
      </w:r>
      <w:r w:rsidR="003B78F6" w:rsidRPr="00EC02CA">
        <w:rPr>
          <w:rStyle w:val="FootnoteReference"/>
        </w:rPr>
        <w:footnoteReference w:id="35"/>
      </w:r>
    </w:p>
    <w:p w14:paraId="003AC1A5" w14:textId="09A59622" w:rsidR="00172F28" w:rsidRPr="00EC02CA" w:rsidRDefault="00531581" w:rsidP="00481B93">
      <w:pPr>
        <w:pStyle w:val="DotPointTLRI"/>
      </w:pPr>
      <w:r w:rsidRPr="00EC02CA">
        <w:rPr>
          <w:i/>
          <w:iCs/>
        </w:rPr>
        <w:t xml:space="preserve">Youth Justice </w:t>
      </w:r>
      <w:r w:rsidR="00E5367C" w:rsidRPr="00EC02CA">
        <w:rPr>
          <w:i/>
          <w:iCs/>
        </w:rPr>
        <w:t>Blueprint</w:t>
      </w:r>
      <w:r w:rsidRPr="00EC02CA">
        <w:rPr>
          <w:i/>
          <w:iCs/>
        </w:rPr>
        <w:t xml:space="preserve"> </w:t>
      </w:r>
      <w:r w:rsidR="00E5367C" w:rsidRPr="00EC02CA">
        <w:rPr>
          <w:i/>
          <w:iCs/>
        </w:rPr>
        <w:t>2024</w:t>
      </w:r>
      <w:r w:rsidR="00005B01" w:rsidRPr="00EC02CA">
        <w:rPr>
          <w:i/>
          <w:iCs/>
        </w:rPr>
        <w:t>–</w:t>
      </w:r>
      <w:r w:rsidR="00E5367C" w:rsidRPr="00EC02CA">
        <w:rPr>
          <w:i/>
          <w:iCs/>
        </w:rPr>
        <w:t>2034</w:t>
      </w:r>
      <w:r w:rsidR="003E4F99" w:rsidRPr="00EC02CA">
        <w:t>,</w:t>
      </w:r>
      <w:bookmarkStart w:id="46" w:name="_Ref217907385"/>
      <w:r w:rsidR="003E4F99" w:rsidRPr="00EC02CA">
        <w:rPr>
          <w:rStyle w:val="FootnoteReference"/>
        </w:rPr>
        <w:footnoteReference w:id="36"/>
      </w:r>
      <w:bookmarkEnd w:id="46"/>
      <w:r w:rsidR="00A72511" w:rsidRPr="00EC02CA">
        <w:t xml:space="preserve"> </w:t>
      </w:r>
      <w:r w:rsidR="00135CE2" w:rsidRPr="00EC02CA">
        <w:t xml:space="preserve">which, </w:t>
      </w:r>
      <w:r w:rsidR="00A72511" w:rsidRPr="00EC02CA">
        <w:t xml:space="preserve">reflecting the recommendations of the Commission of Inquiry, </w:t>
      </w:r>
      <w:r w:rsidR="008771A2" w:rsidRPr="00EC02CA">
        <w:t>contains a strateg</w:t>
      </w:r>
      <w:r w:rsidR="00814B11" w:rsidRPr="00EC02CA">
        <w:t>y establishing a therapeutically based criminal justice response for children and young people.</w:t>
      </w:r>
      <w:r w:rsidR="00814B11" w:rsidRPr="00EC02CA">
        <w:rPr>
          <w:rStyle w:val="FootnoteReference"/>
        </w:rPr>
        <w:footnoteReference w:id="37"/>
      </w:r>
      <w:r w:rsidR="004F724A" w:rsidRPr="00EC02CA">
        <w:t xml:space="preserve"> Speci</w:t>
      </w:r>
      <w:r w:rsidR="00364497" w:rsidRPr="00EC02CA">
        <w:t>fic</w:t>
      </w:r>
      <w:r w:rsidR="004F724A" w:rsidRPr="00EC02CA">
        <w:t>ally</w:t>
      </w:r>
      <w:r w:rsidR="00804743" w:rsidRPr="00EC02CA">
        <w:t>,</w:t>
      </w:r>
      <w:r w:rsidR="004F724A" w:rsidRPr="00EC02CA">
        <w:t xml:space="preserve"> in the context of harmful sexual behaviour, </w:t>
      </w:r>
      <w:r w:rsidR="009277D5" w:rsidRPr="00EC02CA">
        <w:t xml:space="preserve">the Blueprint </w:t>
      </w:r>
      <w:r w:rsidR="006C244C" w:rsidRPr="00EC02CA">
        <w:t>identifie</w:t>
      </w:r>
      <w:r w:rsidR="00C42429" w:rsidRPr="00EC02CA">
        <w:t xml:space="preserve">s the need for </w:t>
      </w:r>
      <w:r w:rsidR="00170F32" w:rsidRPr="00EC02CA">
        <w:t>‘</w:t>
      </w:r>
      <w:r w:rsidR="006C244C" w:rsidRPr="00EC02CA">
        <w:t>specialist</w:t>
      </w:r>
      <w:r w:rsidR="00170F32" w:rsidRPr="00EC02CA">
        <w:t>, yout</w:t>
      </w:r>
      <w:r w:rsidR="006C244C" w:rsidRPr="00EC02CA">
        <w:t xml:space="preserve">h-offence specific therapeutic </w:t>
      </w:r>
      <w:r w:rsidR="009B6C0E" w:rsidRPr="00EC02CA">
        <w:t>programs</w:t>
      </w:r>
      <w:r w:rsidR="00DA32FC" w:rsidRPr="00EC02CA">
        <w:t>’</w:t>
      </w:r>
      <w:r w:rsidR="00492834" w:rsidRPr="00EC02CA">
        <w:t>.</w:t>
      </w:r>
      <w:bookmarkStart w:id="47" w:name="_Ref217903737"/>
      <w:r w:rsidR="006C244C" w:rsidRPr="00EC02CA">
        <w:rPr>
          <w:rStyle w:val="FootnoteReference"/>
        </w:rPr>
        <w:footnoteReference w:id="38"/>
      </w:r>
      <w:bookmarkEnd w:id="47"/>
      <w:r w:rsidR="00392802" w:rsidRPr="00EC02CA">
        <w:t xml:space="preserve"> As part of these reforms, the Tasmanian </w:t>
      </w:r>
      <w:r w:rsidR="008058FC" w:rsidRPr="00EC02CA">
        <w:t>Government</w:t>
      </w:r>
      <w:r w:rsidR="00392802" w:rsidRPr="00EC02CA">
        <w:t xml:space="preserve"> has </w:t>
      </w:r>
      <w:r w:rsidR="00BF0A7E" w:rsidRPr="00EC02CA">
        <w:t>developed a Youth Justice Diversionary Services</w:t>
      </w:r>
      <w:r w:rsidR="003D4793" w:rsidRPr="00EC02CA">
        <w:t xml:space="preserve"> F</w:t>
      </w:r>
      <w:r w:rsidR="00BF0A7E" w:rsidRPr="00EC02CA">
        <w:t>ramework</w:t>
      </w:r>
      <w:r w:rsidR="000F4C1C" w:rsidRPr="00EC02CA">
        <w:t xml:space="preserve"> </w:t>
      </w:r>
      <w:r w:rsidR="00AA60B1" w:rsidRPr="00EC02CA">
        <w:t xml:space="preserve">and a Youth Justice Model of Care </w:t>
      </w:r>
      <w:r w:rsidR="000F4C1C" w:rsidRPr="00EC02CA">
        <w:t xml:space="preserve">that </w:t>
      </w:r>
      <w:r w:rsidR="00DB468E" w:rsidRPr="00EC02CA">
        <w:t xml:space="preserve">reflect a number of </w:t>
      </w:r>
      <w:r w:rsidR="00804743" w:rsidRPr="00EC02CA">
        <w:t>g</w:t>
      </w:r>
      <w:r w:rsidR="00481B93" w:rsidRPr="00EC02CA">
        <w:t>overnment</w:t>
      </w:r>
      <w:r w:rsidR="00DB468E" w:rsidRPr="00EC02CA">
        <w:t xml:space="preserve"> commitments relating to diversion. Harmful </w:t>
      </w:r>
      <w:r w:rsidR="00804743" w:rsidRPr="00EC02CA">
        <w:t>s</w:t>
      </w:r>
      <w:r w:rsidR="00481B93" w:rsidRPr="00EC02CA">
        <w:t>exual</w:t>
      </w:r>
      <w:r w:rsidR="00DB468E" w:rsidRPr="00EC02CA">
        <w:t xml:space="preserve"> </w:t>
      </w:r>
      <w:r w:rsidR="00804743" w:rsidRPr="00EC02CA">
        <w:t>b</w:t>
      </w:r>
      <w:r w:rsidR="00481B93" w:rsidRPr="00EC02CA">
        <w:t>ehaviour</w:t>
      </w:r>
      <w:r w:rsidR="00DB468E" w:rsidRPr="00EC02CA">
        <w:t xml:space="preserve"> is identified as </w:t>
      </w:r>
      <w:r w:rsidR="00481B93" w:rsidRPr="00EC02CA">
        <w:t>a priority area for diversion in the Framework.</w:t>
      </w:r>
      <w:bookmarkStart w:id="48" w:name="_Ref217905264"/>
      <w:r w:rsidR="00C84FDC" w:rsidRPr="00EC02CA">
        <w:rPr>
          <w:rStyle w:val="FootnoteReference"/>
        </w:rPr>
        <w:footnoteReference w:id="39"/>
      </w:r>
      <w:bookmarkEnd w:id="48"/>
    </w:p>
    <w:p w14:paraId="08819E02" w14:textId="524992E4" w:rsidR="003E3BE4" w:rsidRPr="00EC02CA" w:rsidRDefault="00537DE8" w:rsidP="00F94767">
      <w:pPr>
        <w:pStyle w:val="DotPointTLRI"/>
        <w:rPr>
          <w:i/>
          <w:iCs/>
        </w:rPr>
      </w:pPr>
      <w:bookmarkStart w:id="49" w:name="_Hlk197440742"/>
      <w:r w:rsidRPr="00EC02CA">
        <w:rPr>
          <w:i/>
          <w:iCs/>
        </w:rPr>
        <w:t xml:space="preserve">National Strategy to Prevent and Respond to </w:t>
      </w:r>
      <w:r w:rsidR="00A54BBF" w:rsidRPr="00EC02CA">
        <w:rPr>
          <w:i/>
          <w:iCs/>
        </w:rPr>
        <w:t>Child</w:t>
      </w:r>
      <w:r w:rsidRPr="00EC02CA">
        <w:rPr>
          <w:i/>
          <w:iCs/>
        </w:rPr>
        <w:t xml:space="preserve"> Sexual Abuse 2021–2030: An </w:t>
      </w:r>
      <w:r w:rsidR="00A54BBF" w:rsidRPr="00EC02CA">
        <w:rPr>
          <w:i/>
          <w:iCs/>
        </w:rPr>
        <w:t>Initiative of the Australian, state and territory governments</w:t>
      </w:r>
      <w:bookmarkEnd w:id="49"/>
      <w:r w:rsidR="00DF0CDF" w:rsidRPr="00EC02CA">
        <w:t>,</w:t>
      </w:r>
      <w:r w:rsidR="00DF0CDF" w:rsidRPr="00EC02CA">
        <w:rPr>
          <w:rStyle w:val="FootnoteReference"/>
        </w:rPr>
        <w:footnoteReference w:id="40"/>
      </w:r>
      <w:r w:rsidR="00D31B5E" w:rsidRPr="00EC02CA">
        <w:t xml:space="preserve"> which </w:t>
      </w:r>
      <w:r w:rsidR="003324B7" w:rsidRPr="00EC02CA">
        <w:t>identified</w:t>
      </w:r>
      <w:r w:rsidR="00D31B5E" w:rsidRPr="00EC02CA">
        <w:t xml:space="preserve"> as a theme ‘</w:t>
      </w:r>
      <w:r w:rsidR="003324B7" w:rsidRPr="00EC02CA">
        <w:t>Enhancing</w:t>
      </w:r>
      <w:r w:rsidR="00D31B5E" w:rsidRPr="00EC02CA">
        <w:t xml:space="preserve"> National </w:t>
      </w:r>
      <w:r w:rsidR="003324B7" w:rsidRPr="00EC02CA">
        <w:t>Approaches</w:t>
      </w:r>
      <w:r w:rsidR="00D31B5E" w:rsidRPr="00EC02CA">
        <w:t xml:space="preserve"> to Children with </w:t>
      </w:r>
      <w:r w:rsidR="003324B7" w:rsidRPr="00EC02CA">
        <w:t>Harmful</w:t>
      </w:r>
      <w:r w:rsidR="00D31B5E" w:rsidRPr="00EC02CA">
        <w:t xml:space="preserve"> Sexual </w:t>
      </w:r>
      <w:r w:rsidR="003324B7" w:rsidRPr="00EC02CA">
        <w:t>Behaviour</w:t>
      </w:r>
      <w:r w:rsidR="00D31B5E" w:rsidRPr="00EC02CA">
        <w:t>’</w:t>
      </w:r>
      <w:r w:rsidR="00F35B9B" w:rsidRPr="00EC02CA">
        <w:t xml:space="preserve"> (Theme 3).</w:t>
      </w:r>
      <w:r w:rsidR="00F35B9B" w:rsidRPr="00EC02CA">
        <w:rPr>
          <w:rStyle w:val="FootnoteReference"/>
        </w:rPr>
        <w:footnoteReference w:id="41"/>
      </w:r>
      <w:r w:rsidR="00E52969" w:rsidRPr="00EC02CA">
        <w:t xml:space="preserve"> This </w:t>
      </w:r>
      <w:r w:rsidR="00E116C2" w:rsidRPr="00EC02CA">
        <w:t xml:space="preserve">highlighted </w:t>
      </w:r>
      <w:r w:rsidR="007176D5" w:rsidRPr="00EC02CA">
        <w:t xml:space="preserve">the </w:t>
      </w:r>
      <w:r w:rsidR="00BF08F9" w:rsidRPr="00EC02CA">
        <w:t>findings</w:t>
      </w:r>
      <w:r w:rsidR="007176D5" w:rsidRPr="00EC02CA">
        <w:t xml:space="preserve"> from research that most young people with harmful sexual </w:t>
      </w:r>
      <w:r w:rsidR="00BF08F9" w:rsidRPr="00EC02CA">
        <w:t>behaviour</w:t>
      </w:r>
      <w:r w:rsidR="007176D5" w:rsidRPr="00EC02CA">
        <w:t xml:space="preserve"> do not </w:t>
      </w:r>
      <w:r w:rsidR="00BF08F9" w:rsidRPr="00EC02CA">
        <w:t xml:space="preserve">commit sexual </w:t>
      </w:r>
      <w:r w:rsidR="007176D5" w:rsidRPr="00EC02CA">
        <w:t>offen</w:t>
      </w:r>
      <w:r w:rsidR="00BF08F9" w:rsidRPr="00EC02CA">
        <w:t>ces</w:t>
      </w:r>
      <w:r w:rsidR="007176D5" w:rsidRPr="00EC02CA">
        <w:t xml:space="preserve"> as an adult</w:t>
      </w:r>
      <w:r w:rsidR="00BF08F9" w:rsidRPr="00EC02CA">
        <w:t xml:space="preserve">, and the need for further </w:t>
      </w:r>
      <w:r w:rsidR="009D212C" w:rsidRPr="00EC02CA">
        <w:t>research</w:t>
      </w:r>
      <w:r w:rsidR="00BF08F9" w:rsidRPr="00EC02CA">
        <w:t xml:space="preserve"> to </w:t>
      </w:r>
      <w:r w:rsidR="009D212C" w:rsidRPr="00EC02CA">
        <w:t>‘better understand which therapeutic approaches prevent adult offending’.</w:t>
      </w:r>
      <w:r w:rsidR="009D212C" w:rsidRPr="00EC02CA">
        <w:rPr>
          <w:rStyle w:val="FootnoteReference"/>
        </w:rPr>
        <w:footnoteReference w:id="42"/>
      </w:r>
    </w:p>
    <w:p w14:paraId="6CAECCDE" w14:textId="668B15DE" w:rsidR="00550997" w:rsidRPr="00EC02CA" w:rsidRDefault="00E97034" w:rsidP="002F0007">
      <w:pPr>
        <w:pStyle w:val="NormalNumberedTextTLRI"/>
      </w:pPr>
      <w:r w:rsidRPr="00EC02CA">
        <w:t xml:space="preserve">More broadly, the Tasmanian Government has </w:t>
      </w:r>
      <w:r w:rsidR="00B378AE" w:rsidRPr="00EC02CA">
        <w:t xml:space="preserve">accepted the recommendations of the Commission of </w:t>
      </w:r>
      <w:r w:rsidR="00DB00A1" w:rsidRPr="00EC02CA">
        <w:t>Inquiry</w:t>
      </w:r>
      <w:r w:rsidR="00804743" w:rsidRPr="00EC02CA">
        <w:t>, which</w:t>
      </w:r>
      <w:r w:rsidR="002B7F71" w:rsidRPr="00EC02CA">
        <w:t xml:space="preserve"> included </w:t>
      </w:r>
      <w:r w:rsidR="00DB00A1" w:rsidRPr="00EC02CA">
        <w:t>significant reforms to the youth justice system with a view to reducing the number of young people in detention, as well</w:t>
      </w:r>
      <w:r w:rsidR="00B378AE" w:rsidRPr="00EC02CA">
        <w:t xml:space="preserve"> in relation to reforms to the youth justice system</w:t>
      </w:r>
      <w:r w:rsidR="00304709" w:rsidRPr="00EC02CA">
        <w:t xml:space="preserve"> respond</w:t>
      </w:r>
      <w:r w:rsidR="00B82B17" w:rsidRPr="00EC02CA">
        <w:t>ing</w:t>
      </w:r>
      <w:r w:rsidR="00304709" w:rsidRPr="00EC02CA">
        <w:t xml:space="preserve"> to young people with harmful sexual behaviour</w:t>
      </w:r>
      <w:r w:rsidR="00B378AE" w:rsidRPr="00EC02CA">
        <w:t xml:space="preserve">. </w:t>
      </w:r>
      <w:r w:rsidR="00361B47" w:rsidRPr="00EC02CA">
        <w:t>As noted</w:t>
      </w:r>
      <w:r w:rsidR="00B82B17" w:rsidRPr="00EC02CA">
        <w:t>,</w:t>
      </w:r>
      <w:r w:rsidR="00361B47" w:rsidRPr="00EC02CA">
        <w:t xml:space="preserve"> a </w:t>
      </w:r>
      <w:r w:rsidR="00361B47" w:rsidRPr="00EC02CA">
        <w:rPr>
          <w:i/>
          <w:iCs/>
        </w:rPr>
        <w:t>Youth Justice Blueprint 2024</w:t>
      </w:r>
      <w:r w:rsidR="00B82B17" w:rsidRPr="00EC02CA">
        <w:rPr>
          <w:i/>
          <w:iCs/>
        </w:rPr>
        <w:t>–</w:t>
      </w:r>
      <w:r w:rsidR="00361B47" w:rsidRPr="00EC02CA">
        <w:rPr>
          <w:i/>
          <w:iCs/>
        </w:rPr>
        <w:t>20</w:t>
      </w:r>
      <w:r w:rsidR="003567E5" w:rsidRPr="00EC02CA">
        <w:rPr>
          <w:i/>
          <w:iCs/>
        </w:rPr>
        <w:t>3</w:t>
      </w:r>
      <w:r w:rsidR="00361B47" w:rsidRPr="00EC02CA">
        <w:rPr>
          <w:i/>
          <w:iCs/>
        </w:rPr>
        <w:t xml:space="preserve">4 </w:t>
      </w:r>
      <w:r w:rsidR="00361B47" w:rsidRPr="00EC02CA">
        <w:t>has been developed</w:t>
      </w:r>
      <w:r w:rsidR="00CC22B6" w:rsidRPr="00EC02CA">
        <w:t xml:space="preserve">. </w:t>
      </w:r>
      <w:r w:rsidR="005152C6" w:rsidRPr="00EC02CA">
        <w:t>In addition, a Youth Justice Reform Taskforce was established within the Department of Premier and Cabinet</w:t>
      </w:r>
      <w:r w:rsidR="00B82B17" w:rsidRPr="00EC02CA">
        <w:t>, operating</w:t>
      </w:r>
      <w:r w:rsidR="005152C6" w:rsidRPr="00EC02CA">
        <w:t xml:space="preserve"> from June 2024 to June 2025 to accelerate work under key Commission of Inquiry recommendations. The period of appointment for the Taskforce has now concluded</w:t>
      </w:r>
      <w:r w:rsidR="00B82B17" w:rsidRPr="00EC02CA">
        <w:t>,</w:t>
      </w:r>
      <w:r w:rsidR="005152C6" w:rsidRPr="00EC02CA">
        <w:t xml:space="preserve"> with responsibility for this work returning to the Department for Education, Children and Young People</w:t>
      </w:r>
      <w:r w:rsidR="00B82B17" w:rsidRPr="00EC02CA">
        <w:t xml:space="preserve"> (DECYP)</w:t>
      </w:r>
      <w:r w:rsidR="00995451" w:rsidRPr="00EC02CA">
        <w:t>.</w:t>
      </w:r>
      <w:r w:rsidR="00995451" w:rsidRPr="00EC02CA">
        <w:rPr>
          <w:rStyle w:val="FootnoteReference"/>
        </w:rPr>
        <w:footnoteReference w:id="43"/>
      </w:r>
      <w:r w:rsidR="00753B0F" w:rsidRPr="00EC02CA">
        <w:t xml:space="preserve"> </w:t>
      </w:r>
    </w:p>
    <w:p w14:paraId="78607EAF" w14:textId="17D86183" w:rsidR="00753B0F" w:rsidRPr="00EC02CA" w:rsidRDefault="00B82B17" w:rsidP="002F0007">
      <w:pPr>
        <w:pStyle w:val="NormalNumberedTextTLRI"/>
      </w:pPr>
      <w:r w:rsidRPr="00EC02CA">
        <w:t>It is intended that t</w:t>
      </w:r>
      <w:r w:rsidR="00753B0F" w:rsidRPr="00EC02CA">
        <w:t xml:space="preserve">his Research Paper will inform the development of reforms to </w:t>
      </w:r>
      <w:r w:rsidR="00550997" w:rsidRPr="00EC02CA">
        <w:t>the justice system to re</w:t>
      </w:r>
      <w:r w:rsidR="00753B0F" w:rsidRPr="00EC02CA">
        <w:t xml:space="preserve">spond to the needs of young people </w:t>
      </w:r>
      <w:r w:rsidRPr="00EC02CA">
        <w:t xml:space="preserve">who engage in </w:t>
      </w:r>
      <w:r w:rsidR="00753B0F" w:rsidRPr="00EC02CA">
        <w:t xml:space="preserve">harmful sexual behaviour, the </w:t>
      </w:r>
      <w:r w:rsidR="00886B70" w:rsidRPr="00EC02CA">
        <w:t>victim-survivor</w:t>
      </w:r>
      <w:r w:rsidR="00753B0F" w:rsidRPr="00EC02CA">
        <w:t>s of this behaviour</w:t>
      </w:r>
      <w:r w:rsidRPr="00EC02CA">
        <w:t>,</w:t>
      </w:r>
      <w:r w:rsidR="00753B0F" w:rsidRPr="00EC02CA">
        <w:t xml:space="preserve"> and the needs of the community.</w:t>
      </w:r>
      <w:r w:rsidR="00593E9E" w:rsidRPr="00EC02CA">
        <w:rPr>
          <w:rStyle w:val="FootnoteReference"/>
        </w:rPr>
        <w:footnoteReference w:id="44"/>
      </w:r>
      <w:r w:rsidR="00753B0F" w:rsidRPr="00EC02CA">
        <w:t xml:space="preserve"> </w:t>
      </w:r>
      <w:r w:rsidR="00E927CE" w:rsidRPr="00EC02CA">
        <w:t>In</w:t>
      </w:r>
      <w:r w:rsidR="00C5651F" w:rsidRPr="00EC02CA">
        <w:t xml:space="preserve"> </w:t>
      </w:r>
      <w:r w:rsidR="00E927CE" w:rsidRPr="00EC02CA">
        <w:t xml:space="preserve">forming its views, the TLRI has been </w:t>
      </w:r>
      <w:r w:rsidR="0049420E" w:rsidRPr="00EC02CA">
        <w:t xml:space="preserve">mindful of the </w:t>
      </w:r>
      <w:r w:rsidR="00B07EB3" w:rsidRPr="00EC02CA">
        <w:t xml:space="preserve">historical background </w:t>
      </w:r>
      <w:r w:rsidR="00E82938" w:rsidRPr="00EC02CA">
        <w:t xml:space="preserve">to the </w:t>
      </w:r>
      <w:r w:rsidR="00D6283B" w:rsidRPr="00EC02CA">
        <w:rPr>
          <w:i/>
        </w:rPr>
        <w:t>Youth Justice Act 1997</w:t>
      </w:r>
      <w:r w:rsidR="009A200C" w:rsidRPr="00EC02CA">
        <w:rPr>
          <w:i/>
        </w:rPr>
        <w:t xml:space="preserve"> </w:t>
      </w:r>
      <w:r w:rsidR="009A200C" w:rsidRPr="00EC02CA">
        <w:rPr>
          <w:iCs/>
        </w:rPr>
        <w:t>(Tas)</w:t>
      </w:r>
      <w:r w:rsidR="003A1B8B" w:rsidRPr="00EC02CA">
        <w:t xml:space="preserve">, which is </w:t>
      </w:r>
      <w:r w:rsidR="005B46E3" w:rsidRPr="00EC02CA">
        <w:t>overviewed</w:t>
      </w:r>
      <w:r w:rsidR="003A1B8B" w:rsidRPr="00EC02CA">
        <w:t xml:space="preserve"> in Part 5</w:t>
      </w:r>
      <w:r w:rsidR="00754ADC" w:rsidRPr="00EC02CA">
        <w:t>.</w:t>
      </w:r>
      <w:r w:rsidR="00E82938" w:rsidRPr="00EC02CA">
        <w:t xml:space="preserve"> </w:t>
      </w:r>
      <w:r w:rsidR="006B5514" w:rsidRPr="00EC02CA">
        <w:t>Notably</w:t>
      </w:r>
      <w:r w:rsidRPr="00EC02CA">
        <w:t>,</w:t>
      </w:r>
      <w:r w:rsidR="006B5514" w:rsidRPr="00EC02CA">
        <w:t xml:space="preserve"> the </w:t>
      </w:r>
      <w:r w:rsidR="009A200C" w:rsidRPr="00EC02CA">
        <w:rPr>
          <w:i/>
        </w:rPr>
        <w:t xml:space="preserve">Youth Justice Act 1997 </w:t>
      </w:r>
      <w:r w:rsidR="009A200C" w:rsidRPr="00EC02CA">
        <w:rPr>
          <w:iCs/>
        </w:rPr>
        <w:t>(Tas)</w:t>
      </w:r>
      <w:r w:rsidR="006B5514" w:rsidRPr="00EC02CA">
        <w:t xml:space="preserve"> </w:t>
      </w:r>
      <w:r w:rsidR="00704F88" w:rsidRPr="00EC02CA">
        <w:t xml:space="preserve">attempted to balance </w:t>
      </w:r>
      <w:r w:rsidR="00073F63" w:rsidRPr="00EC02CA">
        <w:t xml:space="preserve">two </w:t>
      </w:r>
      <w:r w:rsidR="005C6C25" w:rsidRPr="00EC02CA">
        <w:t xml:space="preserve">competing </w:t>
      </w:r>
      <w:r w:rsidR="00073F63" w:rsidRPr="00EC02CA">
        <w:t>legal</w:t>
      </w:r>
      <w:r w:rsidR="00B567A3" w:rsidRPr="00EC02CA">
        <w:t xml:space="preserve"> </w:t>
      </w:r>
      <w:r w:rsidR="00073F63" w:rsidRPr="00EC02CA">
        <w:t xml:space="preserve">policy models that dominated </w:t>
      </w:r>
      <w:r w:rsidR="002B5DAC" w:rsidRPr="00EC02CA">
        <w:t xml:space="preserve">the </w:t>
      </w:r>
      <w:r w:rsidR="00073F63" w:rsidRPr="00EC02CA">
        <w:t xml:space="preserve">youth justice </w:t>
      </w:r>
      <w:r w:rsidR="002B5DAC" w:rsidRPr="00EC02CA">
        <w:t>sector in the 20</w:t>
      </w:r>
      <w:r w:rsidR="002B5DAC" w:rsidRPr="00EC02CA">
        <w:rPr>
          <w:vertAlign w:val="superscript"/>
        </w:rPr>
        <w:t>th</w:t>
      </w:r>
      <w:r w:rsidR="002B5DAC" w:rsidRPr="00EC02CA">
        <w:t xml:space="preserve"> century</w:t>
      </w:r>
      <w:r w:rsidR="00B07EB3" w:rsidRPr="00EC02CA">
        <w:t xml:space="preserve"> </w:t>
      </w:r>
      <w:r w:rsidR="00D70EDB" w:rsidRPr="00EC02CA">
        <w:t>internationally</w:t>
      </w:r>
      <w:r w:rsidR="001E77DC" w:rsidRPr="00EC02CA">
        <w:t>: t</w:t>
      </w:r>
      <w:r w:rsidR="00C86F9E" w:rsidRPr="00EC02CA">
        <w:t xml:space="preserve">he </w:t>
      </w:r>
      <w:r w:rsidR="00824691" w:rsidRPr="00EC02CA">
        <w:t xml:space="preserve">welfare model </w:t>
      </w:r>
      <w:r w:rsidR="00F86193" w:rsidRPr="00EC02CA">
        <w:t>(which emphasised state</w:t>
      </w:r>
      <w:r w:rsidRPr="00EC02CA">
        <w:t xml:space="preserve"> </w:t>
      </w:r>
      <w:r w:rsidR="00F86193" w:rsidRPr="00EC02CA">
        <w:t xml:space="preserve">responsibility for </w:t>
      </w:r>
      <w:r w:rsidR="00AE1C5A" w:rsidRPr="00EC02CA">
        <w:t xml:space="preserve">addressing </w:t>
      </w:r>
      <w:r w:rsidR="000605EE" w:rsidRPr="00EC02CA">
        <w:t>young people’s underlying needs)</w:t>
      </w:r>
      <w:r w:rsidR="00FC06EF" w:rsidRPr="00EC02CA">
        <w:t>; and the justice model (which</w:t>
      </w:r>
      <w:r w:rsidR="009D3DF8" w:rsidRPr="00EC02CA">
        <w:t xml:space="preserve"> </w:t>
      </w:r>
      <w:r w:rsidR="00065980" w:rsidRPr="00EC02CA">
        <w:t>emphasised young peopl</w:t>
      </w:r>
      <w:r w:rsidR="00E0643F" w:rsidRPr="00EC02CA">
        <w:t>e’s legal rights in the justice system</w:t>
      </w:r>
      <w:r w:rsidR="0075654D" w:rsidRPr="00EC02CA">
        <w:t xml:space="preserve"> and called for restraint in </w:t>
      </w:r>
      <w:r w:rsidR="005B7EE3" w:rsidRPr="00EC02CA">
        <w:t>welfare interventions).</w:t>
      </w:r>
    </w:p>
    <w:p w14:paraId="4AA3E50A" w14:textId="5D7BFB31" w:rsidR="00A433FC" w:rsidRPr="00EC02CA" w:rsidRDefault="00F57405" w:rsidP="00AB567B">
      <w:pPr>
        <w:pStyle w:val="NumberedHeadingTLRI"/>
      </w:pPr>
      <w:bookmarkStart w:id="50" w:name="_Toc211849355"/>
      <w:bookmarkStart w:id="51" w:name="_Toc218157251"/>
      <w:r w:rsidRPr="00EC02CA">
        <w:t xml:space="preserve">Conduct and </w:t>
      </w:r>
      <w:r w:rsidR="004D145A" w:rsidRPr="00EC02CA">
        <w:t xml:space="preserve">Scope of this Research </w:t>
      </w:r>
      <w:r w:rsidR="00997A6C" w:rsidRPr="00EC02CA">
        <w:t>Paper</w:t>
      </w:r>
      <w:bookmarkEnd w:id="50"/>
      <w:bookmarkEnd w:id="51"/>
    </w:p>
    <w:p w14:paraId="7076D023" w14:textId="6321A060" w:rsidR="00EC37BF" w:rsidRPr="00EC02CA" w:rsidRDefault="00997A6C" w:rsidP="002F0007">
      <w:pPr>
        <w:pStyle w:val="NormalNumberedTextTLRI"/>
      </w:pPr>
      <w:r w:rsidRPr="00EC02CA">
        <w:t xml:space="preserve">This </w:t>
      </w:r>
      <w:r w:rsidR="003156BA" w:rsidRPr="00EC02CA">
        <w:t>Research P</w:t>
      </w:r>
      <w:r w:rsidR="00CB768F" w:rsidRPr="00EC02CA">
        <w:t>aper</w:t>
      </w:r>
      <w:r w:rsidRPr="00EC02CA">
        <w:t xml:space="preserve"> </w:t>
      </w:r>
      <w:r w:rsidR="00446B22" w:rsidRPr="00EC02CA">
        <w:t xml:space="preserve">is </w:t>
      </w:r>
      <w:r w:rsidR="00797E67" w:rsidRPr="00EC02CA">
        <w:t>based on exploratory research</w:t>
      </w:r>
      <w:r w:rsidR="00F4513F" w:rsidRPr="00EC02CA">
        <w:t xml:space="preserve"> </w:t>
      </w:r>
      <w:r w:rsidR="0060602F" w:rsidRPr="00EC02CA">
        <w:t>on</w:t>
      </w:r>
      <w:r w:rsidR="007D4712" w:rsidRPr="00EC02CA">
        <w:t xml:space="preserve"> the </w:t>
      </w:r>
      <w:r w:rsidR="008B48E4" w:rsidRPr="00EC02CA">
        <w:t>Tasmanian</w:t>
      </w:r>
      <w:r w:rsidR="00FA7F70" w:rsidRPr="00EC02CA">
        <w:t xml:space="preserve"> </w:t>
      </w:r>
      <w:r w:rsidR="00620965" w:rsidRPr="00EC02CA">
        <w:t xml:space="preserve">youth justice system </w:t>
      </w:r>
      <w:r w:rsidR="006C7CA4" w:rsidRPr="00EC02CA">
        <w:t xml:space="preserve">operating under the </w:t>
      </w:r>
      <w:r w:rsidR="006C7CA4" w:rsidRPr="00EC02CA">
        <w:rPr>
          <w:i/>
        </w:rPr>
        <w:t xml:space="preserve">Youth Justice Act 1997 </w:t>
      </w:r>
      <w:r w:rsidR="006C7CA4" w:rsidRPr="00EC02CA">
        <w:t>(Tas).</w:t>
      </w:r>
      <w:r w:rsidR="00F73E38" w:rsidRPr="00EC02CA">
        <w:t xml:space="preserve"> The </w:t>
      </w:r>
      <w:r w:rsidR="003567E5" w:rsidRPr="00EC02CA">
        <w:t>youth justice system</w:t>
      </w:r>
      <w:r w:rsidR="00620965" w:rsidRPr="00EC02CA">
        <w:t xml:space="preserve"> was designed </w:t>
      </w:r>
      <w:r w:rsidR="0038592A" w:rsidRPr="00EC02CA">
        <w:t>almost three decades ago</w:t>
      </w:r>
      <w:r w:rsidR="00F61F32" w:rsidRPr="00EC02CA">
        <w:t xml:space="preserve"> – that is, before</w:t>
      </w:r>
      <w:r w:rsidR="00EC37BF" w:rsidRPr="00EC02CA">
        <w:t>:</w:t>
      </w:r>
    </w:p>
    <w:p w14:paraId="5AA74180" w14:textId="25E534AA" w:rsidR="00EC37BF" w:rsidRPr="00EC02CA" w:rsidRDefault="005E5B55" w:rsidP="00A920EC">
      <w:pPr>
        <w:pStyle w:val="NormalNumberedTextTLRI"/>
        <w:numPr>
          <w:ilvl w:val="0"/>
          <w:numId w:val="178"/>
        </w:numPr>
      </w:pPr>
      <w:r w:rsidRPr="00EC02CA">
        <w:t xml:space="preserve">the </w:t>
      </w:r>
      <w:r w:rsidR="00F42116" w:rsidRPr="00EC02CA">
        <w:t>phenomenon of</w:t>
      </w:r>
      <w:r w:rsidR="00F61F32" w:rsidRPr="00EC02CA">
        <w:t xml:space="preserve"> </w:t>
      </w:r>
      <w:r w:rsidR="007763FC" w:rsidRPr="00EC02CA">
        <w:t xml:space="preserve">online sexual offending </w:t>
      </w:r>
      <w:r w:rsidR="00F42116" w:rsidRPr="00EC02CA">
        <w:t>by young people existed</w:t>
      </w:r>
      <w:r w:rsidR="00076E70" w:rsidRPr="00EC02CA">
        <w:t>;</w:t>
      </w:r>
      <w:r w:rsidR="00F42116" w:rsidRPr="00EC02CA">
        <w:t xml:space="preserve"> and </w:t>
      </w:r>
    </w:p>
    <w:p w14:paraId="5E66EA56" w14:textId="6522150E" w:rsidR="00EC37BF" w:rsidRPr="00EC02CA" w:rsidRDefault="001A3746" w:rsidP="00A920EC">
      <w:pPr>
        <w:pStyle w:val="NormalNumberedTextTLRI"/>
        <w:numPr>
          <w:ilvl w:val="0"/>
          <w:numId w:val="178"/>
        </w:numPr>
      </w:pPr>
      <w:r w:rsidRPr="00EC02CA">
        <w:t xml:space="preserve">the </w:t>
      </w:r>
      <w:r w:rsidR="00447D41" w:rsidRPr="00EC02CA">
        <w:rPr>
          <w:i/>
        </w:rPr>
        <w:t xml:space="preserve">Royal Commission </w:t>
      </w:r>
      <w:r w:rsidR="00906C64" w:rsidRPr="00EC02CA">
        <w:rPr>
          <w:i/>
        </w:rPr>
        <w:t xml:space="preserve">into </w:t>
      </w:r>
      <w:r w:rsidR="00533D3F" w:rsidRPr="00EC02CA">
        <w:rPr>
          <w:i/>
        </w:rPr>
        <w:t xml:space="preserve">Child Sexual Abuse in Institutions </w:t>
      </w:r>
      <w:r w:rsidR="00533D3F" w:rsidRPr="00EC02CA">
        <w:t xml:space="preserve">shone a light on the nature and prevalence of physical sexual offending by young people. </w:t>
      </w:r>
    </w:p>
    <w:p w14:paraId="0F27142E" w14:textId="4C157308" w:rsidR="00F94767" w:rsidRPr="00EC02CA" w:rsidRDefault="006E1393" w:rsidP="00A920EC">
      <w:pPr>
        <w:pStyle w:val="NormalNumberedTextTLRI"/>
      </w:pPr>
      <w:r w:rsidRPr="00EC02CA">
        <w:t>Given the</w:t>
      </w:r>
      <w:r w:rsidR="00E81C1A" w:rsidRPr="00EC02CA">
        <w:t xml:space="preserve"> </w:t>
      </w:r>
      <w:r w:rsidR="00C42864" w:rsidRPr="00EC02CA">
        <w:t xml:space="preserve">significance </w:t>
      </w:r>
      <w:r w:rsidR="002A2D90" w:rsidRPr="00EC02CA">
        <w:t>of</w:t>
      </w:r>
      <w:r w:rsidR="00EB7409" w:rsidRPr="00EC02CA">
        <w:t xml:space="preserve"> </w:t>
      </w:r>
      <w:r w:rsidR="003C45DA" w:rsidRPr="00EC02CA">
        <w:t xml:space="preserve">these </w:t>
      </w:r>
      <w:r w:rsidR="002A2D90" w:rsidRPr="00EC02CA">
        <w:t>issues</w:t>
      </w:r>
      <w:r w:rsidR="00703932" w:rsidRPr="00EC02CA">
        <w:t>,</w:t>
      </w:r>
      <w:r w:rsidR="00CB1236" w:rsidRPr="00EC02CA">
        <w:t xml:space="preserve"> the </w:t>
      </w:r>
      <w:r w:rsidR="0086527C" w:rsidRPr="00EC02CA">
        <w:t>project sought</w:t>
      </w:r>
      <w:r w:rsidR="00F42116" w:rsidRPr="00EC02CA">
        <w:t xml:space="preserve"> to </w:t>
      </w:r>
      <w:r w:rsidR="00AE56E7" w:rsidRPr="00EC02CA">
        <w:t xml:space="preserve">evaluate how well the </w:t>
      </w:r>
      <w:r w:rsidR="00D163D9" w:rsidRPr="00EC02CA">
        <w:t>youth justice system</w:t>
      </w:r>
      <w:r w:rsidR="00AB6D49" w:rsidRPr="00EC02CA">
        <w:t xml:space="preserve"> is able to</w:t>
      </w:r>
      <w:r w:rsidR="00EB7768" w:rsidRPr="00EC02CA">
        <w:t xml:space="preserve"> </w:t>
      </w:r>
      <w:r w:rsidR="003D1B4D" w:rsidRPr="00EC02CA">
        <w:t>respond</w:t>
      </w:r>
      <w:r w:rsidR="00EB7768" w:rsidRPr="00EC02CA">
        <w:t xml:space="preserve"> to online and physical sexual offending committed by young people</w:t>
      </w:r>
      <w:r w:rsidR="00296AEF" w:rsidRPr="00EC02CA">
        <w:t xml:space="preserve">. </w:t>
      </w:r>
    </w:p>
    <w:p w14:paraId="47BE0A42" w14:textId="64187968" w:rsidR="00296AEF" w:rsidRPr="00EC02CA" w:rsidRDefault="00B6750B" w:rsidP="002F0007">
      <w:pPr>
        <w:pStyle w:val="NormalNumberedTextTLRI"/>
      </w:pPr>
      <w:r w:rsidRPr="00EC02CA">
        <w:t>The terms of reference were that the</w:t>
      </w:r>
      <w:r w:rsidR="00296AEF" w:rsidRPr="00EC02CA">
        <w:t xml:space="preserve"> project will evaluate the </w:t>
      </w:r>
      <w:r w:rsidR="00D163D9" w:rsidRPr="00EC02CA">
        <w:t>youth justice system</w:t>
      </w:r>
      <w:r w:rsidR="00296AEF" w:rsidRPr="00EC02CA">
        <w:t xml:space="preserve"> drawing on stated aims and objectives of the </w:t>
      </w:r>
      <w:r w:rsidR="005535A5" w:rsidRPr="00EC02CA">
        <w:rPr>
          <w:i/>
        </w:rPr>
        <w:t xml:space="preserve">Youth Justice Act 1997 </w:t>
      </w:r>
      <w:r w:rsidR="005535A5" w:rsidRPr="00EC02CA">
        <w:t xml:space="preserve">(Tas) </w:t>
      </w:r>
      <w:r w:rsidR="00296AEF" w:rsidRPr="00EC02CA">
        <w:t>(ss 4</w:t>
      </w:r>
      <w:r w:rsidR="00791783" w:rsidRPr="00EC02CA">
        <w:t>,</w:t>
      </w:r>
      <w:r w:rsidR="00296AEF" w:rsidRPr="00EC02CA">
        <w:t xml:space="preserve"> 5), which include</w:t>
      </w:r>
      <w:r w:rsidR="00A93B64" w:rsidRPr="00EC02CA">
        <w:t>:</w:t>
      </w:r>
    </w:p>
    <w:p w14:paraId="609C68BB" w14:textId="19F66C1E" w:rsidR="00296AEF" w:rsidRPr="00EC02CA" w:rsidRDefault="00FB6340" w:rsidP="00EB7768">
      <w:pPr>
        <w:pStyle w:val="DotPointTLRI"/>
        <w:rPr>
          <w:rFonts w:eastAsia="Times"/>
        </w:rPr>
      </w:pPr>
      <w:r w:rsidRPr="00EC02CA">
        <w:rPr>
          <w:rFonts w:eastAsia="Times"/>
        </w:rPr>
        <w:t>e</w:t>
      </w:r>
      <w:r w:rsidR="00296AEF" w:rsidRPr="00EC02CA">
        <w:rPr>
          <w:rFonts w:eastAsia="Times"/>
        </w:rPr>
        <w:t>ncouraging young people to accept responsibility for their behaviours</w:t>
      </w:r>
      <w:r w:rsidR="00791783" w:rsidRPr="00EC02CA">
        <w:rPr>
          <w:rFonts w:eastAsia="Times"/>
        </w:rPr>
        <w:t>;</w:t>
      </w:r>
    </w:p>
    <w:p w14:paraId="6B6AB735" w14:textId="1D9E6C81" w:rsidR="00296AEF" w:rsidRPr="00EC02CA" w:rsidRDefault="00707C4A" w:rsidP="00EB7768">
      <w:pPr>
        <w:pStyle w:val="DotPointTLRI"/>
        <w:rPr>
          <w:rFonts w:eastAsia="Times"/>
        </w:rPr>
      </w:pPr>
      <w:r w:rsidRPr="00EC02CA">
        <w:rPr>
          <w:rFonts w:eastAsia="Times"/>
        </w:rPr>
        <w:t>e</w:t>
      </w:r>
      <w:r w:rsidR="00296AEF" w:rsidRPr="00EC02CA">
        <w:rPr>
          <w:rFonts w:eastAsia="Times"/>
        </w:rPr>
        <w:t>nsuring that young people who commit offences are provided with ‘appropriate treatment and rehabilitation’</w:t>
      </w:r>
      <w:r w:rsidR="00791783" w:rsidRPr="00EC02CA">
        <w:rPr>
          <w:rFonts w:eastAsia="Times"/>
        </w:rPr>
        <w:t>;</w:t>
      </w:r>
    </w:p>
    <w:p w14:paraId="78034DF5" w14:textId="61B54DC7" w:rsidR="00296AEF" w:rsidRPr="00EC02CA" w:rsidRDefault="00707C4A" w:rsidP="00EB7768">
      <w:pPr>
        <w:pStyle w:val="DotPointTLRI"/>
        <w:rPr>
          <w:rFonts w:eastAsia="Times"/>
        </w:rPr>
      </w:pPr>
      <w:r w:rsidRPr="00EC02CA">
        <w:rPr>
          <w:rFonts w:eastAsia="Times"/>
        </w:rPr>
        <w:t>e</w:t>
      </w:r>
      <w:r w:rsidR="00296AEF" w:rsidRPr="00EC02CA">
        <w:rPr>
          <w:rFonts w:eastAsia="Times"/>
        </w:rPr>
        <w:t xml:space="preserve">nabling </w:t>
      </w:r>
      <w:r w:rsidR="003C2332" w:rsidRPr="00EC02CA">
        <w:rPr>
          <w:rFonts w:eastAsia="Times"/>
        </w:rPr>
        <w:t>victim-survivors</w:t>
      </w:r>
      <w:r w:rsidR="00296AEF" w:rsidRPr="00EC02CA">
        <w:rPr>
          <w:rFonts w:eastAsia="Times"/>
        </w:rPr>
        <w:t xml:space="preserve"> to participate in formal cautions and conference</w:t>
      </w:r>
      <w:r w:rsidR="00791783" w:rsidRPr="00EC02CA">
        <w:rPr>
          <w:rFonts w:eastAsia="Times"/>
        </w:rPr>
        <w:t>; and</w:t>
      </w:r>
    </w:p>
    <w:p w14:paraId="0C969DBB" w14:textId="246F516F" w:rsidR="00A433FC" w:rsidRPr="00EC02CA" w:rsidRDefault="00707C4A" w:rsidP="00EB7768">
      <w:pPr>
        <w:pStyle w:val="DotPointTLRI"/>
      </w:pPr>
      <w:r w:rsidRPr="00EC02CA">
        <w:t>e</w:t>
      </w:r>
      <w:r w:rsidR="00296AEF" w:rsidRPr="00EC02CA">
        <w:t>ncouraging and supporting guardians to fulfil their responsibilities to young people who commit offences.</w:t>
      </w:r>
    </w:p>
    <w:p w14:paraId="287E047F" w14:textId="0375BEFC" w:rsidR="006255F2" w:rsidRPr="00EC02CA" w:rsidRDefault="00B6750B" w:rsidP="002F0007">
      <w:pPr>
        <w:pStyle w:val="NormalNumberedTextTLRI"/>
      </w:pPr>
      <w:r w:rsidRPr="00EC02CA">
        <w:t>Corresponding with the</w:t>
      </w:r>
      <w:r w:rsidR="00791783" w:rsidRPr="00EC02CA">
        <w:t>se</w:t>
      </w:r>
      <w:r w:rsidRPr="00EC02CA">
        <w:t xml:space="preserve"> objectives, </w:t>
      </w:r>
      <w:r w:rsidR="004D0AFB" w:rsidRPr="00EC02CA">
        <w:t>the project has</w:t>
      </w:r>
      <w:r w:rsidR="009B668E" w:rsidRPr="00EC02CA">
        <w:t xml:space="preserve"> three</w:t>
      </w:r>
      <w:r w:rsidR="006255F2" w:rsidRPr="00EC02CA">
        <w:t xml:space="preserve"> main tiers. The first tier is quantitatively focussed. Its objective is to give a statistical overview of the functioning of the </w:t>
      </w:r>
      <w:r w:rsidR="00D163D9" w:rsidRPr="00EC02CA">
        <w:t>youth justice system</w:t>
      </w:r>
      <w:r w:rsidR="006255F2" w:rsidRPr="00EC02CA">
        <w:t xml:space="preserve">. It </w:t>
      </w:r>
      <w:r w:rsidR="00047640" w:rsidRPr="00EC02CA">
        <w:t>c</w:t>
      </w:r>
      <w:r w:rsidR="006255F2" w:rsidRPr="00EC02CA">
        <w:t>ollate</w:t>
      </w:r>
      <w:r w:rsidR="00047640" w:rsidRPr="00EC02CA">
        <w:t>s</w:t>
      </w:r>
      <w:r w:rsidR="006255F2" w:rsidRPr="00EC02CA">
        <w:t xml:space="preserve"> data from government departments</w:t>
      </w:r>
      <w:r w:rsidR="00791783" w:rsidRPr="00EC02CA">
        <w:t xml:space="preserve"> –</w:t>
      </w:r>
      <w:r w:rsidR="006255F2" w:rsidRPr="00EC02CA">
        <w:t xml:space="preserve"> </w:t>
      </w:r>
      <w:r w:rsidR="000B308D" w:rsidRPr="00EC02CA">
        <w:t xml:space="preserve">as set in Appendix </w:t>
      </w:r>
      <w:r w:rsidR="00CB20FE" w:rsidRPr="00EC02CA">
        <w:t>A</w:t>
      </w:r>
      <w:r w:rsidR="000B308D" w:rsidRPr="00EC02CA">
        <w:t xml:space="preserve"> </w:t>
      </w:r>
      <w:r w:rsidR="00791783" w:rsidRPr="00EC02CA">
        <w:t xml:space="preserve">– </w:t>
      </w:r>
      <w:r w:rsidR="006255F2" w:rsidRPr="00EC02CA">
        <w:t>that show:</w:t>
      </w:r>
    </w:p>
    <w:p w14:paraId="48E21180" w14:textId="77777777" w:rsidR="006255F2" w:rsidRPr="00EC02CA" w:rsidRDefault="006255F2" w:rsidP="006255F2">
      <w:pPr>
        <w:pStyle w:val="DotPointTLRI"/>
        <w:rPr>
          <w:rFonts w:eastAsia="Times"/>
        </w:rPr>
      </w:pPr>
      <w:r w:rsidRPr="00EC02CA">
        <w:rPr>
          <w:rFonts w:eastAsia="Times"/>
        </w:rPr>
        <w:t>how many sexual offences are dealt with by way of formal caution, community conference, and court;</w:t>
      </w:r>
    </w:p>
    <w:p w14:paraId="486077E3" w14:textId="77777777" w:rsidR="006255F2" w:rsidRPr="00EC02CA" w:rsidRDefault="006255F2" w:rsidP="006255F2">
      <w:pPr>
        <w:pStyle w:val="DotPointTLRI"/>
        <w:rPr>
          <w:rFonts w:eastAsia="Times"/>
        </w:rPr>
      </w:pPr>
      <w:r w:rsidRPr="00EC02CA">
        <w:rPr>
          <w:rFonts w:eastAsia="Times"/>
        </w:rPr>
        <w:t>the outcomes of these processes;</w:t>
      </w:r>
    </w:p>
    <w:p w14:paraId="692D9C84" w14:textId="33C9D708" w:rsidR="006255F2" w:rsidRPr="00EC02CA" w:rsidRDefault="006255F2" w:rsidP="006255F2">
      <w:pPr>
        <w:pStyle w:val="DotPointTLRI"/>
        <w:rPr>
          <w:rFonts w:eastAsia="Times"/>
        </w:rPr>
      </w:pPr>
      <w:r w:rsidRPr="00EC02CA">
        <w:rPr>
          <w:rFonts w:eastAsia="Times"/>
        </w:rPr>
        <w:t xml:space="preserve">the numbers of formal cautions and community conferences involving </w:t>
      </w:r>
      <w:r w:rsidR="003C2332" w:rsidRPr="00EC02CA">
        <w:rPr>
          <w:rFonts w:eastAsia="Times"/>
        </w:rPr>
        <w:t>victim-survivors</w:t>
      </w:r>
      <w:r w:rsidRPr="00EC02CA">
        <w:rPr>
          <w:rFonts w:eastAsia="Times"/>
        </w:rPr>
        <w:t>; and</w:t>
      </w:r>
    </w:p>
    <w:p w14:paraId="7B75D1D0" w14:textId="29F05960" w:rsidR="006255F2" w:rsidRPr="00EC02CA" w:rsidRDefault="006255F2" w:rsidP="006255F2">
      <w:pPr>
        <w:pStyle w:val="DotPointTLRI"/>
        <w:rPr>
          <w:rFonts w:eastAsia="Times"/>
        </w:rPr>
      </w:pPr>
      <w:r w:rsidRPr="00EC02CA">
        <w:rPr>
          <w:rFonts w:eastAsia="Times"/>
        </w:rPr>
        <w:t>reoffending rates</w:t>
      </w:r>
      <w:r w:rsidR="0017131B" w:rsidRPr="00EC02CA">
        <w:rPr>
          <w:rFonts w:eastAsia="Times"/>
        </w:rPr>
        <w:t xml:space="preserve"> (if available)</w:t>
      </w:r>
      <w:r w:rsidRPr="00EC02CA">
        <w:rPr>
          <w:rFonts w:eastAsia="Times"/>
        </w:rPr>
        <w:t>.</w:t>
      </w:r>
    </w:p>
    <w:p w14:paraId="71FF1158" w14:textId="636002D9" w:rsidR="006255F2" w:rsidRPr="00EC02CA" w:rsidRDefault="001777D4" w:rsidP="002F0007">
      <w:pPr>
        <w:pStyle w:val="NormalNumberedTextTLRI"/>
      </w:pPr>
      <w:bookmarkStart w:id="52" w:name="_Ref216965556"/>
      <w:r w:rsidRPr="00EC02CA">
        <w:t xml:space="preserve">The </w:t>
      </w:r>
      <w:r w:rsidR="006255F2" w:rsidRPr="00EC02CA">
        <w:t>second tier examine</w:t>
      </w:r>
      <w:r w:rsidRPr="00EC02CA">
        <w:t>s</w:t>
      </w:r>
      <w:r w:rsidR="006255F2" w:rsidRPr="00EC02CA">
        <w:t xml:space="preserve"> the quality of formal cautions and community conferences in terms of the degree to which they appropriately treat (a) </w:t>
      </w:r>
      <w:r w:rsidR="003C2332" w:rsidRPr="00EC02CA">
        <w:t>victim-survivors</w:t>
      </w:r>
      <w:r w:rsidR="006255F2" w:rsidRPr="00EC02CA">
        <w:t xml:space="preserve"> and (b) young people who have committed sexual offences. It reports on qualitative interviews with </w:t>
      </w:r>
      <w:r w:rsidR="002728ED" w:rsidRPr="00EC02CA">
        <w:t>staff</w:t>
      </w:r>
      <w:r w:rsidR="006255F2" w:rsidRPr="00EC02CA">
        <w:t xml:space="preserve"> from key </w:t>
      </w:r>
      <w:r w:rsidR="002728ED" w:rsidRPr="00EC02CA">
        <w:t xml:space="preserve">government and non-government </w:t>
      </w:r>
      <w:r w:rsidR="006255F2" w:rsidRPr="00EC02CA">
        <w:t xml:space="preserve">agencies </w:t>
      </w:r>
      <w:r w:rsidR="00D97C3C" w:rsidRPr="00EC02CA">
        <w:t>across a range of sectors</w:t>
      </w:r>
      <w:r w:rsidR="00E1085D" w:rsidRPr="00EC02CA">
        <w:t>,</w:t>
      </w:r>
      <w:r w:rsidR="00D97C3C" w:rsidRPr="00EC02CA">
        <w:t xml:space="preserve"> including education, youth support (non-government), legal, police and the youth</w:t>
      </w:r>
      <w:r w:rsidR="00E1085D" w:rsidRPr="00EC02CA">
        <w:t>-</w:t>
      </w:r>
      <w:r w:rsidR="00D97C3C" w:rsidRPr="00EC02CA">
        <w:t>related government sector.</w:t>
      </w:r>
      <w:r w:rsidR="002E2F7E" w:rsidRPr="00EC02CA">
        <w:t xml:space="preserve"> </w:t>
      </w:r>
      <w:r w:rsidR="002D61C3" w:rsidRPr="00EC02CA">
        <w:t xml:space="preserve">The TLRI </w:t>
      </w:r>
      <w:r w:rsidR="002E2F7E" w:rsidRPr="00EC02CA">
        <w:t>conducted</w:t>
      </w:r>
      <w:r w:rsidR="002D61C3" w:rsidRPr="00EC02CA">
        <w:t xml:space="preserve"> interviews with </w:t>
      </w:r>
      <w:r w:rsidR="001569D5" w:rsidRPr="00EC02CA">
        <w:t>eight</w:t>
      </w:r>
      <w:r w:rsidR="00A33519" w:rsidRPr="00EC02CA">
        <w:t xml:space="preserve"> police officers</w:t>
      </w:r>
      <w:r w:rsidR="002E2F7E" w:rsidRPr="00EC02CA">
        <w:t xml:space="preserve"> from Tasmania Police, </w:t>
      </w:r>
      <w:r w:rsidR="001569D5" w:rsidRPr="00EC02CA">
        <w:t>two</w:t>
      </w:r>
      <w:r w:rsidR="002E2F7E" w:rsidRPr="00EC02CA">
        <w:t xml:space="preserve"> </w:t>
      </w:r>
      <w:r w:rsidR="0021149A" w:rsidRPr="00EC02CA">
        <w:t xml:space="preserve">police officers </w:t>
      </w:r>
      <w:r w:rsidR="002E2F7E" w:rsidRPr="00EC02CA">
        <w:t xml:space="preserve">from the </w:t>
      </w:r>
      <w:r w:rsidR="0021149A" w:rsidRPr="00EC02CA">
        <w:t>Australian</w:t>
      </w:r>
      <w:r w:rsidR="002E2F7E" w:rsidRPr="00EC02CA">
        <w:t xml:space="preserve"> Federal Police, </w:t>
      </w:r>
      <w:r w:rsidR="001569D5" w:rsidRPr="00EC02CA">
        <w:t>five</w:t>
      </w:r>
      <w:r w:rsidR="00F71A00" w:rsidRPr="00EC02CA">
        <w:t xml:space="preserve"> </w:t>
      </w:r>
      <w:r w:rsidR="002E1134" w:rsidRPr="00EC02CA">
        <w:t xml:space="preserve">people </w:t>
      </w:r>
      <w:r w:rsidR="00F71A00" w:rsidRPr="00EC02CA">
        <w:t xml:space="preserve">from the legal </w:t>
      </w:r>
      <w:r w:rsidR="0021149A" w:rsidRPr="00EC02CA">
        <w:t>sector</w:t>
      </w:r>
      <w:r w:rsidR="00096167" w:rsidRPr="00EC02CA">
        <w:t xml:space="preserve">, </w:t>
      </w:r>
      <w:r w:rsidR="00F03875" w:rsidRPr="00EC02CA">
        <w:t>nine</w:t>
      </w:r>
      <w:r w:rsidR="00DD4A56" w:rsidRPr="00EC02CA">
        <w:t xml:space="preserve"> </w:t>
      </w:r>
      <w:r w:rsidR="002E1134" w:rsidRPr="00EC02CA">
        <w:t xml:space="preserve">people </w:t>
      </w:r>
      <w:r w:rsidR="00DD4A56" w:rsidRPr="00EC02CA">
        <w:t>from</w:t>
      </w:r>
      <w:r w:rsidR="0021149A" w:rsidRPr="00EC02CA">
        <w:t xml:space="preserve"> the</w:t>
      </w:r>
      <w:r w:rsidR="00DD4A56" w:rsidRPr="00EC02CA">
        <w:t xml:space="preserve"> non-</w:t>
      </w:r>
      <w:r w:rsidR="0021149A" w:rsidRPr="00EC02CA">
        <w:t xml:space="preserve">government </w:t>
      </w:r>
      <w:r w:rsidR="004E79FC" w:rsidRPr="00EC02CA">
        <w:t>support sector</w:t>
      </w:r>
      <w:r w:rsidR="0000139F" w:rsidRPr="00EC02CA">
        <w:t xml:space="preserve">, </w:t>
      </w:r>
      <w:r w:rsidR="0003143A" w:rsidRPr="00EC02CA">
        <w:t>seven</w:t>
      </w:r>
      <w:r w:rsidR="0000139F" w:rsidRPr="00EC02CA">
        <w:t xml:space="preserve"> from the education sector</w:t>
      </w:r>
      <w:r w:rsidR="004E79FC" w:rsidRPr="00EC02CA">
        <w:t xml:space="preserve"> a</w:t>
      </w:r>
      <w:r w:rsidR="0021149A" w:rsidRPr="00EC02CA">
        <w:t xml:space="preserve">nd </w:t>
      </w:r>
      <w:r w:rsidR="00503131" w:rsidRPr="00EC02CA">
        <w:t>ten</w:t>
      </w:r>
      <w:r w:rsidR="00E84101" w:rsidRPr="00EC02CA">
        <w:t xml:space="preserve"> from </w:t>
      </w:r>
      <w:r w:rsidR="00650AB8" w:rsidRPr="00EC02CA">
        <w:t xml:space="preserve">the </w:t>
      </w:r>
      <w:r w:rsidR="00B63113" w:rsidRPr="00EC02CA">
        <w:t>government</w:t>
      </w:r>
      <w:r w:rsidR="00650AB8" w:rsidRPr="00EC02CA">
        <w:t xml:space="preserve"> sector with </w:t>
      </w:r>
      <w:r w:rsidR="00E1085D" w:rsidRPr="00EC02CA">
        <w:t xml:space="preserve">a </w:t>
      </w:r>
      <w:r w:rsidR="00B63113" w:rsidRPr="00EC02CA">
        <w:t>youth</w:t>
      </w:r>
      <w:r w:rsidR="00650AB8" w:rsidRPr="00EC02CA">
        <w:t xml:space="preserve"> focus. </w:t>
      </w:r>
      <w:r w:rsidR="00CD3ADD" w:rsidRPr="00EC02CA">
        <w:t xml:space="preserve">In </w:t>
      </w:r>
      <w:r w:rsidR="00EC77C1" w:rsidRPr="00EC02CA">
        <w:t>total</w:t>
      </w:r>
      <w:r w:rsidR="00CD3ADD" w:rsidRPr="00EC02CA">
        <w:t xml:space="preserve">, </w:t>
      </w:r>
      <w:r w:rsidR="00EC77C1" w:rsidRPr="00EC02CA">
        <w:t>t</w:t>
      </w:r>
      <w:r w:rsidR="000B308D" w:rsidRPr="00EC02CA">
        <w:t xml:space="preserve">he TLRI conducted </w:t>
      </w:r>
      <w:r w:rsidR="00E37754" w:rsidRPr="00EC02CA">
        <w:t>3</w:t>
      </w:r>
      <w:r w:rsidR="00F03875" w:rsidRPr="00EC02CA">
        <w:t>8</w:t>
      </w:r>
      <w:r w:rsidR="000B308D" w:rsidRPr="00EC02CA">
        <w:t xml:space="preserve"> </w:t>
      </w:r>
      <w:r w:rsidR="00EF7C15" w:rsidRPr="00EC02CA">
        <w:t xml:space="preserve">semi-structured </w:t>
      </w:r>
      <w:r w:rsidR="000B308D" w:rsidRPr="00EC02CA">
        <w:t>interviews</w:t>
      </w:r>
      <w:r w:rsidR="00CC6A58" w:rsidRPr="00EC02CA">
        <w:t xml:space="preserve"> with </w:t>
      </w:r>
      <w:r w:rsidR="00F03875" w:rsidRPr="00EC02CA">
        <w:t>41</w:t>
      </w:r>
      <w:r w:rsidR="00A46BB1" w:rsidRPr="00EC02CA">
        <w:t xml:space="preserve"> participant</w:t>
      </w:r>
      <w:r w:rsidR="003C536F" w:rsidRPr="00EC02CA">
        <w:t>s</w:t>
      </w:r>
      <w:r w:rsidR="001B7EA6" w:rsidRPr="00EC02CA">
        <w:t xml:space="preserve"> using a set of broad questions that allowed fo</w:t>
      </w:r>
      <w:r w:rsidR="00273AB7" w:rsidRPr="00EC02CA">
        <w:t xml:space="preserve">r participants to provide insight into their views based on their own </w:t>
      </w:r>
      <w:r w:rsidR="00C43C5E" w:rsidRPr="00EC02CA">
        <w:t>specific</w:t>
      </w:r>
      <w:r w:rsidR="00273AB7" w:rsidRPr="00EC02CA">
        <w:t xml:space="preserve"> profession</w:t>
      </w:r>
      <w:r w:rsidR="00974E5D" w:rsidRPr="00EC02CA">
        <w:t>al</w:t>
      </w:r>
      <w:r w:rsidR="00273AB7" w:rsidRPr="00EC02CA">
        <w:t xml:space="preserve"> perspective</w:t>
      </w:r>
      <w:r w:rsidR="00E1085D" w:rsidRPr="00EC02CA">
        <w:t>s</w:t>
      </w:r>
      <w:r w:rsidR="00273AB7" w:rsidRPr="00EC02CA">
        <w:t xml:space="preserve">. </w:t>
      </w:r>
      <w:r w:rsidR="009B0EA7" w:rsidRPr="00EC02CA">
        <w:t xml:space="preserve">The TLRI gives special thanks </w:t>
      </w:r>
      <w:r w:rsidR="00AB44E1" w:rsidRPr="00EC02CA">
        <w:t>to the</w:t>
      </w:r>
      <w:r w:rsidR="009B0EA7" w:rsidRPr="00EC02CA">
        <w:t xml:space="preserve"> interview participants for generously contributing their time, knowledge and expertise to this study. The TLRI acknowledges the dedication and passion of our interview participants, whose thoughtful reflections and engagement were inspiring and invaluable to the project.</w:t>
      </w:r>
      <w:r w:rsidR="00AB44E1" w:rsidRPr="00EC02CA">
        <w:t xml:space="preserve"> </w:t>
      </w:r>
      <w:r w:rsidR="00115248" w:rsidRPr="00EC02CA">
        <w:t xml:space="preserve">Further details </w:t>
      </w:r>
      <w:r w:rsidR="00D97C3C" w:rsidRPr="00EC02CA">
        <w:t>are</w:t>
      </w:r>
      <w:r w:rsidR="00115248" w:rsidRPr="00EC02CA">
        <w:t xml:space="preserve"> set out in Appendix </w:t>
      </w:r>
      <w:r w:rsidR="00CB20FE" w:rsidRPr="00EC02CA">
        <w:t>A</w:t>
      </w:r>
      <w:r w:rsidR="00115248" w:rsidRPr="00EC02CA">
        <w:t>.</w:t>
      </w:r>
      <w:bookmarkEnd w:id="52"/>
      <w:r w:rsidR="000845B1" w:rsidRPr="00EC02CA">
        <w:t xml:space="preserve"> </w:t>
      </w:r>
    </w:p>
    <w:p w14:paraId="614955AD" w14:textId="5E53F604" w:rsidR="006255F2" w:rsidRPr="00EC02CA" w:rsidRDefault="006255F2" w:rsidP="002F0007">
      <w:pPr>
        <w:pStyle w:val="NormalNumberedTextTLRI"/>
      </w:pPr>
      <w:r w:rsidRPr="00EC02CA">
        <w:t xml:space="preserve">The third tier </w:t>
      </w:r>
      <w:r w:rsidR="00047640" w:rsidRPr="00EC02CA">
        <w:t>also used</w:t>
      </w:r>
      <w:r w:rsidRPr="00EC02CA">
        <w:t xml:space="preserve"> qualitative research methods</w:t>
      </w:r>
      <w:r w:rsidR="00047640" w:rsidRPr="00EC02CA">
        <w:t xml:space="preserve"> </w:t>
      </w:r>
      <w:r w:rsidRPr="00EC02CA">
        <w:t>to analyse two related systemic issues: the factors affecting police decision-making in response to allegations of sexual offending by youth; and the availability of therapeutic services for youth across Tasmania.</w:t>
      </w:r>
      <w:r w:rsidR="003145E0" w:rsidRPr="00EC02CA">
        <w:t xml:space="preserve"> </w:t>
      </w:r>
      <w:r w:rsidR="00E1085D" w:rsidRPr="00EC02CA">
        <w:t>T</w:t>
      </w:r>
      <w:r w:rsidR="003145E0" w:rsidRPr="00EC02CA">
        <w:t xml:space="preserve">his </w:t>
      </w:r>
      <w:r w:rsidR="00E1085D" w:rsidRPr="00EC02CA">
        <w:t xml:space="preserve">analysis also </w:t>
      </w:r>
      <w:r w:rsidR="003145E0" w:rsidRPr="00EC02CA">
        <w:t>relies on the interviews conducted by the TLRI with staff from key agencies</w:t>
      </w:r>
      <w:r w:rsidR="00D43164" w:rsidRPr="00EC02CA">
        <w:t xml:space="preserve"> (as set out at [</w:t>
      </w:r>
      <w:r w:rsidR="00E1085D" w:rsidRPr="00EC02CA">
        <w:fldChar w:fldCharType="begin"/>
      </w:r>
      <w:r w:rsidR="00E1085D" w:rsidRPr="00EC02CA">
        <w:instrText xml:space="preserve"> REF _Ref216965556 \r \h </w:instrText>
      </w:r>
      <w:r w:rsidR="00E1085D" w:rsidRPr="00EC02CA">
        <w:fldChar w:fldCharType="separate"/>
      </w:r>
      <w:r w:rsidR="007D7830">
        <w:t>1.3.5</w:t>
      </w:r>
      <w:r w:rsidR="00E1085D" w:rsidRPr="00EC02CA">
        <w:fldChar w:fldCharType="end"/>
      </w:r>
      <w:r w:rsidR="00D43164" w:rsidRPr="00EC02CA">
        <w:t>]).</w:t>
      </w:r>
    </w:p>
    <w:p w14:paraId="1F0204ED" w14:textId="08D9CF24" w:rsidR="008D0545" w:rsidRPr="00EC02CA" w:rsidRDefault="009B668E" w:rsidP="002F0007">
      <w:pPr>
        <w:pStyle w:val="NormalNumberedTextTLRI"/>
      </w:pPr>
      <w:r w:rsidRPr="00EC02CA">
        <w:t>In considering youth justice system response</w:t>
      </w:r>
      <w:r w:rsidR="00E1085D" w:rsidRPr="00EC02CA">
        <w:t>s</w:t>
      </w:r>
      <w:r w:rsidRPr="00EC02CA">
        <w:t xml:space="preserve"> to sexual offending by young people, reflecting the approach of the</w:t>
      </w:r>
      <w:r w:rsidR="00110EF1" w:rsidRPr="00EC02CA">
        <w:t xml:space="preserve"> </w:t>
      </w:r>
      <w:r w:rsidRPr="00EC02CA">
        <w:t xml:space="preserve">Commission of Inquiry and the </w:t>
      </w:r>
      <w:r w:rsidRPr="00EC02CA">
        <w:rPr>
          <w:i/>
          <w:iCs/>
        </w:rPr>
        <w:t>Youth Justice Blueprint 2024–2034</w:t>
      </w:r>
      <w:r w:rsidRPr="00EC02CA">
        <w:t>, the TLRI has considered the formal youth justice system response</w:t>
      </w:r>
      <w:r w:rsidR="00FF1184" w:rsidRPr="00EC02CA">
        <w:t>s</w:t>
      </w:r>
      <w:r w:rsidRPr="00EC02CA">
        <w:t> as well as the broader context of prevention, early intervention and diversion that may operate with families, schools and other agencies.</w:t>
      </w:r>
      <w:r w:rsidR="00BF19E2" w:rsidRPr="00EC02CA">
        <w:rPr>
          <w:rStyle w:val="FootnoteReference"/>
        </w:rPr>
        <w:footnoteReference w:id="45"/>
      </w:r>
      <w:r w:rsidR="008D0545" w:rsidRPr="00EC02CA">
        <w:t xml:space="preserve"> </w:t>
      </w:r>
      <w:r w:rsidR="004E089F" w:rsidRPr="00EC02CA">
        <w:t>Only focu</w:t>
      </w:r>
      <w:r w:rsidR="00FF1184" w:rsidRPr="00EC02CA">
        <w:t>s</w:t>
      </w:r>
      <w:r w:rsidR="004E089F" w:rsidRPr="00EC02CA">
        <w:t>sing on t</w:t>
      </w:r>
      <w:r w:rsidR="008D0545" w:rsidRPr="00EC02CA">
        <w:t xml:space="preserve">he </w:t>
      </w:r>
      <w:r w:rsidR="002465F4" w:rsidRPr="00EC02CA">
        <w:t xml:space="preserve">formal </w:t>
      </w:r>
      <w:r w:rsidR="008D0545" w:rsidRPr="00EC02CA">
        <w:t xml:space="preserve">criminal justice response </w:t>
      </w:r>
      <w:r w:rsidR="00FF1184" w:rsidRPr="00EC02CA">
        <w:t xml:space="preserve">would mean </w:t>
      </w:r>
      <w:r w:rsidR="008D0545" w:rsidRPr="00EC02CA">
        <w:t>deal</w:t>
      </w:r>
      <w:r w:rsidR="00FF1184" w:rsidRPr="00EC02CA">
        <w:t>ing</w:t>
      </w:r>
      <w:r w:rsidR="008D0545" w:rsidRPr="00EC02CA">
        <w:t xml:space="preserve"> </w:t>
      </w:r>
      <w:r w:rsidR="0068414A" w:rsidRPr="00EC02CA">
        <w:t xml:space="preserve">only </w:t>
      </w:r>
      <w:r w:rsidR="008D0545" w:rsidRPr="00EC02CA">
        <w:t>with matters that are known to authorities (and not address</w:t>
      </w:r>
      <w:r w:rsidR="00FF1184" w:rsidRPr="00EC02CA">
        <w:t>ing</w:t>
      </w:r>
      <w:r w:rsidR="008D0545" w:rsidRPr="00EC02CA">
        <w:t xml:space="preserve"> the so</w:t>
      </w:r>
      <w:r w:rsidR="00B34CEB" w:rsidRPr="00EC02CA">
        <w:t>-</w:t>
      </w:r>
      <w:r w:rsidR="008D0545" w:rsidRPr="00EC02CA">
        <w:t>called ‘dark figure</w:t>
      </w:r>
      <w:r w:rsidR="00FF1184" w:rsidRPr="00EC02CA">
        <w:t>’</w:t>
      </w:r>
      <w:r w:rsidR="008D0545" w:rsidRPr="00EC02CA">
        <w:t xml:space="preserve"> of </w:t>
      </w:r>
      <w:r w:rsidR="00FF1184" w:rsidRPr="00EC02CA">
        <w:t xml:space="preserve">unreported </w:t>
      </w:r>
      <w:r w:rsidR="008D0545" w:rsidRPr="00EC02CA">
        <w:t>crime).</w:t>
      </w:r>
      <w:r w:rsidR="008D0545" w:rsidRPr="00EC02CA">
        <w:rPr>
          <w:rStyle w:val="FootnoteReference"/>
        </w:rPr>
        <w:footnoteReference w:id="46"/>
      </w:r>
      <w:r w:rsidR="008D0545" w:rsidRPr="00EC02CA">
        <w:t xml:space="preserve"> </w:t>
      </w:r>
      <w:r w:rsidR="00A3041C" w:rsidRPr="00EC02CA">
        <w:t xml:space="preserve">It </w:t>
      </w:r>
      <w:r w:rsidR="00FF1184" w:rsidRPr="00EC02CA">
        <w:t xml:space="preserve">would </w:t>
      </w:r>
      <w:r w:rsidR="00A3041C" w:rsidRPr="00EC02CA">
        <w:t xml:space="preserve">also </w:t>
      </w:r>
      <w:r w:rsidR="007D43DE" w:rsidRPr="00EC02CA">
        <w:t xml:space="preserve">not allow for </w:t>
      </w:r>
      <w:r w:rsidR="00A3041C" w:rsidRPr="00EC02CA">
        <w:t xml:space="preserve">understanding the </w:t>
      </w:r>
      <w:r w:rsidR="007D43DE" w:rsidRPr="00EC02CA">
        <w:t xml:space="preserve">interaction of the </w:t>
      </w:r>
      <w:r w:rsidR="00A3041C" w:rsidRPr="00EC02CA">
        <w:t>various components of the system, such as reporting pathways,</w:t>
      </w:r>
      <w:r w:rsidR="00FF1184" w:rsidRPr="00EC02CA">
        <w:t xml:space="preserve"> and</w:t>
      </w:r>
      <w:r w:rsidR="00A3041C" w:rsidRPr="00EC02CA">
        <w:t xml:space="preserve"> the availability of diversion</w:t>
      </w:r>
      <w:r w:rsidR="00FF1184" w:rsidRPr="00EC02CA">
        <w:t>,</w:t>
      </w:r>
      <w:r w:rsidR="00A3041C" w:rsidRPr="00EC02CA">
        <w:t xml:space="preserve"> early intervention</w:t>
      </w:r>
      <w:r w:rsidR="00FF1184" w:rsidRPr="00EC02CA">
        <w:t>,</w:t>
      </w:r>
      <w:r w:rsidR="00A3041C" w:rsidRPr="00EC02CA">
        <w:t xml:space="preserve"> and therapeutic services in Tasmania. </w:t>
      </w:r>
      <w:r w:rsidR="0035271B" w:rsidRPr="00EC02CA">
        <w:t xml:space="preserve">A broader focus also </w:t>
      </w:r>
      <w:r w:rsidR="0056194F" w:rsidRPr="00EC02CA">
        <w:t>allows for</w:t>
      </w:r>
      <w:r w:rsidR="00A3041C" w:rsidRPr="00EC02CA">
        <w:t xml:space="preserve"> sexual offending by young people </w:t>
      </w:r>
      <w:r w:rsidR="0056194F" w:rsidRPr="00EC02CA">
        <w:t xml:space="preserve">to </w:t>
      </w:r>
      <w:r w:rsidR="00F32069" w:rsidRPr="00EC02CA">
        <w:t>b</w:t>
      </w:r>
      <w:r w:rsidR="0056194F" w:rsidRPr="00EC02CA">
        <w:t>e viewed</w:t>
      </w:r>
      <w:r w:rsidR="00A3041C" w:rsidRPr="00EC02CA">
        <w:t xml:space="preserve"> </w:t>
      </w:r>
      <w:r w:rsidR="00FF1184" w:rsidRPr="00EC02CA">
        <w:t xml:space="preserve">on </w:t>
      </w:r>
      <w:r w:rsidR="00A3041C" w:rsidRPr="00EC02CA">
        <w:t xml:space="preserve">a continuum of behaviour that overlaps with harmful sexual behaviour. </w:t>
      </w:r>
    </w:p>
    <w:p w14:paraId="63AED9DB" w14:textId="5296F2B2" w:rsidR="002C12C8" w:rsidRPr="00EC02CA" w:rsidRDefault="00A661C1" w:rsidP="002F0007">
      <w:pPr>
        <w:pStyle w:val="NormalNumberedTextTLRI"/>
      </w:pPr>
      <w:r w:rsidRPr="00EC02CA">
        <w:t xml:space="preserve">For this reason, the TLRI </w:t>
      </w:r>
      <w:r w:rsidR="00FF1184" w:rsidRPr="00EC02CA">
        <w:t xml:space="preserve">has </w:t>
      </w:r>
      <w:r w:rsidRPr="00EC02CA">
        <w:t>examin</w:t>
      </w:r>
      <w:r w:rsidR="00FF1184" w:rsidRPr="00EC02CA">
        <w:t>ed</w:t>
      </w:r>
      <w:r w:rsidRPr="00EC02CA">
        <w:t xml:space="preserve"> the</w:t>
      </w:r>
      <w:r w:rsidR="002C12C8" w:rsidRPr="00EC02CA">
        <w:t xml:space="preserve"> </w:t>
      </w:r>
      <w:r w:rsidR="000A1247" w:rsidRPr="00EC02CA">
        <w:t>broad context of the</w:t>
      </w:r>
      <w:r w:rsidR="005400FF" w:rsidRPr="00EC02CA">
        <w:t xml:space="preserve"> youth</w:t>
      </w:r>
      <w:r w:rsidR="002C12C8" w:rsidRPr="00EC02CA">
        <w:t xml:space="preserve"> justice system response</w:t>
      </w:r>
      <w:r w:rsidR="00FF1184" w:rsidRPr="00EC02CA">
        <w:t>s</w:t>
      </w:r>
      <w:r w:rsidR="002C12C8" w:rsidRPr="00EC02CA">
        <w:t xml:space="preserve"> </w:t>
      </w:r>
      <w:r w:rsidRPr="00EC02CA">
        <w:t xml:space="preserve">to young </w:t>
      </w:r>
      <w:r w:rsidR="00811211" w:rsidRPr="00EC02CA">
        <w:t xml:space="preserve">people </w:t>
      </w:r>
      <w:r w:rsidR="000A1247" w:rsidRPr="00EC02CA">
        <w:t>as</w:t>
      </w:r>
      <w:r w:rsidR="00911DE9" w:rsidRPr="00EC02CA">
        <w:t xml:space="preserve"> </w:t>
      </w:r>
      <w:r w:rsidR="002C12C8" w:rsidRPr="00EC02CA">
        <w:t>includ</w:t>
      </w:r>
      <w:r w:rsidR="000A1247" w:rsidRPr="00EC02CA">
        <w:t>ing</w:t>
      </w:r>
      <w:r w:rsidR="002C12C8" w:rsidRPr="00EC02CA">
        <w:t>:</w:t>
      </w:r>
    </w:p>
    <w:p w14:paraId="45E8A57D" w14:textId="47F94207" w:rsidR="002C12C8" w:rsidRPr="00EC02CA" w:rsidRDefault="002C12C8" w:rsidP="000A1247">
      <w:pPr>
        <w:pStyle w:val="DotPointTLRI"/>
      </w:pPr>
      <w:r w:rsidRPr="00EC02CA">
        <w:t>the mechanisms/decisions made to report to police</w:t>
      </w:r>
      <w:r w:rsidR="00FF1184" w:rsidRPr="00EC02CA">
        <w:t>;</w:t>
      </w:r>
    </w:p>
    <w:p w14:paraId="09217AB7" w14:textId="03E97EAB" w:rsidR="002C12C8" w:rsidRPr="00EC02CA" w:rsidRDefault="002C12C8" w:rsidP="000A1247">
      <w:pPr>
        <w:pStyle w:val="DotPointTLRI"/>
      </w:pPr>
      <w:r w:rsidRPr="00EC02CA">
        <w:t>the police response in terms of investigation and charging as well as the use of diversionary processes for young people</w:t>
      </w:r>
      <w:r w:rsidR="00FF1184" w:rsidRPr="00EC02CA">
        <w:t>;</w:t>
      </w:r>
    </w:p>
    <w:p w14:paraId="646D6AD6" w14:textId="10955036" w:rsidR="002C12C8" w:rsidRPr="00EC02CA" w:rsidRDefault="002C12C8" w:rsidP="000A1247">
      <w:pPr>
        <w:pStyle w:val="DotPointTLRI"/>
      </w:pPr>
      <w:r w:rsidRPr="00EC02CA">
        <w:t>the legislative framework of the criminal offences, the age of criminal responsibility and the youth justice system</w:t>
      </w:r>
      <w:r w:rsidR="00FF1184" w:rsidRPr="00EC02CA">
        <w:t>;</w:t>
      </w:r>
    </w:p>
    <w:p w14:paraId="610448AB" w14:textId="408026A2" w:rsidR="00EB1803" w:rsidRPr="00EC02CA" w:rsidRDefault="002C12C8" w:rsidP="00A86739">
      <w:pPr>
        <w:pStyle w:val="DotPointTLRI"/>
      </w:pPr>
      <w:r w:rsidRPr="00EC02CA">
        <w:t xml:space="preserve">the use of intermediaries </w:t>
      </w:r>
      <w:r w:rsidR="00EB1803" w:rsidRPr="00EC02CA">
        <w:t>(both before trial and at trial)</w:t>
      </w:r>
      <w:r w:rsidR="00FF1184" w:rsidRPr="00EC02CA">
        <w:t>; and</w:t>
      </w:r>
    </w:p>
    <w:p w14:paraId="5F8E9B9F" w14:textId="57E76B23" w:rsidR="002C12C8" w:rsidRPr="00EC02CA" w:rsidRDefault="002C12C8" w:rsidP="00A86739">
      <w:pPr>
        <w:pStyle w:val="DotPointTLRI"/>
      </w:pPr>
      <w:r w:rsidRPr="00EC02CA">
        <w:t xml:space="preserve">the </w:t>
      </w:r>
      <w:r w:rsidR="00265ACB" w:rsidRPr="00EC02CA">
        <w:t xml:space="preserve">involvement of the Youth Justice Division and the Supreme </w:t>
      </w:r>
      <w:r w:rsidR="00811211" w:rsidRPr="00EC02CA">
        <w:t>C</w:t>
      </w:r>
      <w:r w:rsidR="00265ACB" w:rsidRPr="00EC02CA">
        <w:t xml:space="preserve">ourt, including the </w:t>
      </w:r>
      <w:r w:rsidRPr="00EC02CA">
        <w:t>sentencing discretion of courts</w:t>
      </w:r>
      <w:r w:rsidR="00BF4439" w:rsidRPr="00EC02CA">
        <w:t xml:space="preserve"> and the sentencing options available to the court</w:t>
      </w:r>
      <w:r w:rsidR="00FF1184" w:rsidRPr="00EC02CA">
        <w:t>.</w:t>
      </w:r>
    </w:p>
    <w:p w14:paraId="77D72DAD" w14:textId="22EEA3C3" w:rsidR="00ED0BEC" w:rsidRPr="00EC02CA" w:rsidRDefault="002C12C8" w:rsidP="00A920EC">
      <w:pPr>
        <w:pStyle w:val="NormalNumberedTextTLRI"/>
      </w:pPr>
      <w:r w:rsidRPr="00EC02CA">
        <w:t xml:space="preserve">This Research </w:t>
      </w:r>
      <w:r w:rsidR="002901BC" w:rsidRPr="00EC02CA">
        <w:t>Paper</w:t>
      </w:r>
      <w:r w:rsidRPr="00EC02CA">
        <w:t xml:space="preserve"> addresses these aspects of the </w:t>
      </w:r>
      <w:r w:rsidR="005400FF" w:rsidRPr="00EC02CA">
        <w:t>youth</w:t>
      </w:r>
      <w:r w:rsidRPr="00EC02CA">
        <w:t xml:space="preserve"> justice </w:t>
      </w:r>
      <w:r w:rsidR="00A2492A" w:rsidRPr="00EC02CA">
        <w:t xml:space="preserve">system </w:t>
      </w:r>
      <w:r w:rsidRPr="00EC02CA">
        <w:t xml:space="preserve">in Parts </w:t>
      </w:r>
      <w:r w:rsidR="00401F7F" w:rsidRPr="00EC02CA">
        <w:t>4</w:t>
      </w:r>
      <w:r w:rsidRPr="00EC02CA">
        <w:t xml:space="preserve"> to </w:t>
      </w:r>
      <w:r w:rsidR="00401F7F" w:rsidRPr="00EC02CA">
        <w:t>8</w:t>
      </w:r>
      <w:r w:rsidRPr="00EC02CA">
        <w:t>.</w:t>
      </w:r>
    </w:p>
    <w:p w14:paraId="2385EBAC" w14:textId="2133113B" w:rsidR="002C12C8" w:rsidRPr="00EC02CA" w:rsidRDefault="0011709E" w:rsidP="002F0007">
      <w:pPr>
        <w:pStyle w:val="NormalNumberedTextTLRI"/>
      </w:pPr>
      <w:r w:rsidRPr="00EC02CA">
        <w:t>While making specific recommendation</w:t>
      </w:r>
      <w:r w:rsidR="006A155F" w:rsidRPr="00EC02CA">
        <w:t>s</w:t>
      </w:r>
      <w:r w:rsidRPr="00EC02CA">
        <w:t xml:space="preserve"> in relation to young people with harmful sexual behaviour, t</w:t>
      </w:r>
      <w:r w:rsidR="00ED0BEC" w:rsidRPr="00EC02CA">
        <w:t xml:space="preserve">he TLRI notes that the Commission of Inquiry’s recommendations </w:t>
      </w:r>
      <w:r w:rsidRPr="00EC02CA">
        <w:t xml:space="preserve">included a review of the youth justice system (and the </w:t>
      </w:r>
      <w:r w:rsidRPr="00EC02CA">
        <w:rPr>
          <w:i/>
          <w:iCs/>
        </w:rPr>
        <w:t>Youth Justice Act 1997</w:t>
      </w:r>
      <w:r w:rsidR="00C5568A" w:rsidRPr="00EC02CA">
        <w:rPr>
          <w:i/>
          <w:iCs/>
        </w:rPr>
        <w:t xml:space="preserve"> </w:t>
      </w:r>
      <w:r w:rsidR="00C5568A" w:rsidRPr="00EC02CA">
        <w:t>(Tas)</w:t>
      </w:r>
      <w:r w:rsidRPr="00EC02CA">
        <w:t>) as they relate</w:t>
      </w:r>
      <w:r w:rsidR="00A2545B" w:rsidRPr="00EC02CA">
        <w:t xml:space="preserve"> to </w:t>
      </w:r>
      <w:r w:rsidR="00067539" w:rsidRPr="00EC02CA">
        <w:t xml:space="preserve">all offending behaviour </w:t>
      </w:r>
      <w:r w:rsidR="006A155F" w:rsidRPr="00EC02CA">
        <w:t xml:space="preserve">by </w:t>
      </w:r>
      <w:r w:rsidR="00067539" w:rsidRPr="00EC02CA">
        <w:t>young people</w:t>
      </w:r>
      <w:r w:rsidRPr="00EC02CA">
        <w:t>. These</w:t>
      </w:r>
      <w:r w:rsidR="002941AF" w:rsidRPr="00EC02CA">
        <w:t xml:space="preserve"> recommendations includ</w:t>
      </w:r>
      <w:r w:rsidR="006A155F" w:rsidRPr="00EC02CA">
        <w:t>ed</w:t>
      </w:r>
      <w:r w:rsidR="002941AF" w:rsidRPr="00EC02CA">
        <w:t xml:space="preserve"> updating</w:t>
      </w:r>
      <w:r w:rsidR="008D498B" w:rsidRPr="00EC02CA">
        <w:t xml:space="preserve"> the </w:t>
      </w:r>
      <w:r w:rsidR="005C19DC" w:rsidRPr="00EC02CA">
        <w:t>objectives</w:t>
      </w:r>
      <w:r w:rsidR="008D498B" w:rsidRPr="00EC02CA">
        <w:t xml:space="preserve"> of the </w:t>
      </w:r>
      <w:r w:rsidR="008D498B" w:rsidRPr="00EC02CA">
        <w:rPr>
          <w:i/>
          <w:iCs/>
        </w:rPr>
        <w:t xml:space="preserve">Youth Justice Act 1997 </w:t>
      </w:r>
      <w:r w:rsidR="008D498B" w:rsidRPr="00EC02CA">
        <w:t>(Tas) and the sentencing options within it</w:t>
      </w:r>
      <w:r w:rsidR="006A155F" w:rsidRPr="00EC02CA">
        <w:t>,</w:t>
      </w:r>
      <w:r w:rsidR="005C19DC" w:rsidRPr="00EC02CA">
        <w:t xml:space="preserve"> with a focus on diversion and </w:t>
      </w:r>
      <w:r w:rsidR="006A155F" w:rsidRPr="00EC02CA">
        <w:t xml:space="preserve">the </w:t>
      </w:r>
      <w:r w:rsidR="005C19DC" w:rsidRPr="00EC02CA">
        <w:t>rehabilitation</w:t>
      </w:r>
      <w:r w:rsidR="002941AF" w:rsidRPr="00EC02CA">
        <w:t xml:space="preserve"> of young people</w:t>
      </w:r>
      <w:r w:rsidR="005C19DC" w:rsidRPr="00EC02CA">
        <w:t xml:space="preserve">. </w:t>
      </w:r>
      <w:r w:rsidR="002941AF" w:rsidRPr="00EC02CA">
        <w:t>The subsequent government response also applie</w:t>
      </w:r>
      <w:r w:rsidR="006A155F" w:rsidRPr="00EC02CA">
        <w:t>d</w:t>
      </w:r>
      <w:r w:rsidR="002941AF" w:rsidRPr="00EC02CA">
        <w:t xml:space="preserve"> to the entire</w:t>
      </w:r>
      <w:r w:rsidR="006A155F" w:rsidRPr="00EC02CA">
        <w:t>t</w:t>
      </w:r>
      <w:r w:rsidR="002941AF" w:rsidRPr="00EC02CA">
        <w:t>y of the youth justice system.</w:t>
      </w:r>
      <w:r w:rsidR="00005B70" w:rsidRPr="00EC02CA">
        <w:rPr>
          <w:rStyle w:val="FootnoteReference"/>
        </w:rPr>
        <w:footnoteReference w:id="47"/>
      </w:r>
      <w:r w:rsidR="002941AF" w:rsidRPr="00EC02CA">
        <w:t xml:space="preserve"> In contrast, the focus of this Research Paper and its recommendations </w:t>
      </w:r>
      <w:r w:rsidR="008A465B" w:rsidRPr="00EC02CA">
        <w:t xml:space="preserve">is </w:t>
      </w:r>
      <w:r w:rsidR="00DE1489" w:rsidRPr="00EC02CA">
        <w:t xml:space="preserve">limited to an evaluation of the </w:t>
      </w:r>
      <w:r w:rsidR="002941AF" w:rsidRPr="00EC02CA">
        <w:t>response</w:t>
      </w:r>
      <w:r w:rsidR="00DE1489" w:rsidRPr="00EC02CA">
        <w:t xml:space="preserve"> of the youth justice system</w:t>
      </w:r>
      <w:r w:rsidR="002941AF" w:rsidRPr="00EC02CA">
        <w:t xml:space="preserve"> to young people </w:t>
      </w:r>
      <w:r w:rsidR="008F0A46" w:rsidRPr="00EC02CA">
        <w:t>who are alleged to have committed sexual offences</w:t>
      </w:r>
      <w:r w:rsidR="00DE1489" w:rsidRPr="00EC02CA">
        <w:t xml:space="preserve">. This research, then, will provide valuable information to support </w:t>
      </w:r>
      <w:r w:rsidR="009E1B55" w:rsidRPr="00EC02CA">
        <w:t>the broader reform agenda of government.</w:t>
      </w:r>
    </w:p>
    <w:p w14:paraId="1BCD8795" w14:textId="548797FF" w:rsidR="004F493D" w:rsidRPr="00EC02CA" w:rsidRDefault="004F493D" w:rsidP="002F0007">
      <w:pPr>
        <w:pStyle w:val="NormalNumberedTextTLRI"/>
      </w:pPr>
      <w:r w:rsidRPr="00EC02CA">
        <w:t xml:space="preserve">Further, </w:t>
      </w:r>
      <w:r w:rsidR="00E70820" w:rsidRPr="00EC02CA">
        <w:t xml:space="preserve">as has been set out, </w:t>
      </w:r>
      <w:r w:rsidR="008F0A46" w:rsidRPr="00EC02CA">
        <w:t xml:space="preserve">while </w:t>
      </w:r>
      <w:r w:rsidR="00E70820" w:rsidRPr="00EC02CA">
        <w:t>this Research Paper is focussed on young people</w:t>
      </w:r>
      <w:r w:rsidR="004F27D9" w:rsidRPr="00EC02CA">
        <w:t xml:space="preserve">, </w:t>
      </w:r>
      <w:r w:rsidR="00171BAE" w:rsidRPr="00EC02CA">
        <w:t>the</w:t>
      </w:r>
      <w:r w:rsidR="004F27D9" w:rsidRPr="00EC02CA">
        <w:t xml:space="preserve"> TLRI recognise</w:t>
      </w:r>
      <w:r w:rsidR="00171BAE" w:rsidRPr="00EC02CA">
        <w:t>s</w:t>
      </w:r>
      <w:r w:rsidR="004F27D9" w:rsidRPr="00EC02CA">
        <w:t xml:space="preserve"> and acknowledge</w:t>
      </w:r>
      <w:r w:rsidR="00246C54" w:rsidRPr="00EC02CA">
        <w:t>s</w:t>
      </w:r>
      <w:r w:rsidR="004F27D9" w:rsidRPr="00EC02CA">
        <w:t xml:space="preserve"> the harm caused </w:t>
      </w:r>
      <w:r w:rsidR="00171BAE" w:rsidRPr="00EC02CA">
        <w:t xml:space="preserve">to </w:t>
      </w:r>
      <w:r w:rsidR="003C2332" w:rsidRPr="00EC02CA">
        <w:t>victim-survivors</w:t>
      </w:r>
      <w:r w:rsidR="00171BAE" w:rsidRPr="00EC02CA">
        <w:t xml:space="preserve"> </w:t>
      </w:r>
      <w:r w:rsidR="004F27D9" w:rsidRPr="00EC02CA">
        <w:t xml:space="preserve">by sexual </w:t>
      </w:r>
      <w:r w:rsidR="007666F4" w:rsidRPr="00EC02CA">
        <w:t>offenders</w:t>
      </w:r>
      <w:r w:rsidR="004F27D9" w:rsidRPr="00EC02CA">
        <w:t xml:space="preserve"> who are adults</w:t>
      </w:r>
      <w:r w:rsidR="007666F4" w:rsidRPr="00EC02CA">
        <w:t xml:space="preserve">, and the need for </w:t>
      </w:r>
      <w:r w:rsidR="00751C33" w:rsidRPr="00EC02CA">
        <w:t xml:space="preserve">the sustained </w:t>
      </w:r>
      <w:r w:rsidR="00FD270B" w:rsidRPr="00EC02CA">
        <w:t xml:space="preserve">commitment to improve the </w:t>
      </w:r>
      <w:r w:rsidR="007666F4" w:rsidRPr="00EC02CA">
        <w:t>crimi</w:t>
      </w:r>
      <w:r w:rsidR="00E455E5" w:rsidRPr="00EC02CA">
        <w:t xml:space="preserve">nal </w:t>
      </w:r>
      <w:r w:rsidR="00171BAE" w:rsidRPr="00EC02CA">
        <w:t>justice</w:t>
      </w:r>
      <w:r w:rsidR="00E455E5" w:rsidRPr="00EC02CA">
        <w:t xml:space="preserve"> system</w:t>
      </w:r>
      <w:r w:rsidR="00171BAE" w:rsidRPr="00EC02CA">
        <w:t xml:space="preserve"> </w:t>
      </w:r>
      <w:r w:rsidR="00FD270B" w:rsidRPr="00EC02CA">
        <w:t>response</w:t>
      </w:r>
      <w:r w:rsidR="00E70820" w:rsidRPr="00EC02CA">
        <w:t xml:space="preserve"> </w:t>
      </w:r>
      <w:r w:rsidR="00751C33" w:rsidRPr="00EC02CA">
        <w:t xml:space="preserve">in </w:t>
      </w:r>
      <w:r w:rsidR="00442C48" w:rsidRPr="00EC02CA">
        <w:t>these cases</w:t>
      </w:r>
      <w:r w:rsidR="00751C33" w:rsidRPr="00EC02CA">
        <w:t>.</w:t>
      </w:r>
    </w:p>
    <w:p w14:paraId="50CCC01F" w14:textId="378A786F" w:rsidR="00A63048" w:rsidRPr="00EC02CA" w:rsidRDefault="00A63048" w:rsidP="002F0007">
      <w:pPr>
        <w:pStyle w:val="NormalNumberedTextTLRI"/>
      </w:pPr>
      <w:r w:rsidRPr="00EC02CA">
        <w:t>It is also important to note that this research was undertaken before the introduction of the social media</w:t>
      </w:r>
      <w:r w:rsidR="00D36F0B" w:rsidRPr="00EC02CA">
        <w:t xml:space="preserve"> age restrictions f</w:t>
      </w:r>
      <w:r w:rsidRPr="00EC02CA">
        <w:t xml:space="preserve">or young people </w:t>
      </w:r>
      <w:r w:rsidR="00C76ECB" w:rsidRPr="00EC02CA">
        <w:t xml:space="preserve">aged </w:t>
      </w:r>
      <w:r w:rsidRPr="00EC02CA">
        <w:t>under 16, which came into effect on 10 December 2025.</w:t>
      </w:r>
      <w:r w:rsidRPr="00EC02CA">
        <w:rPr>
          <w:rStyle w:val="FootnoteReference"/>
        </w:rPr>
        <w:footnoteReference w:id="48"/>
      </w:r>
    </w:p>
    <w:p w14:paraId="4EA3FC13" w14:textId="28FBF561" w:rsidR="007A5D38" w:rsidRPr="00EC02CA" w:rsidRDefault="00F94767" w:rsidP="001F26BE">
      <w:pPr>
        <w:pStyle w:val="NumberedHeadingTLRI"/>
      </w:pPr>
      <w:bookmarkStart w:id="53" w:name="_Toc211849356"/>
      <w:bookmarkStart w:id="54" w:name="_Toc218157252"/>
      <w:r w:rsidRPr="00EC02CA">
        <w:t>S</w:t>
      </w:r>
      <w:r w:rsidR="00A71707" w:rsidRPr="00EC02CA">
        <w:t xml:space="preserve">tructure of this Research </w:t>
      </w:r>
      <w:r w:rsidR="002901BC" w:rsidRPr="00EC02CA">
        <w:t>Paper</w:t>
      </w:r>
      <w:bookmarkEnd w:id="53"/>
      <w:bookmarkEnd w:id="54"/>
    </w:p>
    <w:p w14:paraId="7685B25D" w14:textId="2CC0CAB3" w:rsidR="005E5256" w:rsidRPr="00EC02CA" w:rsidRDefault="00FE7A25" w:rsidP="002F0007">
      <w:pPr>
        <w:pStyle w:val="NormalNumberedTextTLRI"/>
      </w:pPr>
      <w:r w:rsidRPr="00EC02CA">
        <w:t>Part 2</w:t>
      </w:r>
      <w:r w:rsidR="008205DB" w:rsidRPr="00EC02CA">
        <w:t xml:space="preserve"> </w:t>
      </w:r>
      <w:r w:rsidR="005E5256" w:rsidRPr="00EC02CA">
        <w:t>considers the nature and prevalence of sexual offending and harmful sexual behaviour by young people. It e</w:t>
      </w:r>
      <w:r w:rsidR="008205DB" w:rsidRPr="00EC02CA">
        <w:t xml:space="preserve">xplains key terminology </w:t>
      </w:r>
      <w:r w:rsidR="005E5256" w:rsidRPr="00EC02CA">
        <w:t>and</w:t>
      </w:r>
      <w:r w:rsidR="001A7718" w:rsidRPr="00EC02CA">
        <w:t xml:space="preserve"> set</w:t>
      </w:r>
      <w:r w:rsidR="005E5256" w:rsidRPr="00EC02CA">
        <w:t xml:space="preserve">s </w:t>
      </w:r>
      <w:r w:rsidR="001A7718" w:rsidRPr="00EC02CA">
        <w:t>out the broad context of responses to harmful sexual behaviour</w:t>
      </w:r>
      <w:r w:rsidR="005E5256" w:rsidRPr="00EC02CA">
        <w:t>. An understanding of harmful sexual behaviour by young people provides important context to the evaluation of the youth justice response to sexual offences committed by young people. Informed by the findings of the ACMS, and other recent literature, Part 2 provides an overview of this foundational knowledge, highlighting key focuses in the contemporary research while acknowledging the complexities of</w:t>
      </w:r>
      <w:r w:rsidR="00C76ECB" w:rsidRPr="00EC02CA">
        <w:t>,</w:t>
      </w:r>
      <w:r w:rsidR="005E5256" w:rsidRPr="00EC02CA">
        <w:t xml:space="preserve"> and nuance in</w:t>
      </w:r>
      <w:r w:rsidR="00C76ECB" w:rsidRPr="00EC02CA">
        <w:t>,</w:t>
      </w:r>
      <w:r w:rsidR="005E5256" w:rsidRPr="00EC02CA">
        <w:t xml:space="preserve"> sexual offending</w:t>
      </w:r>
      <w:r w:rsidR="003C3EC2" w:rsidRPr="00EC02CA">
        <w:t xml:space="preserve"> by young people</w:t>
      </w:r>
      <w:r w:rsidR="005E5256" w:rsidRPr="00EC02CA">
        <w:t>.</w:t>
      </w:r>
    </w:p>
    <w:p w14:paraId="5FA99686" w14:textId="39E7D938" w:rsidR="005E5256" w:rsidRPr="00EC02CA" w:rsidRDefault="009021BB" w:rsidP="002F0007">
      <w:pPr>
        <w:pStyle w:val="NormalNumberedTextTLRI"/>
        <w:rPr>
          <w:szCs w:val="22"/>
        </w:rPr>
      </w:pPr>
      <w:r w:rsidRPr="00EC02CA">
        <w:t xml:space="preserve">Part 3 set out the broad context of responses to harmful sexual behaviour as well as sexual offending by young people within </w:t>
      </w:r>
      <w:r w:rsidR="00C76ECB" w:rsidRPr="00EC02CA">
        <w:t xml:space="preserve">a </w:t>
      </w:r>
      <w:r w:rsidRPr="00EC02CA">
        <w:t>public health framework, which has been identified by the Royal Commission</w:t>
      </w:r>
      <w:r w:rsidR="00C76ECB" w:rsidRPr="00EC02CA">
        <w:t>,</w:t>
      </w:r>
      <w:r w:rsidRPr="00EC02CA">
        <w:t xml:space="preserve"> the National Strategy to Prevent and Respond to Child Sexual Abuse, and elsewhere</w:t>
      </w:r>
      <w:r w:rsidR="00C76ECB" w:rsidRPr="00EC02CA">
        <w:t>,</w:t>
      </w:r>
      <w:r w:rsidRPr="00EC02CA">
        <w:t xml:space="preserve"> as the appropriate response model.</w:t>
      </w:r>
      <w:r w:rsidRPr="00EC02CA">
        <w:rPr>
          <w:vertAlign w:val="superscript"/>
        </w:rPr>
        <w:footnoteReference w:id="49"/>
      </w:r>
      <w:r w:rsidRPr="00EC02CA">
        <w:t xml:space="preserve"> This framework provides context to understand the response of the </w:t>
      </w:r>
      <w:r w:rsidR="009E6A9A" w:rsidRPr="00EC02CA">
        <w:t>youth</w:t>
      </w:r>
      <w:r w:rsidRPr="00EC02CA">
        <w:t xml:space="preserve"> justice system to young people who commit sexual offences</w:t>
      </w:r>
      <w:r w:rsidR="00C76ECB" w:rsidRPr="00EC02CA">
        <w:t>,</w:t>
      </w:r>
      <w:r w:rsidRPr="00EC02CA">
        <w:t xml:space="preserve"> given that a range of responses or interventions form part of an appropriate response. </w:t>
      </w:r>
    </w:p>
    <w:p w14:paraId="0C69FFBC" w14:textId="14FD4DEC" w:rsidR="00344D3B" w:rsidRPr="00EC02CA" w:rsidRDefault="00860961" w:rsidP="002F0007">
      <w:pPr>
        <w:pStyle w:val="NormalNumberedTextTLRI"/>
      </w:pPr>
      <w:r w:rsidRPr="00EC02CA">
        <w:t xml:space="preserve">Part </w:t>
      </w:r>
      <w:r w:rsidR="002760ED" w:rsidRPr="00EC02CA">
        <w:t>4</w:t>
      </w:r>
      <w:r w:rsidR="00D716A6" w:rsidRPr="00EC02CA">
        <w:t xml:space="preserve"> </w:t>
      </w:r>
      <w:r w:rsidR="002B7C83" w:rsidRPr="00EC02CA">
        <w:t xml:space="preserve">examines criminal responsibility for sexual offending in Tasmania. </w:t>
      </w:r>
      <w:r w:rsidR="00486DCE" w:rsidRPr="00EC02CA">
        <w:t>Being c</w:t>
      </w:r>
      <w:r w:rsidR="002B7C83" w:rsidRPr="00EC02CA">
        <w:t>riminal</w:t>
      </w:r>
      <w:r w:rsidR="00486DCE" w:rsidRPr="00EC02CA">
        <w:t>ly</w:t>
      </w:r>
      <w:r w:rsidR="002B7C83" w:rsidRPr="00EC02CA">
        <w:t xml:space="preserve"> responsib</w:t>
      </w:r>
      <w:r w:rsidR="00486DCE" w:rsidRPr="00EC02CA">
        <w:t>le</w:t>
      </w:r>
      <w:r w:rsidR="002B7C83" w:rsidRPr="00EC02CA">
        <w:t xml:space="preserve"> means</w:t>
      </w:r>
      <w:r w:rsidR="00C76ECB" w:rsidRPr="00EC02CA">
        <w:t xml:space="preserve"> being</w:t>
      </w:r>
      <w:r w:rsidR="002B7C83" w:rsidRPr="00EC02CA">
        <w:t xml:space="preserve"> ‘liable to punishment as for an offence’,</w:t>
      </w:r>
      <w:r w:rsidR="002B7C83" w:rsidRPr="00EC02CA">
        <w:rPr>
          <w:rStyle w:val="FootnoteReference"/>
        </w:rPr>
        <w:footnoteReference w:id="50"/>
      </w:r>
      <w:r w:rsidR="002B7C83" w:rsidRPr="00EC02CA">
        <w:t xml:space="preserve"> and in the context of harmful sexual behaviour by young people</w:t>
      </w:r>
      <w:r w:rsidR="00486DCE" w:rsidRPr="00EC02CA">
        <w:t>, it</w:t>
      </w:r>
      <w:r w:rsidR="002B7C83" w:rsidRPr="00EC02CA">
        <w:t xml:space="preserve"> has two </w:t>
      </w:r>
      <w:r w:rsidR="00363E84" w:rsidRPr="00EC02CA">
        <w:t>components:</w:t>
      </w:r>
      <w:r w:rsidR="00486DCE" w:rsidRPr="00EC02CA">
        <w:t xml:space="preserve"> </w:t>
      </w:r>
      <w:r w:rsidR="00344D3B" w:rsidRPr="00EC02CA">
        <w:t xml:space="preserve">(1) </w:t>
      </w:r>
      <w:r w:rsidR="00363E84" w:rsidRPr="00EC02CA">
        <w:t xml:space="preserve">that </w:t>
      </w:r>
      <w:r w:rsidR="00344D3B" w:rsidRPr="00EC02CA">
        <w:t xml:space="preserve">the </w:t>
      </w:r>
      <w:r w:rsidR="003C3EC2" w:rsidRPr="00EC02CA">
        <w:t>young person</w:t>
      </w:r>
      <w:r w:rsidR="00344D3B" w:rsidRPr="00EC02CA">
        <w:t xml:space="preserve"> is older than the minimum age of criminal responsibility; and</w:t>
      </w:r>
      <w:r w:rsidR="00363E84" w:rsidRPr="00EC02CA">
        <w:t xml:space="preserve"> </w:t>
      </w:r>
      <w:r w:rsidR="00344D3B" w:rsidRPr="00EC02CA">
        <w:t xml:space="preserve">(2) </w:t>
      </w:r>
      <w:r w:rsidR="00363E84" w:rsidRPr="00EC02CA">
        <w:t xml:space="preserve">that </w:t>
      </w:r>
      <w:r w:rsidR="00344D3B" w:rsidRPr="00EC02CA">
        <w:t>the behaviour is within the elements of a criminal offence.</w:t>
      </w:r>
    </w:p>
    <w:p w14:paraId="69DB1639" w14:textId="306469A6" w:rsidR="00E85F0D" w:rsidRPr="00EC02CA" w:rsidRDefault="00E85F0D">
      <w:pPr>
        <w:numPr>
          <w:ilvl w:val="2"/>
          <w:numId w:val="2"/>
        </w:numPr>
        <w:spacing w:before="220"/>
      </w:pPr>
      <w:r w:rsidRPr="00EC02CA">
        <w:t>Part 5</w:t>
      </w:r>
      <w:r w:rsidR="00D716A6" w:rsidRPr="00EC02CA">
        <w:t xml:space="preserve"> </w:t>
      </w:r>
      <w:r w:rsidR="00D716A6" w:rsidRPr="00EC02CA">
        <w:rPr>
          <w:rFonts w:eastAsia="Times" w:cs="Times New Roman"/>
          <w:szCs w:val="20"/>
        </w:rPr>
        <w:t xml:space="preserve">begins the evaluation of </w:t>
      </w:r>
      <w:r w:rsidR="00D716A6" w:rsidRPr="00EC02CA">
        <w:rPr>
          <w:rFonts w:eastAsia="Times" w:cs="Times New Roman"/>
          <w:iCs/>
          <w:szCs w:val="20"/>
        </w:rPr>
        <w:t>how t</w:t>
      </w:r>
      <w:r w:rsidR="00D716A6" w:rsidRPr="00EC02CA">
        <w:rPr>
          <w:rFonts w:eastAsia="Times" w:cs="Times New Roman"/>
          <w:szCs w:val="20"/>
        </w:rPr>
        <w:t xml:space="preserve">he </w:t>
      </w:r>
      <w:r w:rsidR="009E6A9A" w:rsidRPr="00EC02CA">
        <w:rPr>
          <w:rFonts w:eastAsia="Times" w:cs="Times New Roman"/>
          <w:szCs w:val="20"/>
        </w:rPr>
        <w:t xml:space="preserve">youth </w:t>
      </w:r>
      <w:r w:rsidR="00D716A6" w:rsidRPr="00EC02CA">
        <w:rPr>
          <w:rFonts w:eastAsia="Times" w:cs="Times New Roman"/>
          <w:szCs w:val="20"/>
        </w:rPr>
        <w:t xml:space="preserve">justice system responds to a young person who is alleged to have committed a sexual offence. It </w:t>
      </w:r>
      <w:r w:rsidR="00D274A7" w:rsidRPr="00EC02CA">
        <w:rPr>
          <w:rFonts w:eastAsia="Times" w:cs="Times New Roman"/>
          <w:szCs w:val="20"/>
        </w:rPr>
        <w:t xml:space="preserve">provides important context by </w:t>
      </w:r>
      <w:r w:rsidR="00D716A6" w:rsidRPr="00EC02CA">
        <w:rPr>
          <w:rFonts w:eastAsia="Times" w:cs="Times New Roman"/>
          <w:szCs w:val="20"/>
        </w:rPr>
        <w:t>describ</w:t>
      </w:r>
      <w:r w:rsidR="00D274A7" w:rsidRPr="00EC02CA">
        <w:rPr>
          <w:rFonts w:eastAsia="Times" w:cs="Times New Roman"/>
          <w:szCs w:val="20"/>
        </w:rPr>
        <w:t xml:space="preserve">ing </w:t>
      </w:r>
      <w:r w:rsidR="00D716A6" w:rsidRPr="00EC02CA">
        <w:rPr>
          <w:rFonts w:eastAsia="Times" w:cs="Times New Roman"/>
          <w:szCs w:val="20"/>
        </w:rPr>
        <w:t>the shift in approach from a model situated in the welfare needs of young people to one that reflects principles of justice, with a focus also on rehabilitation and diversion. It sets out the key agencies involved in youth justice</w:t>
      </w:r>
      <w:r w:rsidR="00486DCE" w:rsidRPr="00EC02CA">
        <w:rPr>
          <w:rFonts w:eastAsia="Times" w:cs="Times New Roman"/>
          <w:szCs w:val="20"/>
        </w:rPr>
        <w:t>,</w:t>
      </w:r>
      <w:r w:rsidR="00D97E90" w:rsidRPr="00EC02CA">
        <w:rPr>
          <w:rFonts w:eastAsia="Times" w:cs="Times New Roman"/>
          <w:szCs w:val="20"/>
        </w:rPr>
        <w:t xml:space="preserve"> </w:t>
      </w:r>
      <w:r w:rsidR="00D716A6" w:rsidRPr="00EC02CA">
        <w:rPr>
          <w:rFonts w:eastAsia="Times" w:cs="Times New Roman"/>
          <w:szCs w:val="20"/>
        </w:rPr>
        <w:t xml:space="preserve">describes the legislative framework set out in the </w:t>
      </w:r>
      <w:r w:rsidR="00D716A6" w:rsidRPr="00EC02CA">
        <w:rPr>
          <w:rFonts w:eastAsia="Times" w:cs="Times New Roman"/>
          <w:i/>
          <w:szCs w:val="20"/>
        </w:rPr>
        <w:t xml:space="preserve">Youth Justice Act 1997 </w:t>
      </w:r>
      <w:r w:rsidR="00D716A6" w:rsidRPr="00EC02CA">
        <w:rPr>
          <w:rFonts w:eastAsia="Times" w:cs="Times New Roman"/>
          <w:szCs w:val="20"/>
        </w:rPr>
        <w:t>(Tas</w:t>
      </w:r>
      <w:r w:rsidR="00F25C37" w:rsidRPr="00EC02CA">
        <w:rPr>
          <w:rFonts w:eastAsia="Times" w:cs="Times New Roman"/>
          <w:szCs w:val="20"/>
        </w:rPr>
        <w:t>) and</w:t>
      </w:r>
      <w:r w:rsidR="00D716A6" w:rsidRPr="00EC02CA">
        <w:rPr>
          <w:rFonts w:eastAsia="Times" w:cs="Times New Roman"/>
          <w:szCs w:val="20"/>
        </w:rPr>
        <w:t xml:space="preserve"> discusses the tiers of the system</w:t>
      </w:r>
      <w:r w:rsidR="00486DCE" w:rsidRPr="00EC02CA">
        <w:rPr>
          <w:rFonts w:eastAsia="Times" w:cs="Times New Roman"/>
          <w:szCs w:val="20"/>
        </w:rPr>
        <w:t>,</w:t>
      </w:r>
      <w:r w:rsidR="00D716A6" w:rsidRPr="00EC02CA">
        <w:rPr>
          <w:rFonts w:eastAsia="Times" w:cs="Times New Roman"/>
          <w:szCs w:val="20"/>
        </w:rPr>
        <w:t xml:space="preserve"> involving informal cautions, formal cautions, community conferences and </w:t>
      </w:r>
      <w:r w:rsidR="00486DCE" w:rsidRPr="00EC02CA">
        <w:rPr>
          <w:rFonts w:eastAsia="Times" w:cs="Times New Roman"/>
          <w:szCs w:val="20"/>
        </w:rPr>
        <w:t xml:space="preserve">proceedings before </w:t>
      </w:r>
      <w:r w:rsidR="00D716A6" w:rsidRPr="00EC02CA">
        <w:rPr>
          <w:rFonts w:eastAsia="Times" w:cs="Times New Roman"/>
          <w:szCs w:val="20"/>
        </w:rPr>
        <w:t xml:space="preserve">a specialist court – the Magistrates Court (Youth Justice Division). </w:t>
      </w:r>
    </w:p>
    <w:p w14:paraId="10211E47" w14:textId="6DD584A2" w:rsidR="00E85F0D" w:rsidRPr="00EC02CA" w:rsidRDefault="00E85F0D" w:rsidP="002F0007">
      <w:pPr>
        <w:pStyle w:val="NormalNumberedTextTLRI"/>
      </w:pPr>
      <w:r w:rsidRPr="00EC02CA">
        <w:t>Part 6</w:t>
      </w:r>
      <w:r w:rsidR="00D40028" w:rsidRPr="00EC02CA">
        <w:t xml:space="preserve"> explores ways in which allegations of sexual offending by young people are reported in the </w:t>
      </w:r>
      <w:r w:rsidR="00A43EA8" w:rsidRPr="00EC02CA">
        <w:t>youth</w:t>
      </w:r>
      <w:r w:rsidR="00D40028" w:rsidRPr="00EC02CA">
        <w:t xml:space="preserve"> justice system. It explores the extent to which sexual offending by young people is reported to police. It also considers factors that may explain why matters do not proceed after a report is made to police. This is referred to as attrition, such as where a report does not proceed to a charge or where a charge does not proceed to a trial (or a plea of guilty). </w:t>
      </w:r>
      <w:r w:rsidR="00486DCE" w:rsidRPr="00EC02CA">
        <w:t xml:space="preserve">This part </w:t>
      </w:r>
      <w:r w:rsidR="002017B5" w:rsidRPr="00EC02CA">
        <w:t>discusses the issues relating to reporting to police and police proceedings and makes recommendations for reform.</w:t>
      </w:r>
    </w:p>
    <w:p w14:paraId="6ADA964D" w14:textId="7BD66B25" w:rsidR="00E85F0D" w:rsidRPr="00EC02CA" w:rsidRDefault="00E85F0D" w:rsidP="002F0007">
      <w:pPr>
        <w:pStyle w:val="NormalNumberedTextTLRI"/>
      </w:pPr>
      <w:r w:rsidRPr="00EC02CA">
        <w:t>Part 7</w:t>
      </w:r>
      <w:r w:rsidR="00124618" w:rsidRPr="00EC02CA">
        <w:t xml:space="preserve"> sets out the legislative framework for diversion in Tasmania, and its use in relation to sexual offending by young people. It considers the use of diversion in other Australian jurisdiction</w:t>
      </w:r>
      <w:r w:rsidR="00486DCE" w:rsidRPr="00EC02CA">
        <w:t>s</w:t>
      </w:r>
      <w:r w:rsidR="00124618" w:rsidRPr="00EC02CA">
        <w:t xml:space="preserve">, and </w:t>
      </w:r>
      <w:r w:rsidR="00126EB2" w:rsidRPr="00EC02CA">
        <w:t xml:space="preserve">discusses </w:t>
      </w:r>
      <w:r w:rsidR="00124618" w:rsidRPr="00EC02CA">
        <w:t>literature that has considered the use of diversion for sexual offending. It also sets out the views expressed in interviews and makes recommendations for reform.</w:t>
      </w:r>
    </w:p>
    <w:p w14:paraId="6ED6E17F" w14:textId="47B539A1" w:rsidR="002334AB" w:rsidRPr="00EC02CA" w:rsidRDefault="00E85F0D" w:rsidP="00A920EC">
      <w:pPr>
        <w:pStyle w:val="NormalNumberedTextTLRI"/>
      </w:pPr>
      <w:r w:rsidRPr="00EC02CA">
        <w:t>Part 8</w:t>
      </w:r>
      <w:r w:rsidR="0032556D" w:rsidRPr="00EC02CA">
        <w:t xml:space="preserve"> considers the role</w:t>
      </w:r>
      <w:r w:rsidR="00486DCE" w:rsidRPr="00EC02CA">
        <w:t>s</w:t>
      </w:r>
      <w:r w:rsidR="0032556D" w:rsidRPr="00EC02CA">
        <w:t xml:space="preserve"> of the Youth Justice Division and the Supreme Court in relation to </w:t>
      </w:r>
      <w:r w:rsidR="00486DCE" w:rsidRPr="00EC02CA">
        <w:t xml:space="preserve">determining cases of </w:t>
      </w:r>
      <w:r w:rsidR="0032556D" w:rsidRPr="00EC02CA">
        <w:t xml:space="preserve">sexual offending by young people, as well as </w:t>
      </w:r>
      <w:r w:rsidR="00486DCE" w:rsidRPr="00EC02CA">
        <w:t>diverting a young person for sexual offending</w:t>
      </w:r>
      <w:r w:rsidR="005B2FF1" w:rsidRPr="00EC02CA">
        <w:t>,</w:t>
      </w:r>
      <w:r w:rsidR="00486DCE" w:rsidRPr="00EC02CA">
        <w:t xml:space="preserve"> </w:t>
      </w:r>
      <w:r w:rsidR="0032556D" w:rsidRPr="00EC02CA">
        <w:t xml:space="preserve">under the </w:t>
      </w:r>
      <w:r w:rsidR="0032556D" w:rsidRPr="00EC02CA">
        <w:rPr>
          <w:i/>
          <w:iCs/>
        </w:rPr>
        <w:t xml:space="preserve">Youth Justice Act 1997 </w:t>
      </w:r>
      <w:r w:rsidR="0032556D" w:rsidRPr="00EC02CA">
        <w:t xml:space="preserve">(Tas). It sets out data </w:t>
      </w:r>
      <w:r w:rsidR="00486DCE" w:rsidRPr="00EC02CA">
        <w:t xml:space="preserve">on </w:t>
      </w:r>
      <w:r w:rsidR="0032556D" w:rsidRPr="00EC02CA">
        <w:t xml:space="preserve">the </w:t>
      </w:r>
      <w:r w:rsidR="00486DCE" w:rsidRPr="00EC02CA">
        <w:t>prosecution of sexual offending by young people in the</w:t>
      </w:r>
      <w:r w:rsidR="0032556D" w:rsidRPr="00EC02CA">
        <w:t xml:space="preserve"> criminal courts (Youth Justice Division and </w:t>
      </w:r>
      <w:r w:rsidR="005B2FF1" w:rsidRPr="00EC02CA">
        <w:t xml:space="preserve">the </w:t>
      </w:r>
      <w:r w:rsidR="0032556D" w:rsidRPr="00EC02CA">
        <w:t xml:space="preserve">Supreme Court), and </w:t>
      </w:r>
      <w:r w:rsidR="005B2FF1" w:rsidRPr="00EC02CA">
        <w:t xml:space="preserve">provides </w:t>
      </w:r>
      <w:r w:rsidR="0032556D" w:rsidRPr="00EC02CA">
        <w:t>information about sentencing outcomes.</w:t>
      </w:r>
    </w:p>
    <w:p w14:paraId="7B252369" w14:textId="77777777" w:rsidR="00B878B5" w:rsidRPr="00EC02CA" w:rsidRDefault="00B878B5" w:rsidP="002F0007">
      <w:pPr>
        <w:pStyle w:val="NormalNumberedTextTLRI"/>
        <w:sectPr w:rsidR="00B878B5" w:rsidRPr="00EC02CA" w:rsidSect="00093ABB">
          <w:headerReference w:type="even" r:id="rId20"/>
          <w:headerReference w:type="default" r:id="rId21"/>
          <w:footerReference w:type="default" r:id="rId22"/>
          <w:pgSz w:w="11906" w:h="16838"/>
          <w:pgMar w:top="1440" w:right="1440" w:bottom="1440" w:left="1440" w:header="708" w:footer="708" w:gutter="0"/>
          <w:pgNumType w:start="1"/>
          <w:cols w:space="708"/>
          <w:docGrid w:linePitch="360"/>
        </w:sectPr>
      </w:pPr>
    </w:p>
    <w:p w14:paraId="7AEBA683" w14:textId="78F2E7A1" w:rsidR="00695636" w:rsidRPr="00EC02CA" w:rsidRDefault="007737B6" w:rsidP="00A920EC">
      <w:pPr>
        <w:pStyle w:val="PartNoTLRI"/>
        <w:spacing w:after="640"/>
        <w:ind w:left="0" w:firstLine="0"/>
      </w:pPr>
      <w:bookmarkStart w:id="55" w:name="_Toc211849357"/>
      <w:bookmarkStart w:id="56" w:name="_Toc218154122"/>
      <w:bookmarkStart w:id="57" w:name="_Toc218154376"/>
      <w:bookmarkStart w:id="58" w:name="_Toc218154876"/>
      <w:bookmarkStart w:id="59" w:name="_Toc218156436"/>
      <w:bookmarkStart w:id="60" w:name="_Toc218157041"/>
      <w:bookmarkStart w:id="61" w:name="_Toc218157253"/>
      <w:bookmarkStart w:id="62" w:name="_Toc211849358"/>
      <w:bookmarkEnd w:id="55"/>
      <w:bookmarkEnd w:id="56"/>
      <w:bookmarkEnd w:id="57"/>
      <w:bookmarkEnd w:id="58"/>
      <w:bookmarkEnd w:id="59"/>
      <w:bookmarkEnd w:id="60"/>
      <w:bookmarkEnd w:id="61"/>
      <w:r w:rsidRPr="00EC02CA">
        <w:br/>
      </w:r>
      <w:r w:rsidRPr="00EC02CA">
        <w:br/>
      </w:r>
      <w:bookmarkStart w:id="63" w:name="_Toc218157254"/>
      <w:r w:rsidR="00695636" w:rsidRPr="00EC02CA">
        <w:rPr>
          <w:sz w:val="52"/>
          <w:szCs w:val="28"/>
        </w:rPr>
        <w:t>The nature and prevalence of sexual offending by young people</w:t>
      </w:r>
      <w:bookmarkEnd w:id="62"/>
      <w:bookmarkEnd w:id="63"/>
    </w:p>
    <w:p w14:paraId="3D5FFBB5" w14:textId="77777777" w:rsidR="00695636" w:rsidRPr="00EC02CA" w:rsidRDefault="00695636" w:rsidP="00695636">
      <w:pPr>
        <w:pStyle w:val="NumberedHeadingTLRI"/>
      </w:pPr>
      <w:bookmarkStart w:id="64" w:name="_Toc211849359"/>
      <w:bookmarkStart w:id="65" w:name="_Toc218157255"/>
      <w:r w:rsidRPr="00EC02CA">
        <w:t>Introduction</w:t>
      </w:r>
      <w:bookmarkEnd w:id="64"/>
      <w:bookmarkEnd w:id="65"/>
    </w:p>
    <w:p w14:paraId="26481C02" w14:textId="64A44E4D" w:rsidR="00695636" w:rsidRPr="00EC02CA" w:rsidRDefault="00695636" w:rsidP="002F0007">
      <w:pPr>
        <w:pStyle w:val="NormalNumberedTextTLRI"/>
        <w:rPr>
          <w:i/>
          <w:iCs/>
        </w:rPr>
      </w:pPr>
      <w:r w:rsidRPr="00EC02CA">
        <w:t xml:space="preserve">In the 29 years since the </w:t>
      </w:r>
      <w:r w:rsidRPr="00EC02CA">
        <w:rPr>
          <w:i/>
          <w:iCs/>
        </w:rPr>
        <w:t xml:space="preserve">Youth Justice Act 1997 </w:t>
      </w:r>
      <w:r w:rsidR="006612D3" w:rsidRPr="00EC02CA">
        <w:t xml:space="preserve">(Tas) </w:t>
      </w:r>
      <w:r w:rsidRPr="00EC02CA">
        <w:t>was passed</w:t>
      </w:r>
      <w:r w:rsidR="00FC4D54" w:rsidRPr="00EC02CA">
        <w:t>,</w:t>
      </w:r>
      <w:r w:rsidRPr="00EC02CA">
        <w:t xml:space="preserve"> substantial changes have occurred in society’s understanding of sexual offending by young people. Part 2 highlights those changes. It first explains key terms and models for understanding the wide spectrum of sexual behaviours exhibited by young people across developmental stages, such as Hackett’s continuum of harmful sexual behaviours. This provides important context for later sections of this Research Paper, including discussions of difficulties police officers face in deciding how to respond to behaviours that may be on the fringes of criminality [see </w:t>
      </w:r>
      <w:r w:rsidR="00121BCE" w:rsidRPr="00EC02CA">
        <w:t>Part 6</w:t>
      </w:r>
      <w:r w:rsidRPr="00EC02CA">
        <w:t xml:space="preserve">]. In </w:t>
      </w:r>
      <w:r w:rsidR="00151383" w:rsidRPr="00EC02CA">
        <w:t xml:space="preserve">Part </w:t>
      </w:r>
      <w:r w:rsidRPr="00EC02CA">
        <w:t>2.3</w:t>
      </w:r>
      <w:r w:rsidR="00151383" w:rsidRPr="00EC02CA">
        <w:t xml:space="preserve">, </w:t>
      </w:r>
      <w:r w:rsidRPr="00EC02CA">
        <w:t xml:space="preserve">the potential harms of sexual offending by young people, both physical and ‘online’, are discussed. </w:t>
      </w:r>
      <w:r w:rsidR="00151383" w:rsidRPr="00EC02CA">
        <w:t>Part 2 then</w:t>
      </w:r>
      <w:r w:rsidRPr="00EC02CA">
        <w:t xml:space="preserve"> examines available evidence concerning the prevalence of physical and online sexual offending by young people. In addition to considering key international and Australian research, </w:t>
      </w:r>
      <w:r w:rsidR="00151383" w:rsidRPr="00EC02CA">
        <w:t>Part</w:t>
      </w:r>
      <w:r w:rsidRPr="00EC02CA">
        <w:t xml:space="preserve"> 2.4 presents Tasmania-specific data – including original empirical research collected by the TLRI with the assistance of state departments. The paper then overviews contemporary understanding</w:t>
      </w:r>
      <w:r w:rsidR="00FC4D54" w:rsidRPr="00EC02CA">
        <w:t>s</w:t>
      </w:r>
      <w:r w:rsidRPr="00EC02CA">
        <w:t xml:space="preserve"> of the nature of sexual offending by young people, including risk and protective factors. Finally, </w:t>
      </w:r>
      <w:r w:rsidR="00151383" w:rsidRPr="00EC02CA">
        <w:t>Part</w:t>
      </w:r>
      <w:r w:rsidRPr="00EC02CA">
        <w:t xml:space="preserve"> 2.6 examines the aetiology of harmful sexual behaviour</w:t>
      </w:r>
      <w:r w:rsidR="00FC4D54" w:rsidRPr="00EC02CA">
        <w:t xml:space="preserve"> (that is, </w:t>
      </w:r>
      <w:r w:rsidR="00A54FB1" w:rsidRPr="00EC02CA">
        <w:t>its</w:t>
      </w:r>
      <w:r w:rsidR="00FC4D54" w:rsidRPr="00EC02CA">
        <w:t xml:space="preserve"> causes or origins)</w:t>
      </w:r>
      <w:r w:rsidRPr="00EC02CA">
        <w:t>, the onset of sexual offending by young people and life-course offending patterns, and typologies of young people who sexually offend. It draws on the responses of participants in the interviews conducted by the TLRI to provide a Tasmanian context.</w:t>
      </w:r>
    </w:p>
    <w:p w14:paraId="3767369E" w14:textId="77777777" w:rsidR="00695636" w:rsidRPr="00EC02CA" w:rsidRDefault="00695636" w:rsidP="00695636">
      <w:pPr>
        <w:pStyle w:val="NumberedHeadingTLRI"/>
      </w:pPr>
      <w:bookmarkStart w:id="66" w:name="_Toc211849360"/>
      <w:bookmarkStart w:id="67" w:name="_Ref217895383"/>
      <w:bookmarkStart w:id="68" w:name="_Toc218157256"/>
      <w:bookmarkStart w:id="69" w:name="_Ref218252803"/>
      <w:bookmarkStart w:id="70" w:name="_Ref218252859"/>
      <w:bookmarkStart w:id="71" w:name="_Ref218252871"/>
      <w:r w:rsidRPr="00EC02CA">
        <w:t>Sexual behaviour exhibited by young people: key terms and concepts</w:t>
      </w:r>
      <w:bookmarkEnd w:id="66"/>
      <w:bookmarkEnd w:id="67"/>
      <w:bookmarkEnd w:id="68"/>
      <w:bookmarkEnd w:id="69"/>
      <w:bookmarkEnd w:id="70"/>
      <w:bookmarkEnd w:id="71"/>
    </w:p>
    <w:p w14:paraId="0DA72697" w14:textId="64BFC41B" w:rsidR="00695636" w:rsidRPr="00EC02CA" w:rsidRDefault="00695636" w:rsidP="002F0007">
      <w:pPr>
        <w:pStyle w:val="NormalNumberedTextTLRI"/>
        <w:rPr>
          <w:szCs w:val="22"/>
        </w:rPr>
      </w:pPr>
      <w:r w:rsidRPr="00EC02CA">
        <w:t>Different approaches have been taken internationally to catalogue and understand the range of sexual behaviours that might be exhibited by children from early childhood to late adolescence (prior to adulthood). A model developed by Hackett and colleagues constructs sexual behaviours on a continuum ranging from developmentally normal for the age of the child or young person, through to behaviours that are inappropriate, problematic, abusive, or violent.</w:t>
      </w:r>
      <w:bookmarkStart w:id="72" w:name="_Ref217907533"/>
      <w:r w:rsidRPr="00EC02CA">
        <w:rPr>
          <w:rStyle w:val="FootnoteReference"/>
        </w:rPr>
        <w:footnoteReference w:id="51"/>
      </w:r>
      <w:bookmarkEnd w:id="72"/>
      <w:r w:rsidRPr="00EC02CA">
        <w:t xml:space="preserve"> Table 2.1 illustrates some key features of Hackett’s model and provides examples of the characteristics of behaviours along the continuum.</w:t>
      </w:r>
    </w:p>
    <w:p w14:paraId="60802481" w14:textId="5B032CA6" w:rsidR="00695636" w:rsidRPr="00EC02CA" w:rsidRDefault="00695636" w:rsidP="00A920EC">
      <w:pPr>
        <w:pStyle w:val="NormalNumberedTextTLRI"/>
        <w:keepNext/>
        <w:keepLines/>
        <w:numPr>
          <w:ilvl w:val="0"/>
          <w:numId w:val="0"/>
        </w:numPr>
      </w:pPr>
      <w:r w:rsidRPr="00EC02CA">
        <w:rPr>
          <w:b/>
          <w:bCs/>
        </w:rPr>
        <w:t xml:space="preserve">Table </w:t>
      </w:r>
      <w:r w:rsidR="006612D3" w:rsidRPr="00EC02CA">
        <w:rPr>
          <w:b/>
          <w:bCs/>
        </w:rPr>
        <w:t>2</w:t>
      </w:r>
      <w:r w:rsidRPr="00EC02CA">
        <w:rPr>
          <w:b/>
          <w:bCs/>
        </w:rPr>
        <w:t>.</w:t>
      </w:r>
      <w:r w:rsidR="006612D3" w:rsidRPr="00EC02CA">
        <w:rPr>
          <w:b/>
          <w:bCs/>
        </w:rPr>
        <w:t>1</w:t>
      </w:r>
      <w:r w:rsidRPr="00EC02CA">
        <w:t xml:space="preserve"> Continuum of </w:t>
      </w:r>
      <w:r w:rsidR="007332A2" w:rsidRPr="00EC02CA">
        <w:t>s</w:t>
      </w:r>
      <w:r w:rsidRPr="00EC02CA">
        <w:t xml:space="preserve">exual </w:t>
      </w:r>
      <w:r w:rsidR="007332A2" w:rsidRPr="00EC02CA">
        <w:t>b</w:t>
      </w:r>
      <w:r w:rsidRPr="00EC02CA">
        <w:t>ehaviours</w:t>
      </w:r>
      <w:r w:rsidR="00121BCE" w:rsidRPr="00EC02CA">
        <w:rPr>
          <w:rStyle w:val="FootnoteReference"/>
          <w:b/>
          <w:bCs/>
        </w:rPr>
        <w:footnoteReference w:id="52"/>
      </w:r>
      <w:r w:rsidRPr="00EC02CA">
        <w:t xml:space="preserve"> </w:t>
      </w:r>
    </w:p>
    <w:tbl>
      <w:tblPr>
        <w:tblStyle w:val="TableGrid"/>
        <w:tblW w:w="9098" w:type="dxa"/>
        <w:tblLayout w:type="fixed"/>
        <w:tblLook w:val="04A0" w:firstRow="1" w:lastRow="0" w:firstColumn="1" w:lastColumn="0" w:noHBand="0" w:noVBand="1"/>
      </w:tblPr>
      <w:tblGrid>
        <w:gridCol w:w="1819"/>
        <w:gridCol w:w="1820"/>
        <w:gridCol w:w="1819"/>
        <w:gridCol w:w="1820"/>
        <w:gridCol w:w="1820"/>
      </w:tblGrid>
      <w:tr w:rsidR="00695636" w:rsidRPr="00EC02CA" w14:paraId="260780CA" w14:textId="77777777" w:rsidTr="00A920EC">
        <w:trPr>
          <w:trHeight w:val="424"/>
        </w:trPr>
        <w:tc>
          <w:tcPr>
            <w:tcW w:w="1819" w:type="dxa"/>
          </w:tcPr>
          <w:p w14:paraId="2F0544CD" w14:textId="5C92351E" w:rsidR="00695636" w:rsidRPr="00EC02CA" w:rsidRDefault="008D5891" w:rsidP="00A920EC">
            <w:pPr>
              <w:keepNext/>
              <w:keepLines/>
              <w:spacing w:before="60" w:after="60"/>
              <w:jc w:val="center"/>
              <w:rPr>
                <w:b/>
                <w:bCs/>
                <w:sz w:val="20"/>
              </w:rPr>
            </w:pPr>
            <w:r w:rsidRPr="00EC02CA">
              <w:rPr>
                <w:b/>
                <w:bCs/>
                <w:sz w:val="20"/>
                <w:szCs w:val="20"/>
              </w:rPr>
              <w:t>Typical</w:t>
            </w:r>
          </w:p>
        </w:tc>
        <w:tc>
          <w:tcPr>
            <w:tcW w:w="1820" w:type="dxa"/>
          </w:tcPr>
          <w:p w14:paraId="782D4170" w14:textId="77777777" w:rsidR="00695636" w:rsidRPr="00EC02CA" w:rsidRDefault="00695636" w:rsidP="00A920EC">
            <w:pPr>
              <w:keepNext/>
              <w:keepLines/>
              <w:spacing w:before="60" w:after="60"/>
              <w:jc w:val="center"/>
              <w:rPr>
                <w:b/>
                <w:bCs/>
                <w:sz w:val="20"/>
              </w:rPr>
            </w:pPr>
            <w:r w:rsidRPr="00EC02CA">
              <w:rPr>
                <w:b/>
                <w:bCs/>
                <w:sz w:val="20"/>
                <w:szCs w:val="20"/>
              </w:rPr>
              <w:t>Inappropriate</w:t>
            </w:r>
          </w:p>
        </w:tc>
        <w:tc>
          <w:tcPr>
            <w:tcW w:w="1819" w:type="dxa"/>
          </w:tcPr>
          <w:p w14:paraId="7B346523" w14:textId="77777777" w:rsidR="00695636" w:rsidRPr="00EC02CA" w:rsidRDefault="00695636" w:rsidP="00A920EC">
            <w:pPr>
              <w:keepNext/>
              <w:keepLines/>
              <w:spacing w:before="60" w:after="60"/>
              <w:jc w:val="center"/>
              <w:rPr>
                <w:b/>
                <w:bCs/>
                <w:sz w:val="20"/>
              </w:rPr>
            </w:pPr>
            <w:r w:rsidRPr="00EC02CA">
              <w:rPr>
                <w:b/>
                <w:bCs/>
                <w:sz w:val="20"/>
                <w:szCs w:val="20"/>
              </w:rPr>
              <w:t>Problematic</w:t>
            </w:r>
          </w:p>
        </w:tc>
        <w:tc>
          <w:tcPr>
            <w:tcW w:w="1820" w:type="dxa"/>
          </w:tcPr>
          <w:p w14:paraId="2418EEDF" w14:textId="77777777" w:rsidR="00695636" w:rsidRPr="00EC02CA" w:rsidRDefault="00695636" w:rsidP="00A920EC">
            <w:pPr>
              <w:keepNext/>
              <w:keepLines/>
              <w:spacing w:before="60" w:after="60"/>
              <w:jc w:val="center"/>
              <w:rPr>
                <w:b/>
                <w:bCs/>
                <w:sz w:val="20"/>
              </w:rPr>
            </w:pPr>
            <w:r w:rsidRPr="00EC02CA">
              <w:rPr>
                <w:b/>
                <w:bCs/>
                <w:sz w:val="20"/>
                <w:szCs w:val="20"/>
              </w:rPr>
              <w:t>Abusive</w:t>
            </w:r>
          </w:p>
        </w:tc>
        <w:tc>
          <w:tcPr>
            <w:tcW w:w="1820" w:type="dxa"/>
          </w:tcPr>
          <w:p w14:paraId="6B909DED" w14:textId="77777777" w:rsidR="00695636" w:rsidRPr="00EC02CA" w:rsidRDefault="00695636" w:rsidP="00A920EC">
            <w:pPr>
              <w:keepNext/>
              <w:keepLines/>
              <w:spacing w:before="60" w:after="60"/>
              <w:jc w:val="center"/>
              <w:rPr>
                <w:b/>
                <w:bCs/>
                <w:sz w:val="20"/>
              </w:rPr>
            </w:pPr>
            <w:r w:rsidRPr="00EC02CA">
              <w:rPr>
                <w:b/>
                <w:bCs/>
                <w:sz w:val="20"/>
                <w:szCs w:val="20"/>
              </w:rPr>
              <w:t>Violent</w:t>
            </w:r>
          </w:p>
        </w:tc>
      </w:tr>
      <w:tr w:rsidR="00695636" w:rsidRPr="00EC02CA" w14:paraId="05282C7D" w14:textId="77777777" w:rsidTr="00A920EC">
        <w:trPr>
          <w:trHeight w:val="3508"/>
        </w:trPr>
        <w:tc>
          <w:tcPr>
            <w:tcW w:w="1819" w:type="dxa"/>
            <w:tcBorders>
              <w:bottom w:val="single" w:sz="4" w:space="0" w:color="auto"/>
            </w:tcBorders>
          </w:tcPr>
          <w:p w14:paraId="08E48A3F" w14:textId="77777777" w:rsidR="00695636" w:rsidRPr="00EC02CA" w:rsidRDefault="00695636" w:rsidP="00A920EC">
            <w:pPr>
              <w:keepNext/>
              <w:keepLines/>
              <w:spacing w:before="60" w:after="60"/>
              <w:jc w:val="left"/>
              <w:rPr>
                <w:sz w:val="20"/>
              </w:rPr>
            </w:pPr>
            <w:r w:rsidRPr="00EC02CA">
              <w:rPr>
                <w:sz w:val="20"/>
                <w:szCs w:val="20"/>
              </w:rPr>
              <w:t xml:space="preserve">Behaviour is developmentally expected </w:t>
            </w:r>
          </w:p>
          <w:p w14:paraId="42984397" w14:textId="77777777" w:rsidR="00695636" w:rsidRPr="00EC02CA" w:rsidRDefault="00695636" w:rsidP="00A920EC">
            <w:pPr>
              <w:keepNext/>
              <w:keepLines/>
              <w:spacing w:before="60" w:after="60"/>
              <w:jc w:val="left"/>
              <w:rPr>
                <w:sz w:val="20"/>
              </w:rPr>
            </w:pPr>
            <w:r w:rsidRPr="00EC02CA">
              <w:rPr>
                <w:sz w:val="20"/>
                <w:szCs w:val="20"/>
              </w:rPr>
              <w:t>Socially acceptable</w:t>
            </w:r>
          </w:p>
          <w:p w14:paraId="6665D43D" w14:textId="77777777" w:rsidR="00695636" w:rsidRPr="00EC02CA" w:rsidRDefault="00695636" w:rsidP="00A920EC">
            <w:pPr>
              <w:keepNext/>
              <w:keepLines/>
              <w:spacing w:before="60" w:after="60"/>
              <w:jc w:val="left"/>
              <w:rPr>
                <w:sz w:val="20"/>
              </w:rPr>
            </w:pPr>
            <w:r w:rsidRPr="00EC02CA">
              <w:rPr>
                <w:sz w:val="20"/>
                <w:szCs w:val="20"/>
              </w:rPr>
              <w:t xml:space="preserve">Consensual, mutual and reciprocal </w:t>
            </w:r>
          </w:p>
          <w:p w14:paraId="6B8C26F0" w14:textId="320BFEBC" w:rsidR="00695636" w:rsidRPr="00EC02CA" w:rsidRDefault="00695636" w:rsidP="00A920EC">
            <w:pPr>
              <w:keepNext/>
              <w:keepLines/>
              <w:spacing w:before="60" w:after="60"/>
              <w:jc w:val="left"/>
              <w:rPr>
                <w:sz w:val="20"/>
              </w:rPr>
            </w:pPr>
            <w:r w:rsidRPr="00EC02CA">
              <w:rPr>
                <w:sz w:val="20"/>
                <w:szCs w:val="20"/>
              </w:rPr>
              <w:t>Involves shared decision</w:t>
            </w:r>
            <w:r w:rsidR="00933D08" w:rsidRPr="00EC02CA">
              <w:rPr>
                <w:sz w:val="20"/>
                <w:szCs w:val="20"/>
              </w:rPr>
              <w:t>-</w:t>
            </w:r>
            <w:r w:rsidRPr="00EC02CA">
              <w:rPr>
                <w:sz w:val="20"/>
                <w:szCs w:val="20"/>
              </w:rPr>
              <w:t>making</w:t>
            </w:r>
          </w:p>
        </w:tc>
        <w:tc>
          <w:tcPr>
            <w:tcW w:w="1820" w:type="dxa"/>
            <w:tcBorders>
              <w:bottom w:val="single" w:sz="4" w:space="0" w:color="auto"/>
            </w:tcBorders>
          </w:tcPr>
          <w:p w14:paraId="7ABEABE9" w14:textId="77777777" w:rsidR="00695636" w:rsidRPr="00EC02CA" w:rsidRDefault="00695636" w:rsidP="00A920EC">
            <w:pPr>
              <w:keepNext/>
              <w:keepLines/>
              <w:spacing w:before="60" w:after="60"/>
              <w:jc w:val="left"/>
              <w:rPr>
                <w:sz w:val="20"/>
              </w:rPr>
            </w:pPr>
            <w:r w:rsidRPr="00EC02CA">
              <w:rPr>
                <w:sz w:val="20"/>
                <w:szCs w:val="20"/>
              </w:rPr>
              <w:t xml:space="preserve">Single instances of inappropriate sexual behaviour </w:t>
            </w:r>
          </w:p>
          <w:p w14:paraId="7FD60B0B" w14:textId="77777777" w:rsidR="00695636" w:rsidRPr="00EC02CA" w:rsidRDefault="00695636" w:rsidP="00A920EC">
            <w:pPr>
              <w:keepNext/>
              <w:keepLines/>
              <w:spacing w:before="60" w:after="60"/>
              <w:jc w:val="left"/>
              <w:rPr>
                <w:sz w:val="20"/>
              </w:rPr>
            </w:pPr>
            <w:r w:rsidRPr="00EC02CA">
              <w:rPr>
                <w:sz w:val="20"/>
                <w:szCs w:val="20"/>
              </w:rPr>
              <w:t xml:space="preserve">Socially acceptable within the peer group </w:t>
            </w:r>
          </w:p>
          <w:p w14:paraId="51729982" w14:textId="77777777" w:rsidR="00695636" w:rsidRPr="00EC02CA" w:rsidRDefault="00695636" w:rsidP="00A920EC">
            <w:pPr>
              <w:keepNext/>
              <w:keepLines/>
              <w:spacing w:before="60" w:after="60"/>
              <w:jc w:val="left"/>
              <w:rPr>
                <w:sz w:val="20"/>
              </w:rPr>
            </w:pPr>
            <w:r w:rsidRPr="00EC02CA">
              <w:rPr>
                <w:sz w:val="20"/>
                <w:szCs w:val="20"/>
              </w:rPr>
              <w:t xml:space="preserve">Behaviour is in an inappropriate context </w:t>
            </w:r>
          </w:p>
          <w:p w14:paraId="3477FB73" w14:textId="77777777" w:rsidR="00695636" w:rsidRPr="00EC02CA" w:rsidRDefault="00695636" w:rsidP="00A920EC">
            <w:pPr>
              <w:keepNext/>
              <w:keepLines/>
              <w:spacing w:before="60" w:after="60"/>
              <w:jc w:val="left"/>
              <w:rPr>
                <w:sz w:val="20"/>
              </w:rPr>
            </w:pPr>
            <w:r w:rsidRPr="00EC02CA">
              <w:rPr>
                <w:sz w:val="20"/>
                <w:szCs w:val="20"/>
              </w:rPr>
              <w:t>Generally consensual and reciprocal</w:t>
            </w:r>
          </w:p>
        </w:tc>
        <w:tc>
          <w:tcPr>
            <w:tcW w:w="1819" w:type="dxa"/>
            <w:tcBorders>
              <w:bottom w:val="single" w:sz="4" w:space="0" w:color="auto"/>
            </w:tcBorders>
          </w:tcPr>
          <w:p w14:paraId="79F641D7" w14:textId="77777777" w:rsidR="00695636" w:rsidRPr="00EC02CA" w:rsidRDefault="00695636" w:rsidP="00A920EC">
            <w:pPr>
              <w:keepNext/>
              <w:keepLines/>
              <w:spacing w:before="60" w:after="60"/>
              <w:jc w:val="left"/>
              <w:rPr>
                <w:sz w:val="20"/>
              </w:rPr>
            </w:pPr>
            <w:r w:rsidRPr="00EC02CA">
              <w:rPr>
                <w:sz w:val="20"/>
                <w:szCs w:val="20"/>
              </w:rPr>
              <w:t xml:space="preserve">Behaviour is problematic and concerning </w:t>
            </w:r>
          </w:p>
          <w:p w14:paraId="7748D7DA" w14:textId="77777777" w:rsidR="00695636" w:rsidRPr="00EC02CA" w:rsidRDefault="00695636" w:rsidP="00A920EC">
            <w:pPr>
              <w:keepNext/>
              <w:keepLines/>
              <w:spacing w:before="60" w:after="60"/>
              <w:jc w:val="left"/>
              <w:rPr>
                <w:sz w:val="20"/>
              </w:rPr>
            </w:pPr>
            <w:r w:rsidRPr="00EC02CA">
              <w:rPr>
                <w:sz w:val="20"/>
                <w:szCs w:val="20"/>
              </w:rPr>
              <w:t xml:space="preserve">Developmentally unusual or socially unexpected </w:t>
            </w:r>
          </w:p>
          <w:p w14:paraId="408DC50D" w14:textId="77777777" w:rsidR="00695636" w:rsidRPr="00EC02CA" w:rsidRDefault="00695636" w:rsidP="00A920EC">
            <w:pPr>
              <w:keepNext/>
              <w:keepLines/>
              <w:spacing w:before="60" w:after="60"/>
              <w:jc w:val="left"/>
              <w:rPr>
                <w:sz w:val="20"/>
              </w:rPr>
            </w:pPr>
            <w:r w:rsidRPr="00EC02CA">
              <w:rPr>
                <w:sz w:val="20"/>
                <w:szCs w:val="20"/>
              </w:rPr>
              <w:t xml:space="preserve">Consent issues unclear </w:t>
            </w:r>
          </w:p>
          <w:p w14:paraId="19CD4B22" w14:textId="77777777" w:rsidR="00695636" w:rsidRPr="00EC02CA" w:rsidRDefault="00695636" w:rsidP="00A920EC">
            <w:pPr>
              <w:keepNext/>
              <w:keepLines/>
              <w:spacing w:before="60" w:after="60"/>
              <w:jc w:val="left"/>
              <w:rPr>
                <w:sz w:val="20"/>
              </w:rPr>
            </w:pPr>
            <w:r w:rsidRPr="00EC02CA">
              <w:rPr>
                <w:sz w:val="20"/>
                <w:szCs w:val="20"/>
              </w:rPr>
              <w:t xml:space="preserve">May lack reciprocity or equal power </w:t>
            </w:r>
          </w:p>
          <w:p w14:paraId="73C80ECC" w14:textId="77777777" w:rsidR="00695636" w:rsidRPr="00EC02CA" w:rsidRDefault="00695636" w:rsidP="00A920EC">
            <w:pPr>
              <w:keepNext/>
              <w:keepLines/>
              <w:spacing w:before="60" w:after="60"/>
              <w:jc w:val="left"/>
              <w:rPr>
                <w:sz w:val="20"/>
              </w:rPr>
            </w:pPr>
            <w:r w:rsidRPr="00EC02CA">
              <w:rPr>
                <w:sz w:val="20"/>
                <w:szCs w:val="20"/>
              </w:rPr>
              <w:t>May include compulsivity</w:t>
            </w:r>
          </w:p>
        </w:tc>
        <w:tc>
          <w:tcPr>
            <w:tcW w:w="1820" w:type="dxa"/>
            <w:tcBorders>
              <w:bottom w:val="single" w:sz="4" w:space="0" w:color="auto"/>
            </w:tcBorders>
          </w:tcPr>
          <w:p w14:paraId="5CEC91D5" w14:textId="77777777" w:rsidR="00695636" w:rsidRPr="00EC02CA" w:rsidRDefault="00695636" w:rsidP="00A920EC">
            <w:pPr>
              <w:keepNext/>
              <w:keepLines/>
              <w:spacing w:before="60" w:after="60"/>
              <w:jc w:val="left"/>
              <w:rPr>
                <w:sz w:val="20"/>
              </w:rPr>
            </w:pPr>
            <w:r w:rsidRPr="00EC02CA">
              <w:rPr>
                <w:sz w:val="20"/>
                <w:szCs w:val="20"/>
              </w:rPr>
              <w:t xml:space="preserve">Victimising intent or outcome </w:t>
            </w:r>
          </w:p>
          <w:p w14:paraId="7AA37D9B" w14:textId="77777777" w:rsidR="00695636" w:rsidRPr="00EC02CA" w:rsidRDefault="00695636" w:rsidP="00A920EC">
            <w:pPr>
              <w:keepNext/>
              <w:keepLines/>
              <w:spacing w:before="60" w:after="60"/>
              <w:jc w:val="left"/>
              <w:rPr>
                <w:sz w:val="20"/>
              </w:rPr>
            </w:pPr>
            <w:r w:rsidRPr="00EC02CA">
              <w:rPr>
                <w:sz w:val="20"/>
                <w:szCs w:val="20"/>
              </w:rPr>
              <w:t xml:space="preserve">Misuse of power </w:t>
            </w:r>
          </w:p>
          <w:p w14:paraId="6D168C5B" w14:textId="77777777" w:rsidR="00695636" w:rsidRPr="00EC02CA" w:rsidRDefault="00695636" w:rsidP="00A920EC">
            <w:pPr>
              <w:keepNext/>
              <w:keepLines/>
              <w:spacing w:before="60" w:after="60"/>
              <w:jc w:val="left"/>
              <w:rPr>
                <w:sz w:val="20"/>
              </w:rPr>
            </w:pPr>
            <w:r w:rsidRPr="00EC02CA">
              <w:rPr>
                <w:sz w:val="20"/>
                <w:szCs w:val="20"/>
              </w:rPr>
              <w:t xml:space="preserve">Involves coercion or force </w:t>
            </w:r>
          </w:p>
          <w:p w14:paraId="15137260" w14:textId="77777777" w:rsidR="00695636" w:rsidRPr="00EC02CA" w:rsidRDefault="00695636" w:rsidP="00A920EC">
            <w:pPr>
              <w:keepNext/>
              <w:keepLines/>
              <w:spacing w:before="60" w:after="60"/>
              <w:jc w:val="left"/>
              <w:rPr>
                <w:sz w:val="20"/>
              </w:rPr>
            </w:pPr>
            <w:r w:rsidRPr="00EC02CA">
              <w:rPr>
                <w:sz w:val="20"/>
                <w:szCs w:val="20"/>
              </w:rPr>
              <w:t xml:space="preserve">Intrusive </w:t>
            </w:r>
          </w:p>
          <w:p w14:paraId="26179555" w14:textId="77777777" w:rsidR="00695636" w:rsidRPr="00EC02CA" w:rsidRDefault="00695636" w:rsidP="00A920EC">
            <w:pPr>
              <w:keepNext/>
              <w:keepLines/>
              <w:spacing w:before="60" w:after="60"/>
              <w:jc w:val="left"/>
              <w:rPr>
                <w:sz w:val="20"/>
              </w:rPr>
            </w:pPr>
            <w:r w:rsidRPr="00EC02CA">
              <w:rPr>
                <w:sz w:val="20"/>
                <w:szCs w:val="20"/>
              </w:rPr>
              <w:t xml:space="preserve">Lacks informed consent or victim unable to give consent </w:t>
            </w:r>
          </w:p>
          <w:p w14:paraId="71C8AA27" w14:textId="77777777" w:rsidR="00695636" w:rsidRPr="00EC02CA" w:rsidRDefault="00695636" w:rsidP="00A920EC">
            <w:pPr>
              <w:keepNext/>
              <w:keepLines/>
              <w:spacing w:before="60" w:after="60"/>
              <w:jc w:val="left"/>
              <w:rPr>
                <w:sz w:val="20"/>
              </w:rPr>
            </w:pPr>
            <w:r w:rsidRPr="00EC02CA">
              <w:rPr>
                <w:sz w:val="20"/>
                <w:szCs w:val="20"/>
              </w:rPr>
              <w:t>May include expressive violence</w:t>
            </w:r>
          </w:p>
        </w:tc>
        <w:tc>
          <w:tcPr>
            <w:tcW w:w="1820" w:type="dxa"/>
            <w:tcBorders>
              <w:bottom w:val="single" w:sz="4" w:space="0" w:color="auto"/>
            </w:tcBorders>
          </w:tcPr>
          <w:p w14:paraId="3A3496ED" w14:textId="77777777" w:rsidR="00695636" w:rsidRPr="00EC02CA" w:rsidRDefault="00695636" w:rsidP="00A920EC">
            <w:pPr>
              <w:keepNext/>
              <w:keepLines/>
              <w:spacing w:before="60" w:after="60"/>
              <w:jc w:val="left"/>
              <w:rPr>
                <w:sz w:val="20"/>
              </w:rPr>
            </w:pPr>
            <w:r w:rsidRPr="00EC02CA">
              <w:rPr>
                <w:sz w:val="20"/>
                <w:szCs w:val="20"/>
              </w:rPr>
              <w:t xml:space="preserve">Physically violent </w:t>
            </w:r>
          </w:p>
          <w:p w14:paraId="0E8EC636" w14:textId="77777777" w:rsidR="00695636" w:rsidRPr="00EC02CA" w:rsidRDefault="00695636" w:rsidP="00A920EC">
            <w:pPr>
              <w:keepNext/>
              <w:keepLines/>
              <w:spacing w:before="60" w:after="60"/>
              <w:jc w:val="left"/>
              <w:rPr>
                <w:sz w:val="20"/>
              </w:rPr>
            </w:pPr>
            <w:r w:rsidRPr="00EC02CA">
              <w:rPr>
                <w:sz w:val="20"/>
                <w:szCs w:val="20"/>
              </w:rPr>
              <w:t xml:space="preserve">Highly intrusive </w:t>
            </w:r>
          </w:p>
          <w:p w14:paraId="1656BD5E" w14:textId="47AA983B" w:rsidR="00695636" w:rsidRPr="00EC02CA" w:rsidRDefault="00695636" w:rsidP="00A920EC">
            <w:pPr>
              <w:keepNext/>
              <w:keepLines/>
              <w:spacing w:before="60" w:after="60"/>
              <w:jc w:val="left"/>
              <w:rPr>
                <w:sz w:val="20"/>
              </w:rPr>
            </w:pPr>
            <w:r w:rsidRPr="00EC02CA">
              <w:rPr>
                <w:sz w:val="20"/>
                <w:szCs w:val="20"/>
              </w:rPr>
              <w:t xml:space="preserve">Instrumental violence, physiologically or sexually arousing to the </w:t>
            </w:r>
            <w:r w:rsidR="000456D0" w:rsidRPr="00EC02CA">
              <w:rPr>
                <w:sz w:val="20"/>
                <w:szCs w:val="20"/>
              </w:rPr>
              <w:t>person responsible</w:t>
            </w:r>
            <w:r w:rsidRPr="00EC02CA">
              <w:rPr>
                <w:sz w:val="20"/>
                <w:szCs w:val="20"/>
              </w:rPr>
              <w:t xml:space="preserve"> </w:t>
            </w:r>
          </w:p>
          <w:p w14:paraId="18AB7806" w14:textId="77777777" w:rsidR="00695636" w:rsidRPr="00EC02CA" w:rsidRDefault="00695636" w:rsidP="00A920EC">
            <w:pPr>
              <w:keepNext/>
              <w:keepLines/>
              <w:spacing w:before="60" w:after="60"/>
              <w:jc w:val="left"/>
              <w:rPr>
                <w:sz w:val="20"/>
              </w:rPr>
            </w:pPr>
            <w:r w:rsidRPr="00EC02CA">
              <w:rPr>
                <w:sz w:val="20"/>
                <w:szCs w:val="20"/>
              </w:rPr>
              <w:t>Sadism</w:t>
            </w:r>
          </w:p>
        </w:tc>
      </w:tr>
    </w:tbl>
    <w:p w14:paraId="40A7D5E4" w14:textId="38619F98" w:rsidR="00695636" w:rsidRPr="00EC02CA" w:rsidRDefault="00695636" w:rsidP="00320BB2">
      <w:pPr>
        <w:pStyle w:val="NormalNumberedTextTLRI"/>
      </w:pPr>
      <w:r w:rsidRPr="00EC02CA">
        <w:t>This model has been used to inform policies and practices in settings such as education, child protection and youth justice.</w:t>
      </w:r>
      <w:r w:rsidRPr="00EC02CA">
        <w:rPr>
          <w:rStyle w:val="FootnoteReference"/>
        </w:rPr>
        <w:footnoteReference w:id="53"/>
      </w:r>
      <w:r w:rsidRPr="00EC02CA">
        <w:t xml:space="preserve"> A key foc</w:t>
      </w:r>
      <w:r w:rsidR="00384076" w:rsidRPr="00EC02CA">
        <w:t>us</w:t>
      </w:r>
      <w:r w:rsidRPr="00EC02CA">
        <w:t xml:space="preserve"> in the literature is the point at which behaviours become harmful. Examples of harmful sexual behaviour include sexual touching without consent, sexual contact with animals, sexual contact and/or coercion of younger children, and taking sexual images of others with the intention of exploitation or threat of exploitation.</w:t>
      </w:r>
      <w:bookmarkStart w:id="73" w:name="_Ref217913688"/>
      <w:r w:rsidRPr="00EC02CA">
        <w:rPr>
          <w:rStyle w:val="FootnoteReference"/>
        </w:rPr>
        <w:footnoteReference w:id="54"/>
      </w:r>
      <w:bookmarkEnd w:id="73"/>
      <w:r w:rsidRPr="00EC02CA">
        <w:t xml:space="preserve"> It can include physical and online behaviour, although to date</w:t>
      </w:r>
      <w:r w:rsidR="00384076" w:rsidRPr="00EC02CA">
        <w:t>,</w:t>
      </w:r>
      <w:r w:rsidRPr="00EC02CA">
        <w:t xml:space="preserve"> greater attention has </w:t>
      </w:r>
      <w:r w:rsidR="006251AE" w:rsidRPr="00EC02CA">
        <w:t xml:space="preserve">generally </w:t>
      </w:r>
      <w:r w:rsidRPr="00EC02CA">
        <w:t xml:space="preserve">been paid to physical offending. Harmful sexual behaviours engaged </w:t>
      </w:r>
      <w:r w:rsidR="00384076" w:rsidRPr="00EC02CA">
        <w:t xml:space="preserve">in </w:t>
      </w:r>
      <w:r w:rsidRPr="00EC02CA">
        <w:t>by youths can occur in ‘extrafamilial’ (outside the family) and ‘intrafamilial’ (within the family) contexts, and in rare cases, against adults.</w:t>
      </w:r>
      <w:bookmarkStart w:id="74" w:name="_Ref217922226"/>
      <w:r w:rsidRPr="00EC02CA">
        <w:rPr>
          <w:rStyle w:val="FootnoteReference"/>
        </w:rPr>
        <w:footnoteReference w:id="55"/>
      </w:r>
      <w:bookmarkEnd w:id="74"/>
    </w:p>
    <w:p w14:paraId="01C56466" w14:textId="165E1D4E" w:rsidR="00695636" w:rsidRPr="00EC02CA" w:rsidRDefault="00695636" w:rsidP="002F0007">
      <w:pPr>
        <w:pStyle w:val="NormalNumberedTextTLRI"/>
      </w:pPr>
      <w:r w:rsidRPr="00EC02CA">
        <w:t>Delineating where criminal law overlaps with this spectrum of behaviours is not always straightforward. Drawing on the work of Hackett and many</w:t>
      </w:r>
      <w:r w:rsidR="007A0543" w:rsidRPr="00EC02CA">
        <w:t xml:space="preserve"> </w:t>
      </w:r>
      <w:r w:rsidRPr="00EC02CA">
        <w:t xml:space="preserve">others, the </w:t>
      </w:r>
      <w:r w:rsidRPr="00EC02CA">
        <w:rPr>
          <w:i/>
          <w:iCs/>
        </w:rPr>
        <w:t xml:space="preserve">Royal Commission into Institutional Responses to Child Sexual Abuse </w:t>
      </w:r>
      <w:r w:rsidRPr="00EC02CA">
        <w:t xml:space="preserve">(the Royal Commission) settled on three overlapping terms. The broadest is </w:t>
      </w:r>
      <w:r w:rsidRPr="00EC02CA">
        <w:rPr>
          <w:b/>
          <w:bCs/>
        </w:rPr>
        <w:t>harmful sexual behaviour</w:t>
      </w:r>
      <w:r w:rsidRPr="00EC02CA">
        <w:t>. This encompasses behaviours by all people under the age of 18 that are harmful to the child or young person’s own development, as well as those that are harmful to others because they are coercive, sexually aggressive or predatory.</w:t>
      </w:r>
      <w:bookmarkStart w:id="75" w:name="_Ref217929634"/>
      <w:r w:rsidRPr="00EC02CA">
        <w:rPr>
          <w:rStyle w:val="FootnoteReference"/>
          <w:sz w:val="20"/>
        </w:rPr>
        <w:footnoteReference w:id="56"/>
      </w:r>
      <w:bookmarkEnd w:id="75"/>
      <w:r w:rsidRPr="00EC02CA">
        <w:rPr>
          <w:rStyle w:val="FootnoteReference"/>
          <w:sz w:val="20"/>
        </w:rPr>
        <w:t xml:space="preserve"> </w:t>
      </w:r>
      <w:r w:rsidRPr="00EC02CA">
        <w:rPr>
          <w:b/>
          <w:bCs/>
        </w:rPr>
        <w:t xml:space="preserve">Problematic sexual behaviours </w:t>
      </w:r>
      <w:r w:rsidRPr="00EC02CA">
        <w:t xml:space="preserve">are those that fall outside the </w:t>
      </w:r>
      <w:r w:rsidR="00620E8D" w:rsidRPr="00EC02CA">
        <w:t>typical</w:t>
      </w:r>
      <w:r w:rsidRPr="00EC02CA">
        <w:t xml:space="preserve"> or age-appropriate range for younger children, and particularly relate to behaviours that harm the young person themselves.</w:t>
      </w:r>
      <w:r w:rsidRPr="00EC02CA">
        <w:rPr>
          <w:rStyle w:val="FootnoteReference"/>
          <w:sz w:val="20"/>
        </w:rPr>
        <w:footnoteReference w:id="57"/>
      </w:r>
      <w:r w:rsidRPr="00EC02CA">
        <w:rPr>
          <w:sz w:val="20"/>
        </w:rPr>
        <w:t xml:space="preserve"> </w:t>
      </w:r>
      <w:r w:rsidRPr="00EC02CA">
        <w:rPr>
          <w:b/>
          <w:bCs/>
        </w:rPr>
        <w:t>Sexual offending</w:t>
      </w:r>
      <w:r w:rsidRPr="00EC02CA">
        <w:t xml:space="preserve"> concerns the behaviours of young people who are under the age of 18, but above the minimum age of criminal responsibility,</w:t>
      </w:r>
      <w:r w:rsidRPr="00EC02CA">
        <w:rPr>
          <w:rStyle w:val="FootnoteReference"/>
        </w:rPr>
        <w:footnoteReference w:id="58"/>
      </w:r>
      <w:r w:rsidRPr="00EC02CA">
        <w:t xml:space="preserve"> where that conduct meets the definition of a criminal offence and the young person could be held criminally responsible for their conduct.</w:t>
      </w:r>
      <w:r w:rsidRPr="00EC02CA">
        <w:rPr>
          <w:rStyle w:val="FootnoteReference"/>
          <w:sz w:val="20"/>
        </w:rPr>
        <w:footnoteReference w:id="59"/>
      </w:r>
      <w:r w:rsidRPr="00EC02CA">
        <w:t xml:space="preserve">    </w:t>
      </w:r>
    </w:p>
    <w:p w14:paraId="0CA944FF" w14:textId="38C7051F" w:rsidR="00695636" w:rsidRPr="00EC02CA" w:rsidRDefault="00695636" w:rsidP="002F0007">
      <w:pPr>
        <w:pStyle w:val="NormalNumberedTextTLRI"/>
      </w:pPr>
      <w:r w:rsidRPr="00EC02CA">
        <w:t xml:space="preserve">Figure </w:t>
      </w:r>
      <w:r w:rsidR="006612D3" w:rsidRPr="00EC02CA">
        <w:t>2</w:t>
      </w:r>
      <w:r w:rsidRPr="00EC02CA">
        <w:t>.</w:t>
      </w:r>
      <w:r w:rsidR="006612D3" w:rsidRPr="00EC02CA">
        <w:t>1</w:t>
      </w:r>
      <w:r w:rsidRPr="00EC02CA">
        <w:t xml:space="preserve"> shows how harmful sexual behaviour</w:t>
      </w:r>
      <w:r w:rsidR="009344EB" w:rsidRPr="00EC02CA">
        <w:t>s</w:t>
      </w:r>
      <w:r w:rsidRPr="00EC02CA">
        <w:t xml:space="preserve">, </w:t>
      </w:r>
      <w:r w:rsidR="00556472" w:rsidRPr="00EC02CA">
        <w:t>child sexual abuse by children</w:t>
      </w:r>
      <w:r w:rsidRPr="00EC02CA">
        <w:t xml:space="preserve"> and problematic sexual behaviour</w:t>
      </w:r>
      <w:r w:rsidR="009344EB" w:rsidRPr="00EC02CA">
        <w:t>s</w:t>
      </w:r>
      <w:r w:rsidRPr="00EC02CA">
        <w:t xml:space="preserve"> are related to each other. </w:t>
      </w:r>
    </w:p>
    <w:p w14:paraId="54C896FF" w14:textId="35F839DF" w:rsidR="00695636" w:rsidRPr="00EC02CA" w:rsidRDefault="00695636" w:rsidP="00A920EC">
      <w:r w:rsidRPr="00EC02CA">
        <w:rPr>
          <w:b/>
          <w:bCs/>
        </w:rPr>
        <w:t xml:space="preserve">Figure </w:t>
      </w:r>
      <w:r w:rsidR="006612D3" w:rsidRPr="00EC02CA">
        <w:rPr>
          <w:b/>
          <w:bCs/>
        </w:rPr>
        <w:t>2</w:t>
      </w:r>
      <w:r w:rsidRPr="00EC02CA">
        <w:rPr>
          <w:b/>
          <w:bCs/>
        </w:rPr>
        <w:t>.</w:t>
      </w:r>
      <w:r w:rsidR="006612D3" w:rsidRPr="00EC02CA">
        <w:rPr>
          <w:b/>
          <w:bCs/>
        </w:rPr>
        <w:t>1</w:t>
      </w:r>
      <w:r w:rsidRPr="00EC02CA">
        <w:t xml:space="preserve"> Overlap between </w:t>
      </w:r>
      <w:r w:rsidR="007332A2" w:rsidRPr="00EC02CA">
        <w:t>p</w:t>
      </w:r>
      <w:r w:rsidRPr="00EC02CA">
        <w:t xml:space="preserve">roblematic and </w:t>
      </w:r>
      <w:r w:rsidR="007332A2" w:rsidRPr="00EC02CA">
        <w:t>h</w:t>
      </w:r>
      <w:r w:rsidRPr="00EC02CA">
        <w:t xml:space="preserve">armful </w:t>
      </w:r>
      <w:r w:rsidR="007332A2" w:rsidRPr="00EC02CA">
        <w:t>s</w:t>
      </w:r>
      <w:r w:rsidRPr="00EC02CA">
        <w:t xml:space="preserve">exual </w:t>
      </w:r>
      <w:r w:rsidR="007332A2" w:rsidRPr="00EC02CA">
        <w:t>b</w:t>
      </w:r>
      <w:r w:rsidRPr="00EC02CA">
        <w:t xml:space="preserve">ehaviours, by a </w:t>
      </w:r>
      <w:r w:rsidR="007332A2" w:rsidRPr="00EC02CA">
        <w:t>c</w:t>
      </w:r>
      <w:r w:rsidRPr="00EC02CA">
        <w:t>hild</w:t>
      </w:r>
    </w:p>
    <w:p w14:paraId="5C215D24" w14:textId="51AB97D2" w:rsidR="004354C6" w:rsidRPr="00EC02CA" w:rsidRDefault="004354C6" w:rsidP="00A920EC">
      <w:r w:rsidRPr="00EC02CA">
        <w:rPr>
          <w:noProof/>
        </w:rPr>
        <w:drawing>
          <wp:inline distT="0" distB="0" distL="0" distR="0" wp14:anchorId="0722C662" wp14:editId="1BECBF28">
            <wp:extent cx="5731510" cy="3830320"/>
            <wp:effectExtent l="0" t="0" r="2540" b="0"/>
            <wp:docPr id="290475010" name="Picture 6" descr="A diagram of a diagram of a child ab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75010" name="Picture 6" descr="A diagram of a diagram of a child abuse&#10;&#10;AI-generated content may be incorrect."/>
                    <pic:cNvPicPr>
                      <a:picLocks noChangeAspect="1" noChangeArrowheads="1"/>
                    </pic:cNvPicPr>
                  </pic:nvPicPr>
                  <pic:blipFill>
                    <a:blip r:embed="rId23">
                      <a:extLst>
                        <a:ext uri="{BEBA8EAE-BF5A-486C-A8C5-ECC9F3942E4B}">
                          <a14:imgProps xmlns:a14="http://schemas.microsoft.com/office/drawing/2010/main">
                            <a14:imgLayer r:embed="rId24">
                              <a14:imgEffect>
                                <a14:colorTemperature colorTemp="59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31510" cy="3830320"/>
                    </a:xfrm>
                    <a:prstGeom prst="rect">
                      <a:avLst/>
                    </a:prstGeom>
                    <a:noFill/>
                    <a:ln>
                      <a:noFill/>
                    </a:ln>
                  </pic:spPr>
                </pic:pic>
              </a:graphicData>
            </a:graphic>
          </wp:inline>
        </w:drawing>
      </w:r>
    </w:p>
    <w:p w14:paraId="2BB75576" w14:textId="07099FBB" w:rsidR="009344EB" w:rsidRPr="00EC02CA" w:rsidRDefault="009344EB" w:rsidP="002F0007">
      <w:pPr>
        <w:pStyle w:val="NormalNumberedTextTLRI"/>
        <w:numPr>
          <w:ilvl w:val="0"/>
          <w:numId w:val="0"/>
        </w:numPr>
        <w:rPr>
          <w:i/>
          <w:iCs/>
        </w:rPr>
      </w:pPr>
      <w:r w:rsidRPr="00EC02CA">
        <w:rPr>
          <w:i/>
          <w:iCs/>
        </w:rPr>
        <w:t xml:space="preserve">Source: Adapted from </w:t>
      </w:r>
      <w:r w:rsidR="00BE3979" w:rsidRPr="00EC02CA">
        <w:rPr>
          <w:i/>
          <w:iCs/>
        </w:rPr>
        <w:t xml:space="preserve">Royal Commission into Institutional Responses to Child Sexual Abuse (n </w:t>
      </w:r>
      <w:r w:rsidR="00BE3979" w:rsidRPr="00EC02CA">
        <w:rPr>
          <w:i/>
          <w:iCs/>
        </w:rPr>
        <w:fldChar w:fldCharType="begin"/>
      </w:r>
      <w:r w:rsidR="00BE3979" w:rsidRPr="00EC02CA">
        <w:rPr>
          <w:i/>
          <w:iCs/>
        </w:rPr>
        <w:instrText xml:space="preserve"> NOTEREF _Ref217902398 \h </w:instrText>
      </w:r>
      <w:r w:rsidR="00BE3979" w:rsidRPr="00EC02CA">
        <w:rPr>
          <w:i/>
          <w:iCs/>
        </w:rPr>
      </w:r>
      <w:r w:rsidR="00BE3979" w:rsidRPr="00EC02CA">
        <w:rPr>
          <w:i/>
          <w:iCs/>
        </w:rPr>
        <w:fldChar w:fldCharType="separate"/>
      </w:r>
      <w:r w:rsidR="007D7830">
        <w:rPr>
          <w:i/>
          <w:iCs/>
        </w:rPr>
        <w:t>13</w:t>
      </w:r>
      <w:r w:rsidR="00BE3979" w:rsidRPr="00EC02CA">
        <w:rPr>
          <w:i/>
          <w:iCs/>
        </w:rPr>
        <w:fldChar w:fldCharType="end"/>
      </w:r>
      <w:r w:rsidR="00BE3979" w:rsidRPr="00EC02CA">
        <w:rPr>
          <w:i/>
          <w:iCs/>
        </w:rPr>
        <w:t>) vol</w:t>
      </w:r>
      <w:r w:rsidRPr="00EC02CA">
        <w:rPr>
          <w:i/>
          <w:iCs/>
        </w:rPr>
        <w:t xml:space="preserve"> 10 [2.3.2]</w:t>
      </w:r>
    </w:p>
    <w:p w14:paraId="2407EB51" w14:textId="43D63645" w:rsidR="00695636" w:rsidRPr="00EC02CA" w:rsidRDefault="00695636" w:rsidP="00A920EC">
      <w:pPr>
        <w:pStyle w:val="NormalNumberedTextTLRI"/>
      </w:pPr>
      <w:r w:rsidRPr="00EC02CA">
        <w:t xml:space="preserve">An issue which later parts of this Research Paper will consider is that the consensual sharing of sexual imagery between young people may </w:t>
      </w:r>
      <w:r w:rsidRPr="00EC02CA">
        <w:rPr>
          <w:i/>
          <w:iCs/>
        </w:rPr>
        <w:t>not</w:t>
      </w:r>
      <w:r w:rsidRPr="00EC02CA">
        <w:t xml:space="preserve"> be viewed as a harmful sexual behaviour by police officers or other professionals who interact with </w:t>
      </w:r>
      <w:r w:rsidR="004F1398" w:rsidRPr="00EC02CA">
        <w:t>young people</w:t>
      </w:r>
      <w:r w:rsidR="009344EB" w:rsidRPr="00EC02CA">
        <w:t>,</w:t>
      </w:r>
      <w:r w:rsidRPr="00EC02CA">
        <w:t xml:space="preserve"> despite the fact that it may constitute an offence, such as distributing child sexual exploitation material (see </w:t>
      </w:r>
      <w:r w:rsidR="001318A6" w:rsidRPr="00EC02CA">
        <w:t>[</w:t>
      </w:r>
      <w:r w:rsidR="00CA443E" w:rsidRPr="00EC02CA">
        <w:fldChar w:fldCharType="begin"/>
      </w:r>
      <w:r w:rsidR="00CA443E" w:rsidRPr="00EC02CA">
        <w:instrText xml:space="preserve"> REF _Ref218252780 \r \h </w:instrText>
      </w:r>
      <w:r w:rsidR="00CA443E" w:rsidRPr="00EC02CA">
        <w:fldChar w:fldCharType="separate"/>
      </w:r>
      <w:r w:rsidR="007D7830">
        <w:t>4.3</w:t>
      </w:r>
      <w:r w:rsidR="00CA443E" w:rsidRPr="00EC02CA">
        <w:fldChar w:fldCharType="end"/>
      </w:r>
      <w:r w:rsidR="001318A6" w:rsidRPr="00EC02CA">
        <w:t>]</w:t>
      </w:r>
      <w:r w:rsidRPr="00EC02CA">
        <w:t xml:space="preserve">). In other words, there appear to be instances where conduct strictly constitutes ‘sexual offending’ even though it is not viewed as sexually coercive, aggressive or predatory behaviour. </w:t>
      </w:r>
    </w:p>
    <w:p w14:paraId="5EDB5226" w14:textId="075FD294" w:rsidR="00695636" w:rsidRPr="00EC02CA" w:rsidRDefault="00695636" w:rsidP="002F0007">
      <w:pPr>
        <w:pStyle w:val="NormalNumberedTextTLRI"/>
      </w:pPr>
      <w:r w:rsidRPr="00EC02CA">
        <w:t>Over many decades</w:t>
      </w:r>
      <w:r w:rsidR="009344EB" w:rsidRPr="00EC02CA">
        <w:t>,</w:t>
      </w:r>
      <w:r w:rsidRPr="00EC02CA">
        <w:t xml:space="preserve"> multiple disciplines, including criminology, have been attuned to the risks of stigmatising young people through the use of language.  Key concerns have been that: language can communicate to young people that they (rather than their behaviour) have been rejected by the community; and that labels, such as ‘criminal’, can be internalised by young people as central to their identify and self-perception</w:t>
      </w:r>
      <w:r w:rsidR="009344EB" w:rsidRPr="00EC02CA">
        <w:t>,</w:t>
      </w:r>
      <w:bookmarkStart w:id="76" w:name="_Ref218007071"/>
      <w:r w:rsidRPr="00EC02CA">
        <w:rPr>
          <w:rStyle w:val="FootnoteReference"/>
        </w:rPr>
        <w:footnoteReference w:id="60"/>
      </w:r>
      <w:bookmarkEnd w:id="76"/>
      <w:r w:rsidRPr="00EC02CA">
        <w:t xml:space="preserve"> and thereby undermine rehabilitation</w:t>
      </w:r>
      <w:r w:rsidRPr="00EC02CA">
        <w:rPr>
          <w:szCs w:val="22"/>
        </w:rPr>
        <w:t xml:space="preserve"> efforts</w:t>
      </w:r>
      <w:r w:rsidRPr="00EC02CA">
        <w:t>. The risks are acute in the domain of sexual offences</w:t>
      </w:r>
      <w:r w:rsidR="009344EB" w:rsidRPr="00EC02CA">
        <w:t>,</w:t>
      </w:r>
      <w:r w:rsidRPr="00EC02CA">
        <w:t xml:space="preserve"> where an extremely high degree of social stigma is at play. Labels that can be applied to young people who commit sexual offences include ‘sex offender’, ‘</w:t>
      </w:r>
      <w:r w:rsidRPr="00EC02CA">
        <w:rPr>
          <w:szCs w:val="22"/>
        </w:rPr>
        <w:t>child paedophile’ and ‘child perpetrator’</w:t>
      </w:r>
      <w:r w:rsidRPr="00EC02CA">
        <w:t>.</w:t>
      </w:r>
      <w:bookmarkStart w:id="77" w:name="_Ref217915302"/>
      <w:r w:rsidRPr="00EC02CA">
        <w:rPr>
          <w:rStyle w:val="FootnoteReference"/>
        </w:rPr>
        <w:footnoteReference w:id="61"/>
      </w:r>
      <w:bookmarkEnd w:id="77"/>
      <w:r w:rsidRPr="00EC02CA">
        <w:t xml:space="preserve">  </w:t>
      </w:r>
    </w:p>
    <w:p w14:paraId="1EEB5FD6" w14:textId="1C40607D" w:rsidR="00695636" w:rsidRPr="00EC02CA" w:rsidRDefault="00695636" w:rsidP="002F0007">
      <w:pPr>
        <w:pStyle w:val="NormalNumberedTextTLRI"/>
      </w:pPr>
      <w:r w:rsidRPr="00EC02CA">
        <w:t>However, it has been argued that the reluctance to label the behaviour of young people as ‘sexual offending’ has contributed to uncertainty about the nature of</w:t>
      </w:r>
      <w:r w:rsidR="009344EB" w:rsidRPr="00EC02CA">
        <w:t>,</w:t>
      </w:r>
      <w:r w:rsidRPr="00EC02CA">
        <w:t xml:space="preserve"> and the appropriate response to</w:t>
      </w:r>
      <w:r w:rsidR="009344EB" w:rsidRPr="00EC02CA">
        <w:t>,</w:t>
      </w:r>
      <w:r w:rsidRPr="00EC02CA">
        <w:t xml:space="preserve"> the behaviour.</w:t>
      </w:r>
      <w:r w:rsidRPr="00EC02CA">
        <w:rPr>
          <w:rStyle w:val="FootnoteReference"/>
        </w:rPr>
        <w:footnoteReference w:id="62"/>
      </w:r>
      <w:r w:rsidRPr="00EC02CA">
        <w:t xml:space="preserve"> In a similar vein, the Royal Commission noted concerns about stigmatising young people who commit sexual offences, it is nonetheless ‘essential not to lose sight of the serious nature of sexual abuse committed by some children’.</w:t>
      </w:r>
      <w:r w:rsidRPr="00EC02CA">
        <w:rPr>
          <w:rStyle w:val="FootnoteReference"/>
        </w:rPr>
        <w:footnoteReference w:id="63"/>
      </w:r>
      <w:r w:rsidRPr="00EC02CA">
        <w:t xml:space="preserve"> While recognising the need for great care in the use of language, the TLRI has decided to adopt </w:t>
      </w:r>
      <w:r w:rsidR="00BD5960" w:rsidRPr="00EC02CA">
        <w:t>an approach aligned with the</w:t>
      </w:r>
      <w:r w:rsidRPr="00EC02CA">
        <w:t xml:space="preserve"> approach of the Royal Commission and the Commission of Inquiry</w:t>
      </w:r>
      <w:r w:rsidR="009344EB" w:rsidRPr="00EC02CA">
        <w:t>,</w:t>
      </w:r>
      <w:r w:rsidRPr="00EC02CA">
        <w:rPr>
          <w:rStyle w:val="FootnoteReference"/>
        </w:rPr>
        <w:footnoteReference w:id="64"/>
      </w:r>
      <w:r w:rsidRPr="00EC02CA">
        <w:t xml:space="preserve"> and</w:t>
      </w:r>
      <w:r w:rsidR="00FB160C" w:rsidRPr="00EC02CA">
        <w:t xml:space="preserve"> generally</w:t>
      </w:r>
      <w:r w:rsidRPr="00EC02CA">
        <w:t xml:space="preserve"> </w:t>
      </w:r>
      <w:r w:rsidR="00BD5960" w:rsidRPr="00EC02CA">
        <w:t xml:space="preserve">refer to </w:t>
      </w:r>
      <w:r w:rsidR="00B15E05" w:rsidRPr="00EC02CA">
        <w:t xml:space="preserve">‘young people who are alleged to have committed sexual offences’ or ‘young people who </w:t>
      </w:r>
      <w:r w:rsidR="00B2323A" w:rsidRPr="00EC02CA">
        <w:t xml:space="preserve">commit </w:t>
      </w:r>
      <w:r w:rsidR="00D23369" w:rsidRPr="00EC02CA">
        <w:t>sexual</w:t>
      </w:r>
      <w:r w:rsidR="00B2323A" w:rsidRPr="00EC02CA">
        <w:t xml:space="preserve"> offence</w:t>
      </w:r>
      <w:r w:rsidR="00D23369" w:rsidRPr="00EC02CA">
        <w:t>s’</w:t>
      </w:r>
      <w:r w:rsidRPr="00EC02CA">
        <w:t>.</w:t>
      </w:r>
      <w:r w:rsidRPr="00EC02CA">
        <w:rPr>
          <w:rStyle w:val="FootnoteReference"/>
          <w:szCs w:val="22"/>
        </w:rPr>
        <w:footnoteReference w:id="65"/>
      </w:r>
      <w:r w:rsidRPr="00EC02CA">
        <w:t xml:space="preserve"> </w:t>
      </w:r>
      <w:r w:rsidR="001D6A30" w:rsidRPr="00EC02CA">
        <w:t xml:space="preserve">If </w:t>
      </w:r>
      <w:r w:rsidR="00C831E6" w:rsidRPr="00EC02CA">
        <w:t>relevant</w:t>
      </w:r>
      <w:r w:rsidR="001D6A30" w:rsidRPr="00EC02CA">
        <w:t xml:space="preserve"> to </w:t>
      </w:r>
      <w:r w:rsidR="004857D9" w:rsidRPr="00EC02CA">
        <w:t xml:space="preserve">the </w:t>
      </w:r>
      <w:r w:rsidR="001D6A30" w:rsidRPr="00EC02CA">
        <w:t xml:space="preserve">context, the TLRI will also </w:t>
      </w:r>
      <w:r w:rsidR="00C831E6" w:rsidRPr="00EC02CA">
        <w:t>use</w:t>
      </w:r>
      <w:r w:rsidR="001D6A30" w:rsidRPr="00EC02CA">
        <w:t xml:space="preserve"> the term </w:t>
      </w:r>
      <w:r w:rsidR="00C831E6" w:rsidRPr="00EC02CA">
        <w:t xml:space="preserve">youth or youths (as used by the </w:t>
      </w:r>
      <w:r w:rsidR="00C831E6" w:rsidRPr="00EC02CA">
        <w:rPr>
          <w:i/>
          <w:iCs/>
        </w:rPr>
        <w:t xml:space="preserve">Youth Justice Act 1997 </w:t>
      </w:r>
      <w:r w:rsidR="00C831E6" w:rsidRPr="00EC02CA">
        <w:t>(Tas)).</w:t>
      </w:r>
    </w:p>
    <w:p w14:paraId="46C85B06" w14:textId="6CC2600B" w:rsidR="00695636" w:rsidRPr="00EC02CA" w:rsidRDefault="00695636" w:rsidP="002F0007">
      <w:pPr>
        <w:pStyle w:val="NormalNumberedTextTLRI"/>
      </w:pPr>
      <w:r w:rsidRPr="00EC02CA">
        <w:t xml:space="preserve">Finally, it is noted that legislation </w:t>
      </w:r>
      <w:r w:rsidR="00C831E6" w:rsidRPr="00EC02CA">
        <w:t xml:space="preserve">often </w:t>
      </w:r>
      <w:r w:rsidRPr="00EC02CA">
        <w:t xml:space="preserve">refers to </w:t>
      </w:r>
      <w:r w:rsidR="004857D9" w:rsidRPr="00EC02CA">
        <w:t>both ‘</w:t>
      </w:r>
      <w:r w:rsidRPr="00EC02CA">
        <w:t>children</w:t>
      </w:r>
      <w:r w:rsidR="004857D9" w:rsidRPr="00EC02CA">
        <w:t>’</w:t>
      </w:r>
      <w:r w:rsidRPr="00EC02CA">
        <w:t xml:space="preserve"> and </w:t>
      </w:r>
      <w:r w:rsidR="004857D9" w:rsidRPr="00EC02CA">
        <w:t>‘</w:t>
      </w:r>
      <w:r w:rsidRPr="00EC02CA">
        <w:t>young people</w:t>
      </w:r>
      <w:r w:rsidR="004857D9" w:rsidRPr="00EC02CA">
        <w:t>’</w:t>
      </w:r>
      <w:r w:rsidRPr="00EC02CA">
        <w:t xml:space="preserve">. However, to improve the readability of the Research Paper, the TLRI will generally use the term </w:t>
      </w:r>
      <w:r w:rsidR="004857D9" w:rsidRPr="00EC02CA">
        <w:t>‘</w:t>
      </w:r>
      <w:r w:rsidRPr="00EC02CA">
        <w:t>young people</w:t>
      </w:r>
      <w:r w:rsidR="004857D9" w:rsidRPr="00EC02CA">
        <w:t>’</w:t>
      </w:r>
      <w:r w:rsidR="00C831E6" w:rsidRPr="00EC02CA">
        <w:t xml:space="preserve"> </w:t>
      </w:r>
      <w:r w:rsidR="004857D9" w:rsidRPr="00EC02CA">
        <w:t>to refer to both</w:t>
      </w:r>
      <w:r w:rsidRPr="00EC02CA">
        <w:t>.</w:t>
      </w:r>
    </w:p>
    <w:p w14:paraId="0F58DD8F" w14:textId="77777777" w:rsidR="00695636" w:rsidRPr="00EC02CA" w:rsidRDefault="00695636" w:rsidP="00695636">
      <w:pPr>
        <w:pStyle w:val="NumberedHeadingTLRI"/>
      </w:pPr>
      <w:bookmarkStart w:id="78" w:name="_Toc211849361"/>
      <w:bookmarkStart w:id="79" w:name="_Toc218157257"/>
      <w:bookmarkStart w:id="80" w:name="_Ref218241420"/>
      <w:bookmarkStart w:id="81" w:name="_Ref218251999"/>
      <w:r w:rsidRPr="00EC02CA">
        <w:t>Harms caused by sexual offending</w:t>
      </w:r>
      <w:bookmarkEnd w:id="78"/>
      <w:bookmarkEnd w:id="79"/>
      <w:bookmarkEnd w:id="80"/>
      <w:bookmarkEnd w:id="81"/>
    </w:p>
    <w:p w14:paraId="5F386B66" w14:textId="358444D4" w:rsidR="00695636" w:rsidRPr="00EC02CA" w:rsidRDefault="00695636" w:rsidP="002F0007">
      <w:pPr>
        <w:pStyle w:val="NormalNumberedTextTLRI"/>
        <w:rPr>
          <w:i/>
          <w:iCs/>
        </w:rPr>
      </w:pPr>
      <w:r w:rsidRPr="00EC02CA">
        <w:t xml:space="preserve">Harmful sexual behaviour and sexual offending can cause significant and ongoing harm to </w:t>
      </w:r>
      <w:r w:rsidR="00F75DCA" w:rsidRPr="00EC02CA">
        <w:t>victim</w:t>
      </w:r>
      <w:r w:rsidR="003C2332" w:rsidRPr="00EC02CA">
        <w:t>-</w:t>
      </w:r>
      <w:r w:rsidR="00F75DCA" w:rsidRPr="00EC02CA">
        <w:t>survivor</w:t>
      </w:r>
      <w:r w:rsidRPr="00EC02CA">
        <w:t xml:space="preserve">s. The </w:t>
      </w:r>
      <w:r w:rsidR="004857D9" w:rsidRPr="00EC02CA">
        <w:t>Australian Law Reform Commission (</w:t>
      </w:r>
      <w:r w:rsidRPr="00EC02CA">
        <w:t>ALRC</w:t>
      </w:r>
      <w:r w:rsidR="004857D9" w:rsidRPr="00EC02CA">
        <w:t>)</w:t>
      </w:r>
      <w:r w:rsidRPr="00EC02CA">
        <w:t xml:space="preserve"> recently described sexual violence as a ‘unique harm’ associated with ‘persistent myths and stereotypes’ that may lead to beliefs that excuse men</w:t>
      </w:r>
      <w:r w:rsidR="004857D9" w:rsidRPr="00EC02CA">
        <w:t>,</w:t>
      </w:r>
      <w:r w:rsidRPr="00EC02CA">
        <w:t xml:space="preserve"> and can encourage mistrust of women</w:t>
      </w:r>
      <w:r w:rsidR="004857D9" w:rsidRPr="00EC02CA">
        <w:t>,</w:t>
      </w:r>
      <w:r w:rsidRPr="00EC02CA">
        <w:t xml:space="preserve"> and cause people who experience sexual violence to ‘experience, or anticipate “blame, shame, and stigma”’.</w:t>
      </w:r>
      <w:bookmarkStart w:id="82" w:name="_Ref217913617"/>
      <w:r w:rsidRPr="00EC02CA">
        <w:rPr>
          <w:rStyle w:val="FootnoteReference"/>
        </w:rPr>
        <w:footnoteReference w:id="66"/>
      </w:r>
      <w:bookmarkEnd w:id="82"/>
      <w:r w:rsidRPr="00EC02CA">
        <w:t xml:space="preserve"> Research suggests that a person’s experiences of the justice system</w:t>
      </w:r>
      <w:r w:rsidR="004857D9" w:rsidRPr="00EC02CA">
        <w:t>’s</w:t>
      </w:r>
      <w:r w:rsidRPr="00EC02CA">
        <w:t xml:space="preserve"> response to reports of sexual offending as a young person can influence their confidence in the system and their likelihood to engage with the justice system as an adult.</w:t>
      </w:r>
      <w:bookmarkStart w:id="83" w:name="_Ref217996748"/>
      <w:r w:rsidRPr="00EC02CA">
        <w:rPr>
          <w:rStyle w:val="FootnoteReference"/>
        </w:rPr>
        <w:footnoteReference w:id="67"/>
      </w:r>
      <w:bookmarkEnd w:id="83"/>
      <w:r w:rsidRPr="00EC02CA">
        <w:t xml:space="preserve"> Much has been written about the harms of sexual violence in general</w:t>
      </w:r>
      <w:r w:rsidR="004857D9" w:rsidRPr="00EC02CA">
        <w:t>,</w:t>
      </w:r>
      <w:r w:rsidRPr="00EC02CA">
        <w:t xml:space="preserve"> and of the harms of child sexual abuse in particular, with the ACMS outlining the experiences of adults living with the ‘long-term and distressing impacts of sexual abuse experienced in their childhoods’.</w:t>
      </w:r>
      <w:r w:rsidRPr="00EC02CA">
        <w:rPr>
          <w:rStyle w:val="FootnoteReference"/>
        </w:rPr>
        <w:footnoteReference w:id="68"/>
      </w:r>
      <w:r w:rsidRPr="00EC02CA">
        <w:t xml:space="preserve"> The Commission of Inquiry wrote:</w:t>
      </w:r>
    </w:p>
    <w:p w14:paraId="127D0797" w14:textId="7D34FAB1" w:rsidR="00695636" w:rsidRPr="00EC02CA" w:rsidRDefault="00695636" w:rsidP="00695636">
      <w:pPr>
        <w:pStyle w:val="Indentedquote"/>
      </w:pPr>
      <w:r w:rsidRPr="00EC02CA">
        <w:t xml:space="preserve">Sexual abuse causes profound trauma. It adversely affects children and young people’s emotional and educational development, physical and mental health, the quality of their relationships, their connection to culture, and their sense of identity and wellbeing. These effects often continue into adulthood and can have lifelong consequences for a </w:t>
      </w:r>
      <w:r w:rsidR="00F75DCA" w:rsidRPr="00EC02CA">
        <w:t>victim</w:t>
      </w:r>
      <w:r w:rsidR="00B93621" w:rsidRPr="00EC02CA">
        <w:t>-</w:t>
      </w:r>
      <w:r w:rsidR="00F75DCA" w:rsidRPr="00EC02CA">
        <w:t>survivor</w:t>
      </w:r>
      <w:r w:rsidRPr="00EC02CA">
        <w:t>’s ability to work, raise a family, feel part of a community and enjoy intimacy.</w:t>
      </w:r>
      <w:r w:rsidRPr="00EC02CA">
        <w:rPr>
          <w:rStyle w:val="FootnoteReference"/>
        </w:rPr>
        <w:footnoteReference w:id="69"/>
      </w:r>
    </w:p>
    <w:p w14:paraId="6198F608" w14:textId="77777777" w:rsidR="00695636" w:rsidRPr="00EC02CA" w:rsidRDefault="00695636" w:rsidP="00A920EC">
      <w:pPr>
        <w:pStyle w:val="NormalNumberedTextTLRI"/>
        <w:rPr>
          <w:i/>
          <w:iCs/>
        </w:rPr>
      </w:pPr>
      <w:r w:rsidRPr="00EC02CA">
        <w:t>Similarly, the ALRC has written that:</w:t>
      </w:r>
    </w:p>
    <w:p w14:paraId="44238A5D" w14:textId="2E51375B" w:rsidR="00695636" w:rsidRPr="00EC02CA" w:rsidRDefault="004857D9" w:rsidP="00695636">
      <w:pPr>
        <w:pStyle w:val="Indentedquote"/>
      </w:pPr>
      <w:r w:rsidRPr="00EC02CA">
        <w:t>[S]</w:t>
      </w:r>
      <w:r w:rsidR="00695636" w:rsidRPr="00EC02CA">
        <w:t>exual violence can have serious and long-lasting impacts. Sexual violence can affect a person’s physical and psychological health and wellbeing. It can hurt their relationships and limit their ability to learn, work, and be a part of the community.</w:t>
      </w:r>
      <w:r w:rsidR="00695636" w:rsidRPr="00EC02CA">
        <w:rPr>
          <w:rStyle w:val="FootnoteReference"/>
        </w:rPr>
        <w:footnoteReference w:id="70"/>
      </w:r>
    </w:p>
    <w:p w14:paraId="227FFC7C" w14:textId="3202F425" w:rsidR="00695636" w:rsidRPr="00EC02CA" w:rsidRDefault="00695636" w:rsidP="002F0007">
      <w:pPr>
        <w:pStyle w:val="NormalNumberedTextTLRI"/>
      </w:pPr>
      <w:r w:rsidRPr="00EC02CA">
        <w:t>Research has demonstrated the association between child sexual abuse and mental health disorders in adulthood, as well as ‘major adverse outcomes comprised of three serious health risk behaviours: cannabis dependence, self-harm and suicide attempts’.</w:t>
      </w:r>
      <w:r w:rsidR="00E02DB3" w:rsidRPr="00EC02CA">
        <w:rPr>
          <w:rStyle w:val="FootnoteReference"/>
        </w:rPr>
        <w:footnoteReference w:id="71"/>
      </w:r>
    </w:p>
    <w:p w14:paraId="7325708C" w14:textId="79600FCF" w:rsidR="006612D3" w:rsidRPr="00EC02CA" w:rsidRDefault="00695636" w:rsidP="002F0007">
      <w:pPr>
        <w:pStyle w:val="NormalNumberedTextTLRI"/>
      </w:pPr>
      <w:r w:rsidRPr="00EC02CA">
        <w:t xml:space="preserve">A growing body of literature is examining the impacts of online sexual offending against children. </w:t>
      </w:r>
      <w:r w:rsidR="003C2332" w:rsidRPr="00EC02CA">
        <w:t>Victim-survivors</w:t>
      </w:r>
      <w:r w:rsidRPr="00EC02CA">
        <w:t xml:space="preserve"> have reported psychological distress from the thought that</w:t>
      </w:r>
      <w:r w:rsidR="00F83002" w:rsidRPr="00EC02CA">
        <w:t>, at</w:t>
      </w:r>
      <w:r w:rsidRPr="00EC02CA">
        <w:t xml:space="preserve"> any time of the day or night</w:t>
      </w:r>
      <w:r w:rsidR="00F83002" w:rsidRPr="00EC02CA">
        <w:t>,</w:t>
      </w:r>
      <w:r w:rsidRPr="00EC02CA">
        <w:t xml:space="preserve"> someone may be viewing </w:t>
      </w:r>
      <w:r w:rsidR="00F83002" w:rsidRPr="00EC02CA">
        <w:t xml:space="preserve">for their sexual entertainment on the internet, </w:t>
      </w:r>
      <w:r w:rsidRPr="00EC02CA">
        <w:t>recordings of the</w:t>
      </w:r>
      <w:r w:rsidR="00F83002" w:rsidRPr="00EC02CA">
        <w:t xml:space="preserve"> victim-survivor’s</w:t>
      </w:r>
      <w:r w:rsidRPr="00EC02CA">
        <w:t xml:space="preserve"> child sexual abuse, thereby</w:t>
      </w:r>
      <w:r w:rsidR="00F83002" w:rsidRPr="00EC02CA">
        <w:t>,</w:t>
      </w:r>
      <w:r w:rsidRPr="00EC02CA">
        <w:t xml:space="preserve"> in a sense</w:t>
      </w:r>
      <w:r w:rsidR="00F83002" w:rsidRPr="00EC02CA">
        <w:t>,</w:t>
      </w:r>
      <w:r w:rsidRPr="00EC02CA">
        <w:t xml:space="preserve"> endlessly replicating the original abuse.</w:t>
      </w:r>
      <w:r w:rsidRPr="00EC02CA">
        <w:rPr>
          <w:rStyle w:val="FootnoteReference"/>
        </w:rPr>
        <w:footnoteReference w:id="72"/>
      </w:r>
      <w:r w:rsidRPr="00EC02CA">
        <w:t xml:space="preserve"> Some have reported fear of being recognised in public places.</w:t>
      </w:r>
      <w:r w:rsidRPr="00EC02CA">
        <w:rPr>
          <w:rStyle w:val="FootnoteReference"/>
        </w:rPr>
        <w:footnoteReference w:id="73"/>
      </w:r>
      <w:r w:rsidRPr="00EC02CA">
        <w:t xml:space="preserve"> </w:t>
      </w:r>
      <w:r w:rsidR="00D0221A" w:rsidRPr="00EC02CA">
        <w:t>Young people</w:t>
      </w:r>
      <w:r w:rsidRPr="00EC02CA">
        <w:t xml:space="preserve"> who experienced ‘sexual extortion’ – </w:t>
      </w:r>
      <w:r w:rsidR="007F05E1" w:rsidRPr="00EC02CA">
        <w:t xml:space="preserve">that is, </w:t>
      </w:r>
      <w:r w:rsidRPr="00EC02CA">
        <w:t xml:space="preserve">the use of coercion or blackmail to force </w:t>
      </w:r>
      <w:r w:rsidR="007B2EA8" w:rsidRPr="00EC02CA">
        <w:t xml:space="preserve">them </w:t>
      </w:r>
      <w:r w:rsidRPr="00EC02CA">
        <w:t xml:space="preserve">to self-generate </w:t>
      </w:r>
      <w:r w:rsidR="002B17A6" w:rsidRPr="00EC02CA">
        <w:t>child exploitation mater</w:t>
      </w:r>
      <w:r w:rsidR="0029166C" w:rsidRPr="00EC02CA">
        <w:t>ial</w:t>
      </w:r>
      <w:r w:rsidRPr="00EC02CA">
        <w:t xml:space="preserve"> – have reported suicidal ideation, depression, anxiety, fear, shame, isolation, fear of damage to family relationships, financial loss (where money was demanded by the offender), impacts on </w:t>
      </w:r>
      <w:r w:rsidR="007F05E1" w:rsidRPr="00EC02CA">
        <w:t xml:space="preserve">their </w:t>
      </w:r>
      <w:r w:rsidRPr="00EC02CA">
        <w:t>school</w:t>
      </w:r>
      <w:r w:rsidR="007F05E1" w:rsidRPr="00EC02CA">
        <w:t>ing,</w:t>
      </w:r>
      <w:r w:rsidRPr="00EC02CA">
        <w:t xml:space="preserve"> and so on.</w:t>
      </w:r>
      <w:bookmarkStart w:id="84" w:name="_Ref217922700"/>
      <w:r w:rsidRPr="00EC02CA">
        <w:rPr>
          <w:rStyle w:val="FootnoteReference"/>
        </w:rPr>
        <w:footnoteReference w:id="74"/>
      </w:r>
      <w:bookmarkEnd w:id="84"/>
      <w:r w:rsidRPr="00EC02CA">
        <w:t xml:space="preserve"> </w:t>
      </w:r>
    </w:p>
    <w:p w14:paraId="357CBEE6" w14:textId="149CC50C" w:rsidR="00695636" w:rsidRPr="00EC02CA" w:rsidRDefault="00695636" w:rsidP="002F0007">
      <w:pPr>
        <w:pStyle w:val="NormalNumberedTextTLRI"/>
      </w:pPr>
      <w:r w:rsidRPr="00EC02CA">
        <w:t xml:space="preserve">As discussed below </w:t>
      </w:r>
      <w:r w:rsidR="007F05E1" w:rsidRPr="00EC02CA">
        <w:t xml:space="preserve">at </w:t>
      </w:r>
      <w:r w:rsidRPr="00EC02CA">
        <w:t>[</w:t>
      </w:r>
      <w:r w:rsidR="00CA443E" w:rsidRPr="00EC02CA">
        <w:fldChar w:fldCharType="begin"/>
      </w:r>
      <w:r w:rsidR="00CA443E" w:rsidRPr="00EC02CA">
        <w:instrText xml:space="preserve"> REF _Ref218253178 \r \h </w:instrText>
      </w:r>
      <w:r w:rsidR="00CA443E" w:rsidRPr="00EC02CA">
        <w:fldChar w:fldCharType="separate"/>
      </w:r>
      <w:r w:rsidR="007D7830">
        <w:t>4.3</w:t>
      </w:r>
      <w:r w:rsidR="00CA443E" w:rsidRPr="00EC02CA">
        <w:fldChar w:fldCharType="end"/>
      </w:r>
      <w:r w:rsidRPr="00EC02CA">
        <w:t>], young people generate and share sexual images of themselves consensually. However, self-generated material can be non-consensually shared with peers or entire school communities online</w:t>
      </w:r>
      <w:r w:rsidR="00664FB1" w:rsidRPr="00EC02CA">
        <w:t xml:space="preserve">, </w:t>
      </w:r>
      <w:r w:rsidRPr="00EC02CA">
        <w:t xml:space="preserve">showing the potential overlap of </w:t>
      </w:r>
      <w:r w:rsidR="0029166C" w:rsidRPr="00EC02CA">
        <w:t>child sexual exploitation material (</w:t>
      </w:r>
      <w:r w:rsidRPr="00EC02CA">
        <w:t>CSEM</w:t>
      </w:r>
      <w:r w:rsidR="0029166C" w:rsidRPr="00EC02CA">
        <w:t>)</w:t>
      </w:r>
      <w:r w:rsidRPr="00EC02CA">
        <w:t xml:space="preserve"> offences with image-based abuse, an offence that can </w:t>
      </w:r>
      <w:r w:rsidR="00664FB1" w:rsidRPr="00EC02CA">
        <w:t xml:space="preserve">also </w:t>
      </w:r>
      <w:r w:rsidRPr="00EC02CA">
        <w:t xml:space="preserve">involve adult </w:t>
      </w:r>
      <w:r w:rsidR="003C2332" w:rsidRPr="00EC02CA">
        <w:t>victim-survivors</w:t>
      </w:r>
      <w:r w:rsidRPr="00EC02CA">
        <w:t xml:space="preserve">. The sharing of CSEM by </w:t>
      </w:r>
      <w:r w:rsidR="007B2EA8" w:rsidRPr="00EC02CA">
        <w:t>you</w:t>
      </w:r>
      <w:r w:rsidR="00A8760A" w:rsidRPr="00EC02CA">
        <w:t>ng</w:t>
      </w:r>
      <w:r w:rsidR="007B2EA8" w:rsidRPr="00EC02CA">
        <w:t xml:space="preserve"> people </w:t>
      </w:r>
      <w:r w:rsidRPr="00EC02CA">
        <w:t xml:space="preserve">can result in significant psychological distress for </w:t>
      </w:r>
      <w:r w:rsidR="003C2332" w:rsidRPr="00EC02CA">
        <w:t>victim-survivors</w:t>
      </w:r>
      <w:r w:rsidRPr="00EC02CA">
        <w:t xml:space="preserve"> and their families.</w:t>
      </w:r>
      <w:r w:rsidRPr="00EC02CA">
        <w:rPr>
          <w:rStyle w:val="FootnoteReference"/>
        </w:rPr>
        <w:footnoteReference w:id="75"/>
      </w:r>
      <w:r w:rsidRPr="00EC02CA">
        <w:t xml:space="preserve"> It can entail a ‘strong element of betrayal trauma and peer group social humiliation’.</w:t>
      </w:r>
      <w:bookmarkStart w:id="85" w:name="_Ref217915176"/>
      <w:r w:rsidRPr="00EC02CA">
        <w:rPr>
          <w:rStyle w:val="FootnoteReference"/>
        </w:rPr>
        <w:footnoteReference w:id="76"/>
      </w:r>
      <w:bookmarkEnd w:id="85"/>
    </w:p>
    <w:p w14:paraId="0DB4535A" w14:textId="2127AA28" w:rsidR="00695636" w:rsidRPr="00EC02CA" w:rsidRDefault="00695636" w:rsidP="002F0007">
      <w:pPr>
        <w:pStyle w:val="NormalNumberedTextTLRI"/>
      </w:pPr>
      <w:r w:rsidRPr="00EC02CA">
        <w:t xml:space="preserve">While the significant harms of sexual abuse are well articulated, there has been less focus on comparing the experiences of </w:t>
      </w:r>
      <w:r w:rsidR="003C2332" w:rsidRPr="00EC02CA">
        <w:t>victim-survivors</w:t>
      </w:r>
      <w:r w:rsidRPr="00EC02CA">
        <w:t xml:space="preserve"> who were perpetrated against by adults, and those who were </w:t>
      </w:r>
      <w:r w:rsidR="00480D6C" w:rsidRPr="00EC02CA">
        <w:t>offended</w:t>
      </w:r>
      <w:r w:rsidRPr="00EC02CA">
        <w:t xml:space="preserve"> against by another young person.</w:t>
      </w:r>
      <w:r w:rsidRPr="00EC02CA">
        <w:rPr>
          <w:rStyle w:val="FootnoteReference"/>
        </w:rPr>
        <w:footnoteReference w:id="77"/>
      </w:r>
      <w:r w:rsidRPr="00EC02CA">
        <w:t xml:space="preserve"> An exception is a study by Finkelhor et al, which examined image abuse in childhood from a victim perspective</w:t>
      </w:r>
      <w:r w:rsidR="00E873EA" w:rsidRPr="00EC02CA">
        <w:t>,</w:t>
      </w:r>
      <w:r w:rsidRPr="00EC02CA">
        <w:t xml:space="preserve"> and found that the most negatively impactful category was self-made images that were non-consensually misused by other youths. In contrast, the least impactful category was images voluntarily shared by youths with adults and in commercial exchanges. Accordingly, it was observed that ‘from a victim perspective a primary focus on adult involved episodes does not fully recognize the level of threat and harm. A victim-oriented focus must encompass youth betrayed by other youths’.</w:t>
      </w:r>
      <w:r w:rsidRPr="00EC02CA">
        <w:rPr>
          <w:rStyle w:val="FootnoteReference"/>
        </w:rPr>
        <w:footnoteReference w:id="78"/>
      </w:r>
      <w:r w:rsidRPr="00EC02CA">
        <w:t xml:space="preserve"> </w:t>
      </w:r>
    </w:p>
    <w:p w14:paraId="59EE5658" w14:textId="1ECEF1BF" w:rsidR="00695636" w:rsidRPr="00EC02CA" w:rsidRDefault="00695636" w:rsidP="002F0007">
      <w:pPr>
        <w:pStyle w:val="NormalNumberedTextTLRI"/>
      </w:pPr>
      <w:r w:rsidRPr="00EC02CA">
        <w:t xml:space="preserve">Recent research by McKibben et al has also explored the experiences of </w:t>
      </w:r>
      <w:r w:rsidR="003C2332" w:rsidRPr="00EC02CA">
        <w:t>victim-survivors</w:t>
      </w:r>
      <w:r w:rsidRPr="00EC02CA">
        <w:t xml:space="preserve"> </w:t>
      </w:r>
      <w:r w:rsidR="00E873EA" w:rsidRPr="00EC02CA">
        <w:t xml:space="preserve">of childhood </w:t>
      </w:r>
      <w:r w:rsidRPr="00EC02CA">
        <w:t>sexual abuse committed by other children</w:t>
      </w:r>
      <w:r w:rsidR="00E873EA" w:rsidRPr="00EC02CA">
        <w:t>,</w:t>
      </w:r>
      <w:r w:rsidRPr="00EC02CA">
        <w:t xml:space="preserve"> with ‘psychological and relational negative impacts [being] common. These included chronic mental health issues, like suicidality, and </w:t>
      </w:r>
      <w:r w:rsidR="00E873EA" w:rsidRPr="00EC02CA">
        <w:t xml:space="preserve">an </w:t>
      </w:r>
      <w:r w:rsidRPr="00EC02CA">
        <w:t>inability to form meaningful relationships, further victimisation, and decisions not to have children’.</w:t>
      </w:r>
      <w:r w:rsidRPr="00EC02CA">
        <w:rPr>
          <w:rStyle w:val="FootnoteReference"/>
        </w:rPr>
        <w:footnoteReference w:id="79"/>
      </w:r>
      <w:r w:rsidRPr="00EC02CA">
        <w:t xml:space="preserve"> McKibb</w:t>
      </w:r>
      <w:r w:rsidR="00AA7E11" w:rsidRPr="00EC02CA">
        <w:t>i</w:t>
      </w:r>
      <w:r w:rsidRPr="00EC02CA">
        <w:t>n et al observed that their research findings suggest that ‘children’s harmful sexual behaviour is just as harmful as adult-perpetrated sexual abuse’.</w:t>
      </w:r>
      <w:r w:rsidRPr="00EC02CA">
        <w:rPr>
          <w:rStyle w:val="FootnoteReference"/>
        </w:rPr>
        <w:footnoteReference w:id="80"/>
      </w:r>
      <w:r w:rsidRPr="00EC02CA">
        <w:t>Additional uncertainty can be created for victims of child sexual abuse committed by other children given that there is less certainty in the narrative of ‘who is the perpetrator and who is the victim’ compared with adult-perpetrated child sexual abuse.</w:t>
      </w:r>
      <w:r w:rsidRPr="00EC02CA">
        <w:rPr>
          <w:rStyle w:val="FootnoteReference"/>
        </w:rPr>
        <w:footnoteReference w:id="81"/>
      </w:r>
      <w:r w:rsidRPr="00EC02CA">
        <w:t xml:space="preserve"> This mean</w:t>
      </w:r>
      <w:r w:rsidR="00E873EA" w:rsidRPr="00EC02CA">
        <w:t>s</w:t>
      </w:r>
      <w:r w:rsidRPr="00EC02CA">
        <w:t xml:space="preserve"> that victims-survivors </w:t>
      </w:r>
      <w:r w:rsidR="00E873EA" w:rsidRPr="00EC02CA">
        <w:t xml:space="preserve">can </w:t>
      </w:r>
      <w:r w:rsidRPr="00EC02CA">
        <w:t>at times ‘experience feeling as if they were “invited into” or complicit, in the abuse, despite violence and coercion’.</w:t>
      </w:r>
      <w:r w:rsidRPr="00EC02CA">
        <w:rPr>
          <w:rStyle w:val="FootnoteReference"/>
        </w:rPr>
        <w:footnoteReference w:id="82"/>
      </w:r>
    </w:p>
    <w:p w14:paraId="27736615" w14:textId="7CD5BECB" w:rsidR="00695636" w:rsidRPr="00EC02CA" w:rsidRDefault="00695636" w:rsidP="002F0007">
      <w:pPr>
        <w:pStyle w:val="NormalNumberedTextTLRI"/>
      </w:pPr>
      <w:r w:rsidRPr="00EC02CA">
        <w:t>This resonated with some of the perspectives provided in the interviews with the TLRI</w:t>
      </w:r>
      <w:r w:rsidR="008437C1" w:rsidRPr="00EC02CA">
        <w:t xml:space="preserve"> –</w:t>
      </w:r>
      <w:r w:rsidRPr="00EC02CA">
        <w:t xml:space="preserve"> that young people </w:t>
      </w:r>
      <w:r w:rsidR="008437C1" w:rsidRPr="00EC02CA">
        <w:t xml:space="preserve">who are victim-survivors </w:t>
      </w:r>
      <w:r w:rsidRPr="00EC02CA">
        <w:t>may feel guilt and shame about their own role</w:t>
      </w:r>
      <w:r w:rsidR="008437C1" w:rsidRPr="00EC02CA">
        <w:t xml:space="preserve"> (or perceived role)</w:t>
      </w:r>
      <w:r w:rsidRPr="00EC02CA">
        <w:t xml:space="preserve"> in the abuse. In addition, as noted at </w:t>
      </w:r>
      <w:r w:rsidR="001B45C1" w:rsidRPr="00EC02CA">
        <w:t>[</w:t>
      </w:r>
      <w:r w:rsidR="00CA443E" w:rsidRPr="00EC02CA">
        <w:fldChar w:fldCharType="begin"/>
      </w:r>
      <w:r w:rsidR="00CA443E" w:rsidRPr="00EC02CA">
        <w:instrText xml:space="preserve"> REF _Ref218253215 \r \h </w:instrText>
      </w:r>
      <w:r w:rsidR="00CA443E" w:rsidRPr="00EC02CA">
        <w:fldChar w:fldCharType="separate"/>
      </w:r>
      <w:r w:rsidR="007D7830">
        <w:t>6.3</w:t>
      </w:r>
      <w:r w:rsidR="00CA443E" w:rsidRPr="00EC02CA">
        <w:fldChar w:fldCharType="end"/>
      </w:r>
      <w:r w:rsidR="001B45C1" w:rsidRPr="00EC02CA">
        <w:t>]</w:t>
      </w:r>
      <w:r w:rsidRPr="00EC02CA">
        <w:t xml:space="preserve">, in these interviews, some participants spoke of concerns from a </w:t>
      </w:r>
      <w:r w:rsidR="00886B70" w:rsidRPr="00EC02CA">
        <w:t>victim-survivor</w:t>
      </w:r>
      <w:r w:rsidR="00BA6B64" w:rsidRPr="00EC02CA">
        <w:t xml:space="preserve"> </w:t>
      </w:r>
      <w:r w:rsidRPr="00EC02CA">
        <w:t>perspective that currently there was a sense that the justice system was not able to provide a response</w:t>
      </w:r>
      <w:r w:rsidR="008437C1" w:rsidRPr="00EC02CA">
        <w:t>,</w:t>
      </w:r>
      <w:r w:rsidRPr="00EC02CA">
        <w:t xml:space="preserve"> and that the young person who had harmed them essentially got away with it. </w:t>
      </w:r>
    </w:p>
    <w:p w14:paraId="111FEDA0" w14:textId="77777777" w:rsidR="00695636" w:rsidRPr="00EC02CA" w:rsidRDefault="00695636" w:rsidP="00A920EC">
      <w:pPr>
        <w:pStyle w:val="NumberedHeadingTLRI"/>
        <w:keepNext/>
        <w:keepLines/>
      </w:pPr>
      <w:bookmarkStart w:id="86" w:name="_Toc211849362"/>
      <w:bookmarkStart w:id="87" w:name="_Ref217903249"/>
      <w:bookmarkStart w:id="88" w:name="_Toc218157258"/>
      <w:bookmarkStart w:id="89" w:name="_Ref218240923"/>
      <w:r w:rsidRPr="00EC02CA">
        <w:t>Prevalence of harmful sexual behaviour/sexual offending by young people</w:t>
      </w:r>
      <w:bookmarkEnd w:id="86"/>
      <w:bookmarkEnd w:id="87"/>
      <w:bookmarkEnd w:id="88"/>
      <w:bookmarkEnd w:id="89"/>
    </w:p>
    <w:p w14:paraId="10EBDD3B" w14:textId="3A57DCC9" w:rsidR="00695636" w:rsidRPr="00EC02CA" w:rsidRDefault="00695636" w:rsidP="002F0007">
      <w:pPr>
        <w:pStyle w:val="NormalNumberedTextTLRI"/>
      </w:pPr>
      <w:r w:rsidRPr="00EC02CA">
        <w:t xml:space="preserve">Sexual offending by </w:t>
      </w:r>
      <w:r w:rsidR="00A276E9" w:rsidRPr="00EC02CA">
        <w:t>young people</w:t>
      </w:r>
      <w:r w:rsidRPr="00EC02CA">
        <w:t xml:space="preserve"> generally remains a contentious and taboo </w:t>
      </w:r>
      <w:r w:rsidR="0078587B" w:rsidRPr="00EC02CA">
        <w:t>subject</w:t>
      </w:r>
      <w:r w:rsidR="001D1605" w:rsidRPr="00EC02CA">
        <w:t>,</w:t>
      </w:r>
      <w:r w:rsidR="0078587B" w:rsidRPr="00EC02CA">
        <w:t xml:space="preserve"> </w:t>
      </w:r>
      <w:r w:rsidRPr="00EC02CA">
        <w:t>and thus is often underreported and consequently difficult to measure. Indeed, patterns of underreporting and stigma behaviours are primary reasons the issue of harmful sexual behaviours engaged by youths has been traditionally minimised both systemically and statistically.</w:t>
      </w:r>
      <w:r w:rsidRPr="00EC02CA">
        <w:rPr>
          <w:rStyle w:val="FootnoteReference"/>
        </w:rPr>
        <w:footnoteReference w:id="83"/>
      </w:r>
      <w:r w:rsidRPr="00EC02CA">
        <w:t xml:space="preserve"> Australian data estimating the prevalence of harmful sexual behaviour did not exist until relatively recently.</w:t>
      </w:r>
      <w:bookmarkStart w:id="90" w:name="_Ref217979646"/>
      <w:r w:rsidRPr="00EC02CA">
        <w:rPr>
          <w:rStyle w:val="FootnoteReference"/>
        </w:rPr>
        <w:footnoteReference w:id="84"/>
      </w:r>
      <w:bookmarkEnd w:id="90"/>
      <w:r w:rsidRPr="00EC02CA">
        <w:t xml:space="preserve"> </w:t>
      </w:r>
    </w:p>
    <w:p w14:paraId="7EC8DFB2" w14:textId="7D3CD3BF" w:rsidR="00EC3C98" w:rsidRPr="00EC02CA" w:rsidRDefault="00B46BBE" w:rsidP="002F0007">
      <w:pPr>
        <w:pStyle w:val="NormalNumberedTextTLRI"/>
      </w:pPr>
      <w:bookmarkStart w:id="91" w:name="_Ref218239933"/>
      <w:r w:rsidRPr="00EC02CA">
        <w:t>The prevalence of online sexual offending by young people is very hard to estimate. However, it has clearly increased in recent years due to new technologies and internet-based communication platforms (eg Snapchat, Instagram and TikTok)</w:t>
      </w:r>
      <w:r w:rsidRPr="00EC02CA">
        <w:fldChar w:fldCharType="begin"/>
      </w:r>
      <w:r w:rsidRPr="00EC02CA">
        <w:instrText xml:space="preserve"> ADDIN EN.CITE &lt;EndNote&gt;&lt;Cite&gt;&lt;Author&gt;Aebi&lt;/Author&gt;&lt;Year&gt;2015&lt;/Year&gt;&lt;RecNum&gt;31355&lt;/RecNum&gt;&lt;record&gt;&lt;rec-number&gt;31355&lt;/rec-number&gt;&lt;foreign-keys&gt;&lt;key app="EN" db-id="92twpawtxsdzaae5zwevdsw799fderxv2d52" timestamp="1692248806" guid="1e9570c3-02dc-4269-a65a-716b63a3fa38"&gt;31355&lt;/key&gt;&lt;/foreign-keys&gt;&lt;ref-type name="Journal Article"&gt;17&lt;/ref-type&gt;&lt;contributors&gt;&lt;authors&gt;&lt;author&gt;Aebi, Marcel&lt;/author&gt;&lt;author&gt;Landolt, Markus A&lt;/author&gt;&lt;author&gt;Mueller-Pfeiffer, Christoph&lt;/author&gt;&lt;author&gt;Schnyder, Ulrich&lt;/author&gt;&lt;author&gt;Maier, Thomas&lt;/author&gt;&lt;author&gt;Mohler-Kuo, Meichun&lt;/author&gt;&lt;/authors&gt;&lt;/contributors&gt;&lt;titles&gt;&lt;title&gt;Testing the &amp;quot;sexually abused-abuser hypothesis&amp;quot; in adolescents: A population-based study&lt;/title&gt;&lt;secondary-title&gt;Archives of Sexual Behavior&lt;/secondary-title&gt;&lt;/titles&gt;&lt;periodical&gt;&lt;full-title&gt;Archives of Sexual Behavior&lt;/full-title&gt;&lt;/periodical&gt;&lt;pages&gt;2189-2199&lt;/pages&gt;&lt;volume&gt;44&lt;/volume&gt;&lt;dates&gt;&lt;year&gt;2015&lt;/year&gt;&lt;/dates&gt;&lt;urls&gt;&lt;/urls&gt;&lt;electronic-resource-num&gt;10.1007/s10508-014-0440-x&lt;/electronic-resource-num&gt;&lt;/record&gt;&lt;/Cite&gt;&lt;/EndNote&gt;</w:instrText>
      </w:r>
      <w:r w:rsidRPr="00EC02CA">
        <w:fldChar w:fldCharType="separate"/>
      </w:r>
      <w:r w:rsidRPr="00EC02CA">
        <w:fldChar w:fldCharType="end"/>
      </w:r>
      <w:r w:rsidRPr="00EC02CA">
        <w:t>.</w:t>
      </w:r>
      <w:bookmarkStart w:id="92" w:name="_Ref217915594"/>
      <w:r w:rsidRPr="00EC02CA">
        <w:rPr>
          <w:rStyle w:val="FootnoteReference"/>
          <w:sz w:val="24"/>
        </w:rPr>
        <w:footnoteReference w:id="85"/>
      </w:r>
      <w:bookmarkEnd w:id="92"/>
      <w:r w:rsidRPr="00EC02CA">
        <w:t xml:space="preserve"> </w:t>
      </w:r>
      <w:r w:rsidR="009A6427" w:rsidRPr="00EC02CA">
        <w:t xml:space="preserve">By providing ubiquitous access to digital cameras and easy means of uploading material via the internet, modern technology has introduced a new potent risk factor for online sexual offending </w:t>
      </w:r>
      <w:r w:rsidR="009A6427" w:rsidRPr="00EC02CA">
        <w:rPr>
          <w:i/>
          <w:iCs/>
        </w:rPr>
        <w:t>by</w:t>
      </w:r>
      <w:r w:rsidR="009A6427" w:rsidRPr="00EC02CA">
        <w:t xml:space="preserve"> young </w:t>
      </w:r>
      <w:r w:rsidR="00F6089B" w:rsidRPr="00EC02CA">
        <w:t xml:space="preserve">people </w:t>
      </w:r>
      <w:r w:rsidR="009A6427" w:rsidRPr="00EC02CA">
        <w:t xml:space="preserve">and </w:t>
      </w:r>
      <w:r w:rsidR="009A6427" w:rsidRPr="00EC02CA">
        <w:rPr>
          <w:i/>
          <w:iCs/>
        </w:rPr>
        <w:t xml:space="preserve">against </w:t>
      </w:r>
      <w:r w:rsidR="009A6427" w:rsidRPr="00EC02CA">
        <w:t>them.</w:t>
      </w:r>
      <w:r w:rsidR="00F6089B" w:rsidRPr="00EC02CA">
        <w:rPr>
          <w:rStyle w:val="FootnoteReference"/>
        </w:rPr>
        <w:footnoteReference w:id="86"/>
      </w:r>
      <w:r w:rsidR="00F6089B" w:rsidRPr="00EC02CA">
        <w:t xml:space="preserve"> </w:t>
      </w:r>
      <w:r w:rsidR="009A6427" w:rsidRPr="00EC02CA">
        <w:t xml:space="preserve">From the perspective of situational crime prevention theory, the technology is facilitating a toxic mix for young people because it provides </w:t>
      </w:r>
      <w:r w:rsidR="009A6427" w:rsidRPr="00EC02CA">
        <w:rPr>
          <w:i/>
          <w:iCs/>
        </w:rPr>
        <w:t>repeated opportunities</w:t>
      </w:r>
      <w:r w:rsidR="009A6427" w:rsidRPr="00EC02CA">
        <w:t xml:space="preserve"> for offending behaviour that is </w:t>
      </w:r>
      <w:r w:rsidR="009A6427" w:rsidRPr="00EC02CA">
        <w:rPr>
          <w:i/>
          <w:iCs/>
        </w:rPr>
        <w:t>easy</w:t>
      </w:r>
      <w:r w:rsidR="001D1605" w:rsidRPr="00EC02CA">
        <w:t xml:space="preserve"> and</w:t>
      </w:r>
      <w:r w:rsidR="009A6427" w:rsidRPr="00EC02CA">
        <w:t xml:space="preserve"> </w:t>
      </w:r>
      <w:r w:rsidR="009A6427" w:rsidRPr="00EC02CA">
        <w:rPr>
          <w:i/>
          <w:iCs/>
        </w:rPr>
        <w:t>rewarding</w:t>
      </w:r>
      <w:r w:rsidR="009A6427" w:rsidRPr="00EC02CA">
        <w:t xml:space="preserve"> (eg sexual gratification), </w:t>
      </w:r>
      <w:r w:rsidR="009A6427" w:rsidRPr="00EC02CA">
        <w:rPr>
          <w:i/>
          <w:iCs/>
        </w:rPr>
        <w:t>perceived as low-risk</w:t>
      </w:r>
      <w:r w:rsidR="009A6427" w:rsidRPr="00EC02CA">
        <w:t xml:space="preserve"> (eg in terms of police intervention), and </w:t>
      </w:r>
      <w:r w:rsidR="009A6427" w:rsidRPr="00EC02CA">
        <w:rPr>
          <w:i/>
          <w:iCs/>
        </w:rPr>
        <w:t>can be excused</w:t>
      </w:r>
      <w:r w:rsidR="009A6427" w:rsidRPr="00EC02CA">
        <w:t xml:space="preserve"> through cognitive distortions (eg ‘everybody does it’).</w:t>
      </w:r>
      <w:r w:rsidR="009A6427" w:rsidRPr="00EC02CA">
        <w:rPr>
          <w:rStyle w:val="FootnoteReference"/>
        </w:rPr>
        <w:footnoteReference w:id="87"/>
      </w:r>
      <w:bookmarkEnd w:id="91"/>
    </w:p>
    <w:p w14:paraId="278B63BC" w14:textId="7BBB2E02" w:rsidR="005A22CC" w:rsidRPr="00EC02CA" w:rsidRDefault="00B46BBE" w:rsidP="002F0007">
      <w:pPr>
        <w:pStyle w:val="NormalNumberedTextTLRI"/>
      </w:pPr>
      <w:bookmarkStart w:id="93" w:name="_Ref218239943"/>
      <w:r w:rsidRPr="00EC02CA">
        <w:t>Today</w:t>
      </w:r>
      <w:r w:rsidR="00F33C4B" w:rsidRPr="00EC02CA">
        <w:t>,</w:t>
      </w:r>
      <w:r w:rsidRPr="00EC02CA">
        <w:t xml:space="preserve"> consensual sharing of digital sexual images or videos (eg ‘sexting’) is a common form of sexual expression for adolescents</w:t>
      </w:r>
      <w:r w:rsidRPr="00EC02CA">
        <w:rPr>
          <w:rStyle w:val="FootnoteReference"/>
        </w:rPr>
        <w:footnoteReference w:id="88"/>
      </w:r>
      <w:r w:rsidRPr="00EC02CA">
        <w:t xml:space="preserve"> and adults.</w:t>
      </w:r>
      <w:r w:rsidRPr="00EC02CA">
        <w:rPr>
          <w:rStyle w:val="FootnoteReference"/>
        </w:rPr>
        <w:footnoteReference w:id="89"/>
      </w:r>
      <w:r w:rsidRPr="00EC02CA">
        <w:t xml:space="preserve"> It has been argued that the behaviour is not necessarily problematic where it occurs between adolescents consensually</w:t>
      </w:r>
      <w:r w:rsidR="00F33C4B" w:rsidRPr="00EC02CA">
        <w:t>,</w:t>
      </w:r>
      <w:r w:rsidRPr="00EC02CA">
        <w:t xml:space="preserve"> and without the hallmarks of harmful sexual behaviours (see </w:t>
      </w:r>
      <w:r w:rsidR="00F33C4B" w:rsidRPr="00EC02CA">
        <w:t>[</w:t>
      </w:r>
      <w:r w:rsidR="00CA443E" w:rsidRPr="00EC02CA">
        <w:fldChar w:fldCharType="begin"/>
      </w:r>
      <w:r w:rsidR="00CA443E" w:rsidRPr="00EC02CA">
        <w:instrText xml:space="preserve"> REF _Ref218252803 \r \h </w:instrText>
      </w:r>
      <w:r w:rsidR="00CA443E" w:rsidRPr="00EC02CA">
        <w:fldChar w:fldCharType="separate"/>
      </w:r>
      <w:r w:rsidR="007D7830">
        <w:t>2.2</w:t>
      </w:r>
      <w:r w:rsidR="00CA443E" w:rsidRPr="00EC02CA">
        <w:fldChar w:fldCharType="end"/>
      </w:r>
      <w:r w:rsidR="00AF1D84" w:rsidRPr="00EC02CA">
        <w:t>]</w:t>
      </w:r>
      <w:r w:rsidRPr="00EC02CA">
        <w:t>).</w:t>
      </w:r>
      <w:r w:rsidRPr="00EC02CA">
        <w:rPr>
          <w:rStyle w:val="FootnoteReference"/>
        </w:rPr>
        <w:footnoteReference w:id="90"/>
      </w:r>
      <w:r w:rsidRPr="00EC02CA">
        <w:t xml:space="preserve"> Notwithstanding</w:t>
      </w:r>
      <w:r w:rsidR="00F33C4B" w:rsidRPr="00EC02CA">
        <w:t xml:space="preserve"> this</w:t>
      </w:r>
      <w:r w:rsidRPr="00EC02CA">
        <w:t>, literature has described sexting as ‘an overlapping yet different behaviour to online sexual abuse’.</w:t>
      </w:r>
      <w:bookmarkStart w:id="94" w:name="_Ref217917566"/>
      <w:r w:rsidRPr="00EC02CA">
        <w:rPr>
          <w:rStyle w:val="FootnoteReference"/>
        </w:rPr>
        <w:footnoteReference w:id="91"/>
      </w:r>
      <w:bookmarkEnd w:id="94"/>
      <w:r w:rsidRPr="00EC02CA">
        <w:t xml:space="preserve"> As noted, there are range of offending behaviours that ma</w:t>
      </w:r>
      <w:r w:rsidR="00F33C4B" w:rsidRPr="00EC02CA">
        <w:t>n</w:t>
      </w:r>
      <w:r w:rsidRPr="00EC02CA">
        <w:t>y young people may engage in, including the non-consensual generating or sharing of sexual images, and the non-consensual manufacturing of sexual images (digitally altered or ‘deepfake’ images).</w:t>
      </w:r>
      <w:r w:rsidRPr="00EC02CA">
        <w:rPr>
          <w:rStyle w:val="FootnoteReference"/>
        </w:rPr>
        <w:footnoteReference w:id="92"/>
      </w:r>
      <w:r w:rsidRPr="00EC02CA">
        <w:t xml:space="preserve"> Currently</w:t>
      </w:r>
      <w:r w:rsidR="00F33C4B" w:rsidRPr="00EC02CA">
        <w:t>,</w:t>
      </w:r>
      <w:r w:rsidRPr="00EC02CA">
        <w:t xml:space="preserve"> research indicates that the bulk of images involved in youth online sexual offending were originally self-generated (eg photographed) and </w:t>
      </w:r>
      <w:r w:rsidR="00F33C4B" w:rsidRPr="00EC02CA">
        <w:t xml:space="preserve">initially shared </w:t>
      </w:r>
      <w:r w:rsidRPr="00EC02CA">
        <w:t>voluntarily.</w:t>
      </w:r>
      <w:r w:rsidRPr="00EC02CA">
        <w:rPr>
          <w:rStyle w:val="FootnoteReference"/>
        </w:rPr>
        <w:footnoteReference w:id="93"/>
      </w:r>
      <w:bookmarkEnd w:id="93"/>
      <w:r w:rsidRPr="00EC02CA">
        <w:t xml:space="preserve"> </w:t>
      </w:r>
    </w:p>
    <w:p w14:paraId="4392EC90" w14:textId="4D52DE2A" w:rsidR="00695636" w:rsidRPr="00EC02CA" w:rsidRDefault="00695636" w:rsidP="002F0007">
      <w:pPr>
        <w:pStyle w:val="NormalNumberedTextTLRI"/>
      </w:pPr>
      <w:r w:rsidRPr="00EC02CA">
        <w:t>Two important data sources are</w:t>
      </w:r>
      <w:r w:rsidR="00F33C4B" w:rsidRPr="00EC02CA">
        <w:t>: (1)</w:t>
      </w:r>
      <w:r w:rsidRPr="00EC02CA">
        <w:t xml:space="preserve"> recorded crime</w:t>
      </w:r>
      <w:r w:rsidRPr="00EC02CA">
        <w:rPr>
          <w:b/>
          <w:bCs/>
        </w:rPr>
        <w:t xml:space="preserve"> </w:t>
      </w:r>
      <w:r w:rsidRPr="00EC02CA">
        <w:t>statistics and</w:t>
      </w:r>
      <w:r w:rsidR="00F33C4B" w:rsidRPr="00EC02CA">
        <w:t xml:space="preserve"> (2)</w:t>
      </w:r>
      <w:r w:rsidRPr="00EC02CA">
        <w:t xml:space="preserve"> information provided by </w:t>
      </w:r>
      <w:r w:rsidR="00886B70" w:rsidRPr="00EC02CA">
        <w:t>victim-survivor</w:t>
      </w:r>
      <w:r w:rsidRPr="00EC02CA">
        <w:t xml:space="preserve">s in surveys, interviews and other qualitative research methods. In relation to recorded crime, </w:t>
      </w:r>
      <w:r w:rsidR="00F33C4B" w:rsidRPr="00EC02CA">
        <w:t xml:space="preserve">the </w:t>
      </w:r>
      <w:r w:rsidRPr="00EC02CA">
        <w:t xml:space="preserve">literature has consistently indicated that only a small proportion of sexually-based offences are reported to authorities, and of those, only a small proportion of alleged offenders are likely to be proceeded against, and </w:t>
      </w:r>
      <w:r w:rsidR="00F33C4B" w:rsidRPr="00EC02CA">
        <w:t xml:space="preserve">ultimately </w:t>
      </w:r>
      <w:r w:rsidRPr="00EC02CA">
        <w:t>found guilty</w:t>
      </w:r>
      <w:r w:rsidRPr="00EC02CA">
        <w:fldChar w:fldCharType="begin"/>
      </w:r>
      <w:r w:rsidRPr="00EC02CA">
        <w:instrText xml:space="preserve"> ADDIN EN.CITE &lt;EndNote&gt;&lt;Cite&gt;&lt;Author&gt;Aebi&lt;/Author&gt;&lt;Year&gt;2015&lt;/Year&gt;&lt;RecNum&gt;31355&lt;/RecNum&gt;&lt;record&gt;&lt;rec-number&gt;31355&lt;/rec-number&gt;&lt;foreign-keys&gt;&lt;key app="EN" db-id="92twpawtxsdzaae5zwevdsw799fderxv2d52" timestamp="1692248806" guid="1e9570c3-02dc-4269-a65a-716b63a3fa38"&gt;31355&lt;/key&gt;&lt;/foreign-keys&gt;&lt;ref-type name="Journal Article"&gt;17&lt;/ref-type&gt;&lt;contributors&gt;&lt;authors&gt;&lt;author&gt;Aebi, Marcel&lt;/author&gt;&lt;author&gt;Landolt, Markus A&lt;/author&gt;&lt;author&gt;Mueller-Pfeiffer, Christoph&lt;/author&gt;&lt;author&gt;Schnyder, Ulrich&lt;/author&gt;&lt;author&gt;Maier, Thomas&lt;/author&gt;&lt;author&gt;Mohler-Kuo, Meichun&lt;/author&gt;&lt;/authors&gt;&lt;/contributors&gt;&lt;titles&gt;&lt;title&gt;Testing the &amp;quot;sexually abused-abuser hypothesis&amp;quot; in adolescents: A population-based study&lt;/title&gt;&lt;secondary-title&gt;Archives of Sexual Behavior&lt;/secondary-title&gt;&lt;/titles&gt;&lt;periodical&gt;&lt;full-title&gt;Archives of Sexual Behavior&lt;/full-title&gt;&lt;/periodical&gt;&lt;pages&gt;2189-2199&lt;/pages&gt;&lt;volume&gt;44&lt;/volume&gt;&lt;dates&gt;&lt;year&gt;2015&lt;/year&gt;&lt;/dates&gt;&lt;urls&gt;&lt;/urls&gt;&lt;electronic-resource-num&gt;10.1007/s10508-014-0440-x&lt;/electronic-resource-num&gt;&lt;/record&gt;&lt;/Cite&gt;&lt;Cite&gt;&lt;Author&gt;Warner&lt;/Author&gt;&lt;Year&gt;2015&lt;/Year&gt;&lt;RecNum&gt;31642&lt;/RecNum&gt;&lt;record&gt;&lt;rec-number&gt;31642&lt;/rec-number&gt;&lt;foreign-keys&gt;&lt;key app="EN" db-id="92twpawtxsdzaae5zwevdsw799fderxv2d52" timestamp="1692931112"&gt;31642&lt;/key&gt;&lt;/foreign-keys&gt;&lt;ref-type name="Journal Article"&gt;17&lt;/ref-type&gt;&lt;contributors&gt;&lt;authors&gt;&lt;author&gt;Warner, Kate&lt;/author&gt;&lt;author&gt;Bartels, Lorana&lt;/author&gt;&lt;/authors&gt;&lt;/contributors&gt;&lt;titles&gt;&lt;title&gt;Juvenile sex offending: Its prevalence and the criminal justice response&lt;/title&gt;&lt;secondary-title&gt;UNSW Law Journal&lt;/secondary-title&gt;&lt;/titles&gt;&lt;periodical&gt;&lt;full-title&gt;UNSW Law Journal&lt;/full-title&gt;&lt;/periodical&gt;&lt;pages&gt;48-76&lt;/pages&gt;&lt;volume&gt;38&lt;/volume&gt;&lt;number&gt;1&lt;/number&gt;&lt;dates&gt;&lt;year&gt;2015&lt;/year&gt;&lt;/dates&gt;&lt;urls&gt;&lt;/urls&gt;&lt;/record&gt;&lt;/Cite&gt;&lt;/EndNote&gt;</w:instrText>
      </w:r>
      <w:r w:rsidRPr="00EC02CA">
        <w:fldChar w:fldCharType="separate"/>
      </w:r>
      <w:r w:rsidRPr="00EC02CA">
        <w:fldChar w:fldCharType="end"/>
      </w:r>
      <w:r w:rsidRPr="00EC02CA">
        <w:t>.</w:t>
      </w:r>
      <w:r w:rsidRPr="00EC02CA">
        <w:rPr>
          <w:rStyle w:val="FootnoteReference"/>
          <w:sz w:val="24"/>
        </w:rPr>
        <w:footnoteReference w:id="94"/>
      </w:r>
      <w:r w:rsidRPr="00EC02CA">
        <w:t xml:space="preserve"> Youth engagement in harmful sexual behaviour is often unreported due to stigma and the associated implications for family members (</w:t>
      </w:r>
      <w:r w:rsidR="00F33C4B" w:rsidRPr="00EC02CA">
        <w:t>eg</w:t>
      </w:r>
      <w:r w:rsidRPr="00EC02CA">
        <w:t xml:space="preserve"> sibling separation, child services involvement), especially in the circumstances where these acts occur between siblings. As Warner and Bartels recognised</w:t>
      </w:r>
      <w:r w:rsidR="00E7569C" w:rsidRPr="00EC02CA">
        <w:t>,</w:t>
      </w:r>
      <w:r w:rsidRPr="00EC02CA">
        <w:t xml:space="preserve"> most young people engaging in harmful sexual behaviour will target someone known to them, such as family, peers and acquaintances, who are typically less likely to report the offence to an authority figure or proceed with prosecution</w:t>
      </w:r>
      <w:r w:rsidRPr="00EC02CA">
        <w:fldChar w:fldCharType="begin"/>
      </w:r>
      <w:r w:rsidRPr="00EC02CA">
        <w:instrText xml:space="preserve"> ADDIN EN.CITE &lt;EndNote&gt;&lt;Cite&gt;&lt;Author&gt;Warner&lt;/Author&gt;&lt;Year&gt;2015&lt;/Year&gt;&lt;RecNum&gt;31642&lt;/RecNum&gt;&lt;record&gt;&lt;rec-number&gt;31642&lt;/rec-number&gt;&lt;foreign-keys&gt;&lt;key app="EN" db-id="92twpawtxsdzaae5zwevdsw799fderxv2d52" timestamp="1692931112"&gt;31642&lt;/key&gt;&lt;/foreign-keys&gt;&lt;ref-type name="Journal Article"&gt;17&lt;/ref-type&gt;&lt;contributors&gt;&lt;authors&gt;&lt;author&gt;Warner, Kate&lt;/author&gt;&lt;author&gt;Bartels, Lorana&lt;/author&gt;&lt;/authors&gt;&lt;/contributors&gt;&lt;titles&gt;&lt;title&gt;Juvenile sex offending: Its prevalence and the criminal justice response&lt;/title&gt;&lt;secondary-title&gt;UNSW Law Journal&lt;/secondary-title&gt;&lt;/titles&gt;&lt;periodical&gt;&lt;full-title&gt;UNSW Law Journal&lt;/full-title&gt;&lt;/periodical&gt;&lt;pages&gt;48-76&lt;/pages&gt;&lt;volume&gt;38&lt;/volume&gt;&lt;number&gt;1&lt;/number&gt;&lt;dates&gt;&lt;year&gt;2015&lt;/year&gt;&lt;/dates&gt;&lt;urls&gt;&lt;/urls&gt;&lt;/record&gt;&lt;/Cite&gt;&lt;/EndNote&gt;</w:instrText>
      </w:r>
      <w:r w:rsidRPr="00EC02CA">
        <w:fldChar w:fldCharType="separate"/>
      </w:r>
      <w:r w:rsidRPr="00EC02CA">
        <w:fldChar w:fldCharType="end"/>
      </w:r>
      <w:r w:rsidRPr="00EC02CA">
        <w:t>.</w:t>
      </w:r>
      <w:r w:rsidRPr="00EC02CA">
        <w:rPr>
          <w:rStyle w:val="FootnoteReference"/>
          <w:sz w:val="24"/>
        </w:rPr>
        <w:footnoteReference w:id="95"/>
      </w:r>
      <w:r w:rsidR="00E03403" w:rsidRPr="00EC02CA">
        <w:t xml:space="preserve"> </w:t>
      </w:r>
      <w:r w:rsidRPr="00EC02CA">
        <w:t xml:space="preserve">Therefore, it may be that the prevalence of sexual offending by young people is considerably higher than indicated in recorded crime data. Self-reports by </w:t>
      </w:r>
      <w:r w:rsidR="003C2332" w:rsidRPr="00EC02CA">
        <w:t>victim-survivors</w:t>
      </w:r>
      <w:r w:rsidRPr="00EC02CA">
        <w:t xml:space="preserve">, including those </w:t>
      </w:r>
      <w:r w:rsidR="00E7569C" w:rsidRPr="00EC02CA">
        <w:t xml:space="preserve">aged </w:t>
      </w:r>
      <w:r w:rsidRPr="00EC02CA">
        <w:t xml:space="preserve">under 18, suggest higher rates of youth sexual offending than is indicated by official statistics, with many occasions of harmful sexual behaviours engaged </w:t>
      </w:r>
      <w:r w:rsidR="00E7569C" w:rsidRPr="00EC02CA">
        <w:t xml:space="preserve">in </w:t>
      </w:r>
      <w:r w:rsidRPr="00EC02CA">
        <w:t>by youths never reported to, or investigated by, official authorities.</w:t>
      </w:r>
      <w:r w:rsidRPr="00EC02CA">
        <w:rPr>
          <w:rStyle w:val="FootnoteReference"/>
        </w:rPr>
        <w:footnoteReference w:id="96"/>
      </w:r>
      <w:r w:rsidRPr="00EC02CA">
        <w:t xml:space="preserve"> Of course, the factors that might make a </w:t>
      </w:r>
      <w:r w:rsidR="00886B70" w:rsidRPr="00EC02CA">
        <w:t>victim-survivor</w:t>
      </w:r>
      <w:r w:rsidRPr="00EC02CA">
        <w:t xml:space="preserve"> disinclined to report their experiences to authorities may also discourage them from wanting to participate in qualitative research. In other words, surveys (and the like) will usually be exposed to selection effects. With those caveats noted, this section draws on these two data sources to examine estimates of the prevalence of physical and online sexual offending by young people.</w:t>
      </w:r>
    </w:p>
    <w:p w14:paraId="768A18C4" w14:textId="77777777" w:rsidR="00695636" w:rsidRPr="00EC02CA" w:rsidRDefault="00695636" w:rsidP="00A920EC">
      <w:pPr>
        <w:pStyle w:val="TLRISubheading"/>
      </w:pPr>
      <w:bookmarkStart w:id="95" w:name="_Toc211849363"/>
      <w:bookmarkStart w:id="96" w:name="_Toc218157259"/>
      <w:r w:rsidRPr="00EC02CA">
        <w:t>International literature</w:t>
      </w:r>
      <w:bookmarkEnd w:id="95"/>
      <w:bookmarkEnd w:id="96"/>
    </w:p>
    <w:p w14:paraId="2AE509D8" w14:textId="547CE07F" w:rsidR="00695636" w:rsidRPr="00EC02CA" w:rsidRDefault="00695636" w:rsidP="002F0007">
      <w:pPr>
        <w:pStyle w:val="NormalNumberedTextTLRI"/>
      </w:pPr>
      <w:r w:rsidRPr="00EC02CA">
        <w:t>Concerns about the prevalence of sexual offending by young people have been raised in academic literature, practice materials and government reports from around the world. International statistics indicate that young people aged 10–17 years are responsible for a considerable proportion of harmful sexual behaviours enacted towards other</w:t>
      </w:r>
      <w:r w:rsidR="00610A04" w:rsidRPr="00EC02CA">
        <w:t xml:space="preserve"> young people</w:t>
      </w:r>
      <w:r w:rsidRPr="00EC02CA">
        <w:t xml:space="preserve">. </w:t>
      </w:r>
    </w:p>
    <w:p w14:paraId="2FB77A03" w14:textId="41D20EF4" w:rsidR="00695636" w:rsidRPr="00EC02CA" w:rsidRDefault="00695636" w:rsidP="002F0007">
      <w:pPr>
        <w:pStyle w:val="NormalNumberedTextTLRI"/>
      </w:pPr>
      <w:r w:rsidRPr="00EC02CA">
        <w:rPr>
          <w:b/>
          <w:bCs/>
        </w:rPr>
        <w:t xml:space="preserve">Physical offending. </w:t>
      </w:r>
      <w:r w:rsidRPr="00EC02CA">
        <w:t>In the United States, for example, Brown cite</w:t>
      </w:r>
      <w:r w:rsidR="00E7569C" w:rsidRPr="00EC02CA">
        <w:t>d that in 2014,</w:t>
      </w:r>
      <w:r w:rsidRPr="00EC02CA">
        <w:t xml:space="preserve"> 17% </w:t>
      </w:r>
      <w:r w:rsidR="006D5838" w:rsidRPr="00EC02CA">
        <w:t xml:space="preserve">(that is, 43,422) </w:t>
      </w:r>
      <w:r w:rsidRPr="00EC02CA">
        <w:t xml:space="preserve">of all arrests for sexual crimes were of young people </w:t>
      </w:r>
      <w:r w:rsidR="00E7569C" w:rsidRPr="00EC02CA">
        <w:t xml:space="preserve">aged </w:t>
      </w:r>
      <w:r w:rsidRPr="00EC02CA">
        <w:t>under 18</w:t>
      </w:r>
      <w:r w:rsidRPr="00EC02CA">
        <w:fldChar w:fldCharType="begin"/>
      </w:r>
      <w:r w:rsidRPr="00EC02CA">
        <w:instrText xml:space="preserve"> ADDIN EN.CITE &lt;EndNote&gt;&lt;Cite&gt;&lt;Author&gt;Brown&lt;/Author&gt;&lt;Year&gt;2019&lt;/Year&gt;&lt;RecNum&gt;31627&lt;/RecNum&gt;&lt;record&gt;&lt;rec-number&gt;31627&lt;/rec-number&gt;&lt;foreign-keys&gt;&lt;key app="EN" db-id="92twpawtxsdzaae5zwevdsw799fderxv2d52" timestamp="1692926995"&gt;31627&lt;/key&gt;&lt;/foreign-keys&gt;&lt;ref-type name="Journal Article"&gt;17&lt;/ref-type&gt;&lt;contributors&gt;&lt;authors&gt;&lt;author&gt;Brown, Adam&lt;/author&gt;&lt;/authors&gt;&lt;/contributors&gt;&lt;titles&gt;&lt;title&gt;Using latent class analysis to explore subtypes of youth who have committed sexual offences&lt;/title&gt;&lt;secondary-title&gt;Youth Violence and Juvenile Justice&lt;/secondary-title&gt;&lt;/titles&gt;&lt;periodical&gt;&lt;full-title&gt;Youth Violence and Juvenile Justice&lt;/full-title&gt;&lt;/periodical&gt;&lt;pages&gt;413-430&lt;/pages&gt;&lt;volume&gt;17&lt;/volume&gt;&lt;number&gt;4&lt;/number&gt;&lt;dates&gt;&lt;year&gt;2019&lt;/year&gt;&lt;/dates&gt;&lt;urls&gt;&lt;/urls&gt;&lt;electronic-resource-num&gt;10.1177/1541204018820578&lt;/electronic-resource-num&gt;&lt;/record&gt;&lt;/Cite&gt;&lt;/EndNote&gt;</w:instrText>
      </w:r>
      <w:r w:rsidRPr="00EC02CA">
        <w:fldChar w:fldCharType="separate"/>
      </w:r>
      <w:r w:rsidRPr="00EC02CA">
        <w:fldChar w:fldCharType="end"/>
      </w:r>
      <w:r w:rsidRPr="00EC02CA">
        <w:t>.</w:t>
      </w:r>
      <w:bookmarkStart w:id="97" w:name="_Ref218017754"/>
      <w:r w:rsidRPr="00EC02CA">
        <w:rPr>
          <w:rStyle w:val="FootnoteReference"/>
          <w:sz w:val="24"/>
          <w:szCs w:val="24"/>
        </w:rPr>
        <w:footnoteReference w:id="97"/>
      </w:r>
      <w:bookmarkEnd w:id="97"/>
      <w:r w:rsidRPr="00EC02CA">
        <w:t xml:space="preserve"> In another study in 2021, Carpentier and Proulx stated that</w:t>
      </w:r>
      <w:r w:rsidR="00625B07" w:rsidRPr="00EC02CA">
        <w:t>, in Canada,</w:t>
      </w:r>
      <w:r w:rsidRPr="00EC02CA">
        <w:t xml:space="preserve"> young people were responsible for approximately 21% of all sexual crimes, and more than 70% of all sexual crimes against minors</w:t>
      </w:r>
      <w:r w:rsidRPr="00EC02CA">
        <w:fldChar w:fldCharType="begin"/>
      </w:r>
      <w:r w:rsidRPr="00EC02CA">
        <w:instrText xml:space="preserve"> ADDIN EN.CITE &lt;EndNote&gt;&lt;Cite&gt;&lt;Author&gt;Carpentier&lt;/Author&gt;&lt;Year&gt;2021&lt;/Year&gt;&lt;RecNum&gt;31639&lt;/RecNum&gt;&lt;record&gt;&lt;rec-number&gt;31639&lt;/rec-number&gt;&lt;foreign-keys&gt;&lt;key app="EN" db-id="92twpawtxsdzaae5zwevdsw799fderxv2d52" timestamp="1692930593"&gt;31639&lt;/key&gt;&lt;/foreign-keys&gt;&lt;ref-type name="Journal Article"&gt;17&lt;/ref-type&gt;&lt;contributors&gt;&lt;authors&gt;&lt;author&gt;Carpentier, Julie&lt;/author&gt;&lt;author&gt;Proulx, Jean&lt;/author&gt;&lt;/authors&gt;&lt;/contributors&gt;&lt;titles&gt;&lt;title&gt;Recidvism rates of treated, non-treated and dropout adolescent who have sexually offended: A non-randomized study&lt;/title&gt;&lt;secondary-title&gt;Frontiers in Psychology&lt;/secondary-title&gt;&lt;/titles&gt;&lt;periodical&gt;&lt;full-title&gt;Frontiers in Psychology&lt;/full-title&gt;&lt;/periodical&gt;&lt;pages&gt;1-13&lt;/pages&gt;&lt;volume&gt;12&lt;/volume&gt;&lt;dates&gt;&lt;year&gt;2021&lt;/year&gt;&lt;/dates&gt;&lt;urls&gt;&lt;/urls&gt;&lt;electronic-resource-num&gt;10.3389/fpsyg.2021.757242&lt;/electronic-resource-num&gt;&lt;/record&gt;&lt;/Cite&gt;&lt;/EndNote&gt;</w:instrText>
      </w:r>
      <w:r w:rsidRPr="00EC02CA">
        <w:fldChar w:fldCharType="separate"/>
      </w:r>
      <w:r w:rsidRPr="00EC02CA">
        <w:fldChar w:fldCharType="end"/>
      </w:r>
      <w:r w:rsidRPr="00EC02CA">
        <w:t>.</w:t>
      </w:r>
      <w:r w:rsidRPr="00EC02CA">
        <w:rPr>
          <w:rStyle w:val="FootnoteReference"/>
          <w:sz w:val="24"/>
          <w:szCs w:val="24"/>
        </w:rPr>
        <w:footnoteReference w:id="98"/>
      </w:r>
      <w:r w:rsidRPr="00EC02CA">
        <w:t xml:space="preserve"> In 2021, Siria and colleagues reported that youth offenders represented between 14</w:t>
      </w:r>
      <w:r w:rsidR="0091359B" w:rsidRPr="00EC02CA">
        <w:t xml:space="preserve"> and </w:t>
      </w:r>
      <w:r w:rsidRPr="00EC02CA">
        <w:t>18% of sexual offenders across North America, between 5</w:t>
      </w:r>
      <w:r w:rsidR="0091359B" w:rsidRPr="00EC02CA">
        <w:t xml:space="preserve"> and </w:t>
      </w:r>
      <w:r w:rsidRPr="00EC02CA">
        <w:t>24% across Europe, and approximately 8% in Spain</w:t>
      </w:r>
      <w:r w:rsidRPr="00EC02CA">
        <w:fldChar w:fldCharType="begin"/>
      </w:r>
      <w:r w:rsidRPr="00EC02CA">
        <w:instrText xml:space="preserve"> ADDIN EN.CITE &lt;EndNote&gt;&lt;Cite&gt;&lt;Author&gt;Siria&lt;/Author&gt;&lt;Year&gt;2021&lt;/Year&gt;&lt;RecNum&gt;31350&lt;/RecNum&gt;&lt;record&gt;&lt;rec-number&gt;31350&lt;/rec-number&gt;&lt;foreign-keys&gt;&lt;key app="EN" db-id="92twpawtxsdzaae5zwevdsw799fderxv2d52" timestamp="1692248103" guid="89a19578-f6db-483b-a14a-0d871f7458a6"&gt;31350&lt;/key&gt;&lt;/foreign-keys&gt;&lt;ref-type name="Journal Article"&gt;17&lt;/ref-type&gt;&lt;contributors&gt;&lt;authors&gt;&lt;author&gt;Siria, Sandra&lt;/author&gt;&lt;author&gt;Echeburúa, Enrique&lt;/author&gt;&lt;author&gt;Amor, Pedro J&lt;/author&gt;&lt;/authors&gt;&lt;/contributors&gt;&lt;titles&gt;&lt;title&gt;Adolescents adjudicated for sexual offending: A comparison between sex-only and sex-plus&lt;/title&gt;&lt;secondary-title&gt;Sexuality Research and Social Policy&lt;/secondary-title&gt;&lt;/titles&gt;&lt;periodical&gt;&lt;full-title&gt;Sexuality Research and Social Policy&lt;/full-title&gt;&lt;/periodical&gt;&lt;pages&gt;981-991&lt;/pages&gt;&lt;volume&gt;18&lt;/volume&gt;&lt;dates&gt;&lt;year&gt;2021&lt;/year&gt;&lt;/dates&gt;&lt;urls&gt;&lt;/urls&gt;&lt;electronic-resource-num&gt;10.1007/s13178-021-00604-8&lt;/electronic-resource-num&gt;&lt;/record&gt;&lt;/Cite&gt;&lt;/EndNote&gt;</w:instrText>
      </w:r>
      <w:r w:rsidRPr="00EC02CA">
        <w:fldChar w:fldCharType="separate"/>
      </w:r>
      <w:r w:rsidRPr="00EC02CA">
        <w:fldChar w:fldCharType="end"/>
      </w:r>
      <w:r w:rsidRPr="00EC02CA">
        <w:t>.</w:t>
      </w:r>
      <w:bookmarkStart w:id="98" w:name="_Ref217930211"/>
      <w:r w:rsidRPr="00EC02CA">
        <w:rPr>
          <w:rStyle w:val="FootnoteReference"/>
          <w:sz w:val="24"/>
          <w:szCs w:val="24"/>
        </w:rPr>
        <w:footnoteReference w:id="99"/>
      </w:r>
      <w:bookmarkEnd w:id="98"/>
      <w:r w:rsidRPr="00EC02CA">
        <w:t xml:space="preserve"> </w:t>
      </w:r>
    </w:p>
    <w:p w14:paraId="09A79D3A" w14:textId="5E4DA52B" w:rsidR="00695636" w:rsidRPr="00EC02CA" w:rsidRDefault="00695636" w:rsidP="002F0007">
      <w:pPr>
        <w:pStyle w:val="NormalNumberedTextTLRI"/>
      </w:pPr>
      <w:r w:rsidRPr="00EC02CA">
        <w:rPr>
          <w:b/>
          <w:bCs/>
        </w:rPr>
        <w:t>Online offending.</w:t>
      </w:r>
      <w:r w:rsidRPr="00EC02CA">
        <w:rPr>
          <w:i/>
          <w:iCs/>
        </w:rPr>
        <w:t xml:space="preserve"> </w:t>
      </w:r>
      <w:r w:rsidRPr="00EC02CA">
        <w:t xml:space="preserve">In 2023, </w:t>
      </w:r>
      <w:r w:rsidR="006D5838" w:rsidRPr="00EC02CA">
        <w:t xml:space="preserve">in </w:t>
      </w:r>
      <w:r w:rsidRPr="00EC02CA">
        <w:t xml:space="preserve">a meta-analysis of 32 studies, Sutton and Finkelhor estimated that 44% of sexual offending on the </w:t>
      </w:r>
      <w:r w:rsidR="000110B0" w:rsidRPr="00EC02CA">
        <w:t>i</w:t>
      </w:r>
      <w:r w:rsidRPr="00EC02CA">
        <w:t xml:space="preserve">nternet was committed by people who were </w:t>
      </w:r>
      <w:r w:rsidR="006A27C6" w:rsidRPr="00EC02CA">
        <w:t xml:space="preserve">aged </w:t>
      </w:r>
      <w:r w:rsidRPr="00EC02CA">
        <w:t>under 18, with the majority of offenders identified in self-report surveys, rather than police samples</w:t>
      </w:r>
      <w:r w:rsidRPr="00EC02CA">
        <w:fldChar w:fldCharType="begin"/>
      </w:r>
      <w:r w:rsidRPr="00EC02CA">
        <w:instrText xml:space="preserve"> ADDIN EN.CITE &lt;EndNote&gt;&lt;Cite&gt;&lt;Author&gt;Sutton&lt;/Author&gt;&lt;Year&gt;2023&lt;/Year&gt;&lt;RecNum&gt;31654&lt;/RecNum&gt;&lt;record&gt;&lt;rec-number&gt;31654&lt;/rec-number&gt;&lt;foreign-keys&gt;&lt;key app="EN" db-id="92twpawtxsdzaae5zwevdsw799fderxv2d52" timestamp="1693543650"&gt;31654&lt;/key&gt;&lt;/foreign-keys&gt;&lt;ref-type name="Journal Article"&gt;17&lt;/ref-type&gt;&lt;contributors&gt;&lt;authors&gt;&lt;author&gt;Sutton, Samantha&lt;/author&gt;&lt;author&gt;Finkelhor, David&lt;/author&gt;&lt;/authors&gt;&lt;/contributors&gt;&lt;titles&gt;&lt;title&gt;Perpetrators&amp;apos; identity in online crimes against children: A meta-analysis&lt;/title&gt;&lt;secondary-title&gt;Trauma, Violence &amp;amp; Abuse&lt;/secondary-title&gt;&lt;/titles&gt;&lt;periodical&gt;&lt;full-title&gt;Trauma, Violence &amp;amp; Abuse&lt;/full-title&gt;&lt;/periodical&gt;&lt;pages&gt;1-13&lt;/pages&gt;&lt;volume&gt;0&lt;/volume&gt;&lt;number&gt;0&lt;/number&gt;&lt;dates&gt;&lt;year&gt;2023&lt;/year&gt;&lt;/dates&gt;&lt;urls&gt;&lt;/urls&gt;&lt;electronic-resource-num&gt;10.1177/15248380231194072&lt;/electronic-resource-num&gt;&lt;/record&gt;&lt;/Cite&gt;&lt;/EndNote&gt;</w:instrText>
      </w:r>
      <w:r w:rsidRPr="00EC02CA">
        <w:fldChar w:fldCharType="separate"/>
      </w:r>
      <w:r w:rsidRPr="00EC02CA">
        <w:fldChar w:fldCharType="end"/>
      </w:r>
      <w:r w:rsidRPr="00EC02CA">
        <w:t>.</w:t>
      </w:r>
      <w:r w:rsidRPr="00EC02CA">
        <w:rPr>
          <w:rStyle w:val="FootnoteReference"/>
          <w:sz w:val="24"/>
        </w:rPr>
        <w:footnoteReference w:id="100"/>
      </w:r>
      <w:r w:rsidRPr="00EC02CA">
        <w:t xml:space="preserve"> Most of the offences captured in the included studies were general online sexual offending, though some specific offences were highlighted, including grooming, solicitation</w:t>
      </w:r>
      <w:r w:rsidR="00394876" w:rsidRPr="00EC02CA">
        <w:t>,</w:t>
      </w:r>
      <w:r w:rsidRPr="00EC02CA">
        <w:t xml:space="preserve"> and image-based abuse, with most victims known to the offender. Sutton and Finkelhor suggested that police and others may be underestimating the significance of online sexual offending by young people.</w:t>
      </w:r>
    </w:p>
    <w:p w14:paraId="7E4760F4" w14:textId="63C63C15" w:rsidR="00695636" w:rsidRPr="00EC02CA" w:rsidRDefault="00695636" w:rsidP="002F0007">
      <w:pPr>
        <w:pStyle w:val="NormalNumberedTextTLRI"/>
      </w:pPr>
      <w:r w:rsidRPr="00EC02CA">
        <w:t>In a 2024 study, Turner and others, described the incident characteristics of six specific forms of ‘imaged-based sexual exploitation and abuse of children’ (IBSEAC) through the use of a victim survey.</w:t>
      </w:r>
      <w:r w:rsidRPr="00EC02CA">
        <w:rPr>
          <w:rStyle w:val="FootnoteReference"/>
        </w:rPr>
        <w:footnoteReference w:id="101"/>
      </w:r>
      <w:r w:rsidRPr="00EC02CA">
        <w:t xml:space="preserve"> The results underscored the ‘substantial diversity of contexts and characteristics of  IBSEAC’.</w:t>
      </w:r>
      <w:r w:rsidRPr="00EC02CA">
        <w:rPr>
          <w:rStyle w:val="FootnoteReference"/>
        </w:rPr>
        <w:footnoteReference w:id="102"/>
      </w:r>
      <w:r w:rsidRPr="00EC02CA">
        <w:t xml:space="preserve"> However, several elements were highlighted</w:t>
      </w:r>
      <w:r w:rsidR="00394876" w:rsidRPr="00EC02CA">
        <w:t>,</w:t>
      </w:r>
      <w:r w:rsidRPr="00EC02CA">
        <w:t xml:space="preserve"> including offending by young people against their peers – contradicting ‘emphasis in the media on adults and online strangers as the most prototypical risk category’.</w:t>
      </w:r>
      <w:r w:rsidRPr="00EC02CA">
        <w:rPr>
          <w:rStyle w:val="FootnoteReference"/>
        </w:rPr>
        <w:footnoteReference w:id="103"/>
      </w:r>
      <w:r w:rsidRPr="00EC02CA">
        <w:t xml:space="preserve"> Relevant findings were that:</w:t>
      </w:r>
    </w:p>
    <w:p w14:paraId="135F7B43" w14:textId="388D5D2C" w:rsidR="00695636" w:rsidRPr="00EC02CA" w:rsidRDefault="00695636" w:rsidP="00695636">
      <w:pPr>
        <w:pStyle w:val="DotPointTLRI"/>
      </w:pPr>
      <w:r w:rsidRPr="00EC02CA">
        <w:t xml:space="preserve">The most common scenario of </w:t>
      </w:r>
      <w:r w:rsidRPr="00EC02CA">
        <w:rPr>
          <w:i/>
          <w:iCs/>
        </w:rPr>
        <w:t>non-consensual sharing</w:t>
      </w:r>
      <w:r w:rsidRPr="00EC02CA">
        <w:t xml:space="preserve"> was by young people who were also an intimate partners with the </w:t>
      </w:r>
      <w:r w:rsidR="00886B70" w:rsidRPr="00EC02CA">
        <w:t>victim-survivor</w:t>
      </w:r>
      <w:r w:rsidRPr="00EC02CA">
        <w:t xml:space="preserve">. </w:t>
      </w:r>
      <w:r w:rsidR="00394876" w:rsidRPr="00EC02CA">
        <w:t xml:space="preserve">The study found </w:t>
      </w:r>
      <w:r w:rsidRPr="00EC02CA">
        <w:t>71.07% of victims of non-consensual sharing knew the person who shared the images</w:t>
      </w:r>
      <w:r w:rsidR="00394876" w:rsidRPr="00EC02CA">
        <w:t>,</w:t>
      </w:r>
      <w:r w:rsidRPr="00EC02CA">
        <w:t xml:space="preserve"> and in 57.96% of cases, that person was a boyfriend or girlfriend. Approximately 73% of known offenders were male</w:t>
      </w:r>
      <w:r w:rsidR="00394876" w:rsidRPr="00EC02CA">
        <w:t>,</w:t>
      </w:r>
      <w:r w:rsidRPr="00EC02CA">
        <w:t xml:space="preserve"> and over 66% were other juveniles.</w:t>
      </w:r>
    </w:p>
    <w:p w14:paraId="51086E50" w14:textId="46FBED30" w:rsidR="00695636" w:rsidRPr="00EC02CA" w:rsidRDefault="00695636" w:rsidP="00695636">
      <w:pPr>
        <w:pStyle w:val="DotPointTLRI"/>
      </w:pPr>
      <w:r w:rsidRPr="00EC02CA">
        <w:rPr>
          <w:i/>
          <w:iCs/>
        </w:rPr>
        <w:t>Non-consensual image taking</w:t>
      </w:r>
      <w:r w:rsidRPr="00EC02CA">
        <w:t xml:space="preserve"> was less common. Known offenders (86.53%) were usually intimate partners (46.37%), male (90.53%) and aged under 18 in approximately 47% of cases.</w:t>
      </w:r>
    </w:p>
    <w:p w14:paraId="4B7CDD03" w14:textId="747D47DD" w:rsidR="00695636" w:rsidRPr="00EC02CA" w:rsidRDefault="00695636" w:rsidP="00695636">
      <w:pPr>
        <w:pStyle w:val="DotPointTLRI"/>
      </w:pPr>
      <w:r w:rsidRPr="00EC02CA">
        <w:rPr>
          <w:i/>
          <w:iCs/>
        </w:rPr>
        <w:t>Forced image recruitment</w:t>
      </w:r>
      <w:r w:rsidRPr="00EC02CA">
        <w:t xml:space="preserve"> describes where someone threatened, pressured or forced the respondent to provide a picture or video. In cases where the person </w:t>
      </w:r>
      <w:r w:rsidR="00491C85" w:rsidRPr="00EC02CA">
        <w:t>forcibly</w:t>
      </w:r>
      <w:r w:rsidR="00394876" w:rsidRPr="00EC02CA">
        <w:t xml:space="preserve"> recruiting the image </w:t>
      </w:r>
      <w:r w:rsidRPr="00EC02CA">
        <w:t>was known (57.94%), most were male (97.87%)</w:t>
      </w:r>
      <w:r w:rsidR="00394876" w:rsidRPr="00EC02CA">
        <w:t>,</w:t>
      </w:r>
      <w:r w:rsidRPr="00EC02CA">
        <w:t xml:space="preserve"> </w:t>
      </w:r>
      <w:r w:rsidR="00394876" w:rsidRPr="00EC02CA">
        <w:t xml:space="preserve">and </w:t>
      </w:r>
      <w:r w:rsidRPr="00EC02CA">
        <w:t>age</w:t>
      </w:r>
      <w:r w:rsidR="00394876" w:rsidRPr="00EC02CA">
        <w:t>d</w:t>
      </w:r>
      <w:r w:rsidRPr="00EC02CA">
        <w:t xml:space="preserve"> 14</w:t>
      </w:r>
      <w:r w:rsidR="00394876" w:rsidRPr="00EC02CA">
        <w:t>–</w:t>
      </w:r>
      <w:r w:rsidRPr="00EC02CA">
        <w:t>17 (64.82%).</w:t>
      </w:r>
    </w:p>
    <w:p w14:paraId="10378FCA" w14:textId="053ACEBE" w:rsidR="00695636" w:rsidRPr="00EC02CA" w:rsidRDefault="00695636" w:rsidP="00695636">
      <w:pPr>
        <w:pStyle w:val="DotPointTLRI"/>
      </w:pPr>
      <w:r w:rsidRPr="00EC02CA">
        <w:rPr>
          <w:i/>
          <w:iCs/>
        </w:rPr>
        <w:t>Threatened sharing or sextortion</w:t>
      </w:r>
      <w:r w:rsidRPr="00EC02CA">
        <w:t xml:space="preserve"> incidents had a larger proportion of adult</w:t>
      </w:r>
      <w:r w:rsidR="00394876" w:rsidRPr="00EC02CA">
        <w:t xml:space="preserve"> offender</w:t>
      </w:r>
      <w:r w:rsidRPr="00EC02CA">
        <w:t>s than other types, but most offenders were also intimate partners. For threatened image</w:t>
      </w:r>
      <w:r w:rsidR="00933D08" w:rsidRPr="00EC02CA">
        <w:t>-</w:t>
      </w:r>
      <w:r w:rsidRPr="00EC02CA">
        <w:t xml:space="preserve">sharing where the offender was known (66.77%), 53.4% were an intimate partner, 75.28% male, </w:t>
      </w:r>
      <w:r w:rsidR="00394876" w:rsidRPr="00EC02CA">
        <w:t xml:space="preserve">and </w:t>
      </w:r>
      <w:r w:rsidRPr="00EC02CA">
        <w:t>over 53% other youths.</w:t>
      </w:r>
      <w:r w:rsidRPr="00EC02CA">
        <w:rPr>
          <w:rStyle w:val="FootnoteReference"/>
        </w:rPr>
        <w:footnoteReference w:id="104"/>
      </w:r>
    </w:p>
    <w:p w14:paraId="4B2E0FB5" w14:textId="4C8E3DCB" w:rsidR="00695636" w:rsidRPr="00EC02CA" w:rsidRDefault="00695636" w:rsidP="002F0007">
      <w:pPr>
        <w:pStyle w:val="NormalNumberedTextTLRI"/>
      </w:pPr>
      <w:r w:rsidRPr="00EC02CA">
        <w:t xml:space="preserve">Other research has found that </w:t>
      </w:r>
      <w:r w:rsidR="00394876" w:rsidRPr="00EC02CA">
        <w:t>one</w:t>
      </w:r>
      <w:r w:rsidRPr="00EC02CA">
        <w:t xml:space="preserve"> in </w:t>
      </w:r>
      <w:r w:rsidR="00394876" w:rsidRPr="00EC02CA">
        <w:t>seven</w:t>
      </w:r>
      <w:r w:rsidRPr="00EC02CA">
        <w:t xml:space="preserve"> (13%) of young people report sharing a nude image or a video of themselves with someone else.</w:t>
      </w:r>
      <w:r w:rsidRPr="00EC02CA">
        <w:rPr>
          <w:rStyle w:val="FootnoteReference"/>
        </w:rPr>
        <w:footnoteReference w:id="105"/>
      </w:r>
      <w:r w:rsidRPr="00EC02CA">
        <w:t xml:space="preserve"> The sharing of intimate images is viewed as normal by 25% of young people.</w:t>
      </w:r>
      <w:r w:rsidRPr="00EC02CA">
        <w:rPr>
          <w:rStyle w:val="FootnoteReference"/>
        </w:rPr>
        <w:footnoteReference w:id="106"/>
      </w:r>
    </w:p>
    <w:p w14:paraId="411D689F" w14:textId="390440AB" w:rsidR="00695636" w:rsidRPr="00EC02CA" w:rsidRDefault="00695636" w:rsidP="00A920EC">
      <w:pPr>
        <w:pStyle w:val="TLRISubheading"/>
      </w:pPr>
      <w:bookmarkStart w:id="99" w:name="_Toc211849364"/>
      <w:bookmarkStart w:id="100" w:name="_Toc218157260"/>
      <w:r w:rsidRPr="00EC02CA">
        <w:t>Australian research</w:t>
      </w:r>
      <w:bookmarkEnd w:id="99"/>
      <w:bookmarkEnd w:id="100"/>
    </w:p>
    <w:p w14:paraId="20437BBF" w14:textId="77777777" w:rsidR="00695636" w:rsidRPr="00EC02CA" w:rsidRDefault="00695636" w:rsidP="00ED2E47">
      <w:pPr>
        <w:pStyle w:val="Sub-HeadingTLRI"/>
      </w:pPr>
      <w:bookmarkStart w:id="101" w:name="_Toc211849365"/>
      <w:bookmarkStart w:id="102" w:name="_Toc218157261"/>
      <w:r w:rsidRPr="00EC02CA">
        <w:t>Physical offending</w:t>
      </w:r>
      <w:bookmarkEnd w:id="101"/>
      <w:bookmarkEnd w:id="102"/>
    </w:p>
    <w:p w14:paraId="57EF1C03" w14:textId="0C4462EC" w:rsidR="00695636" w:rsidRPr="00EC02CA" w:rsidRDefault="00695636" w:rsidP="002F0007">
      <w:pPr>
        <w:pStyle w:val="NormalNumberedTextTLRI"/>
      </w:pPr>
      <w:r w:rsidRPr="00EC02CA">
        <w:t>The</w:t>
      </w:r>
      <w:r w:rsidRPr="00EC02CA">
        <w:rPr>
          <w:b/>
          <w:bCs/>
        </w:rPr>
        <w:t xml:space="preserve"> </w:t>
      </w:r>
      <w:r w:rsidRPr="00EC02CA">
        <w:t>Australian Child Maltreatment Study (ACMS) provides empirical data about the prevalence of child sexual abuse within the general population by conducting a survey with self-identified victims-survivors (N=8,503).</w:t>
      </w:r>
      <w:r w:rsidRPr="00EC02CA">
        <w:rPr>
          <w:rStyle w:val="FootnoteReference"/>
        </w:rPr>
        <w:footnoteReference w:id="107"/>
      </w:r>
      <w:r w:rsidRPr="00EC02CA">
        <w:t xml:space="preserve"> The ACMS’ large and nationally representative sample provides insight into the extent of harmful sexual behaviour (physical or online) experienced by young people that is committed by other young people.</w:t>
      </w:r>
    </w:p>
    <w:p w14:paraId="0B127FD3" w14:textId="61E98284" w:rsidR="00695636" w:rsidRPr="00EC02CA" w:rsidRDefault="00695636" w:rsidP="002F0007">
      <w:pPr>
        <w:pStyle w:val="NormalNumberedTextTLRI"/>
      </w:pPr>
      <w:r w:rsidRPr="00EC02CA">
        <w:t>The ACMS reports on the prevalence of five types of child abuse and neglect, including child sexual abuse (CSA).</w:t>
      </w:r>
      <w:r w:rsidRPr="00EC02CA">
        <w:rPr>
          <w:rStyle w:val="FootnoteReference"/>
        </w:rPr>
        <w:footnoteReference w:id="108"/>
      </w:r>
      <w:r w:rsidRPr="00EC02CA">
        <w:t xml:space="preserve"> For the purposes of the ACMS, sexual abuse was defined to include:</w:t>
      </w:r>
    </w:p>
    <w:p w14:paraId="5FBE883C" w14:textId="071419BE" w:rsidR="00695636" w:rsidRPr="00EC02CA" w:rsidRDefault="00695636" w:rsidP="00695636">
      <w:pPr>
        <w:pStyle w:val="Indentedquote"/>
      </w:pPr>
      <w:r w:rsidRPr="00EC02CA">
        <w:t xml:space="preserve">Any sexual act inflicted on a child by any adult or other person, including contact and non-contact acts, for the purposes of sexual gratification, where true consent by the child is not present. True consent will not </w:t>
      </w:r>
      <w:r w:rsidR="00B60954" w:rsidRPr="00EC02CA">
        <w:t xml:space="preserve">be </w:t>
      </w:r>
      <w:r w:rsidRPr="00EC02CA">
        <w:t>present where the child either lacks capacity to give consent, or has capacity but does not give full, free, and voluntary consent. Operationally, acts of sexual abuse include forced intercourse; attempted forced intercourse; other acts of contact sexual abuse (eg touching, fondling); and non-contact sexual acts (eg voyeurism, exhibitionism).</w:t>
      </w:r>
      <w:r w:rsidRPr="00EC02CA">
        <w:rPr>
          <w:rStyle w:val="FootnoteReference"/>
        </w:rPr>
        <w:footnoteReference w:id="109"/>
      </w:r>
    </w:p>
    <w:p w14:paraId="2B7D43AF" w14:textId="169D7825" w:rsidR="00695636" w:rsidRPr="00EC02CA" w:rsidRDefault="00695636" w:rsidP="002F0007">
      <w:pPr>
        <w:pStyle w:val="NormalNumberedTextTLRI"/>
      </w:pPr>
      <w:r w:rsidRPr="00EC02CA">
        <w:t xml:space="preserve">A key finding of the ACMS </w:t>
      </w:r>
      <w:r w:rsidR="008E0A7F" w:rsidRPr="00EC02CA">
        <w:t>i</w:t>
      </w:r>
      <w:r w:rsidRPr="00EC02CA">
        <w:t>s that ‘in contemporary Australian society, [child sexual assault] by known adolescents in non-romantic relationships is by far the single most common category of offending’.</w:t>
      </w:r>
      <w:r w:rsidRPr="00EC02CA">
        <w:rPr>
          <w:rStyle w:val="FootnoteReference"/>
        </w:rPr>
        <w:footnoteReference w:id="110"/>
      </w:r>
      <w:r w:rsidRPr="00EC02CA">
        <w:t xml:space="preserve"> Other significant findings of the ACMS in relation to the prevalence of CSA (and CSA by other young people) </w:t>
      </w:r>
      <w:r w:rsidR="008E0A7F" w:rsidRPr="00EC02CA">
        <w:t>a</w:t>
      </w:r>
      <w:r w:rsidRPr="00EC02CA">
        <w:t>re:</w:t>
      </w:r>
    </w:p>
    <w:p w14:paraId="7F9A5AE6" w14:textId="586B21B4" w:rsidR="00695636" w:rsidRPr="00EC02CA" w:rsidRDefault="00695636" w:rsidP="00695636">
      <w:pPr>
        <w:pStyle w:val="DotPointTLRI"/>
      </w:pPr>
      <w:r w:rsidRPr="00EC02CA">
        <w:t xml:space="preserve">An estimated 28.5% of Australians had experienced CSA at least once. Overall, the national prevalence of CSA committed by any adult was 18.5% and </w:t>
      </w:r>
      <w:r w:rsidR="008E0A7F" w:rsidRPr="00EC02CA">
        <w:t xml:space="preserve">by </w:t>
      </w:r>
      <w:r w:rsidRPr="00EC02CA">
        <w:t>any adolescent was 13.7%.</w:t>
      </w:r>
    </w:p>
    <w:p w14:paraId="72AE19BE" w14:textId="17D39E1E" w:rsidR="00695636" w:rsidRPr="00EC02CA" w:rsidRDefault="00695636" w:rsidP="004872F1">
      <w:pPr>
        <w:pStyle w:val="DotPointTLRI"/>
      </w:pPr>
      <w:r w:rsidRPr="00EC02CA">
        <w:t>Among participants aged 16</w:t>
      </w:r>
      <w:r w:rsidR="008E0A7F" w:rsidRPr="00EC02CA">
        <w:t>–</w:t>
      </w:r>
      <w:r w:rsidRPr="00EC02CA">
        <w:t>24, offending by adolescents was more common (18.2%) than offending by adult</w:t>
      </w:r>
      <w:r w:rsidR="008E0A7F" w:rsidRPr="00EC02CA">
        <w:t>s</w:t>
      </w:r>
      <w:r w:rsidRPr="00EC02CA">
        <w:t xml:space="preserve"> (11.7%). </w:t>
      </w:r>
    </w:p>
    <w:p w14:paraId="2C7457B0" w14:textId="09BD85CC" w:rsidR="00695636" w:rsidRPr="00EC02CA" w:rsidRDefault="00695636" w:rsidP="00695636">
      <w:pPr>
        <w:pStyle w:val="DotPointTLRI"/>
      </w:pPr>
      <w:r w:rsidRPr="00EC02CA">
        <w:t>CSA by adolescents (current or former romantic partners) was twice as likely to be reported by female</w:t>
      </w:r>
      <w:r w:rsidR="008E0A7F" w:rsidRPr="00EC02CA">
        <w:t>s aged</w:t>
      </w:r>
      <w:r w:rsidRPr="00EC02CA">
        <w:t xml:space="preserve"> </w:t>
      </w:r>
      <w:r w:rsidR="00115662" w:rsidRPr="00EC02CA">
        <w:t>16–24</w:t>
      </w:r>
      <w:r w:rsidRPr="00EC02CA">
        <w:t xml:space="preserve"> (9%) than females aged 25</w:t>
      </w:r>
      <w:r w:rsidR="008E0A7F" w:rsidRPr="00EC02CA">
        <w:t>–</w:t>
      </w:r>
      <w:r w:rsidRPr="00EC02CA">
        <w:t xml:space="preserve">44 (4.3%).  </w:t>
      </w:r>
    </w:p>
    <w:p w14:paraId="0654CB31" w14:textId="718BB82E" w:rsidR="00695636" w:rsidRPr="00EC02CA" w:rsidRDefault="00695636" w:rsidP="00695636">
      <w:pPr>
        <w:pStyle w:val="DotPointTLRI"/>
      </w:pPr>
      <w:r w:rsidRPr="00EC02CA">
        <w:t xml:space="preserve">Girls </w:t>
      </w:r>
      <w:r w:rsidR="008E0A7F" w:rsidRPr="00EC02CA">
        <w:t xml:space="preserve">were </w:t>
      </w:r>
      <w:r w:rsidRPr="00EC02CA">
        <w:t xml:space="preserve">more likely than boys to experience CSA by all classes of </w:t>
      </w:r>
      <w:r w:rsidR="00F47D2B" w:rsidRPr="00EC02CA">
        <w:t>offenders</w:t>
      </w:r>
      <w:r w:rsidRPr="00EC02CA">
        <w:t xml:space="preserve"> except institutional caregivers. </w:t>
      </w:r>
    </w:p>
    <w:p w14:paraId="7E03B884" w14:textId="77777777" w:rsidR="00695636" w:rsidRPr="00EC02CA" w:rsidRDefault="00695636" w:rsidP="002F0007">
      <w:pPr>
        <w:pStyle w:val="NormalNumberedTextTLRI"/>
      </w:pPr>
      <w:r w:rsidRPr="00EC02CA">
        <w:t xml:space="preserve">In summary, the findings of the ACMS showed that: </w:t>
      </w:r>
    </w:p>
    <w:p w14:paraId="6FCA961D" w14:textId="02348E2A" w:rsidR="00695636" w:rsidRPr="00EC02CA" w:rsidRDefault="008E0A7F" w:rsidP="00695636">
      <w:pPr>
        <w:pStyle w:val="Indentedquote"/>
      </w:pPr>
      <w:r w:rsidRPr="00EC02CA">
        <w:t>[A]</w:t>
      </w:r>
      <w:r w:rsidR="00695636" w:rsidRPr="00EC02CA">
        <w:t xml:space="preserve"> substantial proportion of all CSA is inflicted by other adolescents. As two prominent examples, the findings for 16</w:t>
      </w:r>
      <w:r w:rsidRPr="00EC02CA">
        <w:t>–</w:t>
      </w:r>
      <w:r w:rsidR="00695636" w:rsidRPr="00EC02CA">
        <w:t>24 year olds reveal</w:t>
      </w:r>
      <w:r w:rsidR="00F07160" w:rsidRPr="00EC02CA">
        <w:t>ed</w:t>
      </w:r>
      <w:r w:rsidR="00695636" w:rsidRPr="00EC02CA">
        <w:t xml:space="preserve"> over one in eight (13.2%) reported experienc</w:t>
      </w:r>
      <w:r w:rsidRPr="00EC02CA">
        <w:t>ing</w:t>
      </w:r>
      <w:r w:rsidR="00695636" w:rsidRPr="00EC02CA">
        <w:t xml:space="preserve"> CSA by an adolescent with whom they were not and had never been in romantic relationship, and over one in 20 (5.7%) reported experiencing CSA by an adolescent with whom they were in a romantic relationship or had been.</w:t>
      </w:r>
      <w:r w:rsidR="00695636" w:rsidRPr="00EC02CA">
        <w:rPr>
          <w:rStyle w:val="FootnoteReference"/>
        </w:rPr>
        <w:footnoteReference w:id="111"/>
      </w:r>
      <w:r w:rsidR="00695636" w:rsidRPr="00EC02CA">
        <w:t xml:space="preserve"> </w:t>
      </w:r>
    </w:p>
    <w:p w14:paraId="412946E1" w14:textId="39CDDAE6" w:rsidR="00695636" w:rsidRPr="00EC02CA" w:rsidRDefault="00695636" w:rsidP="002F0007">
      <w:pPr>
        <w:pStyle w:val="NormalNumberedTextTLRI"/>
      </w:pPr>
      <w:r w:rsidRPr="00EC02CA">
        <w:t>Recorded crime data</w:t>
      </w:r>
      <w:r w:rsidR="008E0A7F" w:rsidRPr="00EC02CA">
        <w:t>,</w:t>
      </w:r>
      <w:r w:rsidRPr="00EC02CA">
        <w:t xml:space="preserve"> based on matters reported to police</w:t>
      </w:r>
      <w:r w:rsidR="008E0A7F" w:rsidRPr="00EC02CA">
        <w:t>,</w:t>
      </w:r>
      <w:r w:rsidRPr="00EC02CA">
        <w:t xml:space="preserve"> provide another source of information about the prevalence of sexual offending by young people. The most recent data release from the Australian Bureau of Statistics (ABS), reported that there were 9,585 offenders proceeded against by police in Australia in 2023</w:t>
      </w:r>
      <w:r w:rsidR="00322367" w:rsidRPr="00EC02CA">
        <w:t>–</w:t>
      </w:r>
      <w:r w:rsidRPr="00EC02CA">
        <w:t xml:space="preserve">24 for a sexual offence, of which 1,431 of individuals were </w:t>
      </w:r>
      <w:r w:rsidR="00322367" w:rsidRPr="00EC02CA">
        <w:t xml:space="preserve">aged </w:t>
      </w:r>
      <w:r w:rsidRPr="00EC02CA">
        <w:t>under 18.</w:t>
      </w:r>
      <w:r w:rsidRPr="00EC02CA">
        <w:rPr>
          <w:rStyle w:val="FootnoteReference"/>
          <w:sz w:val="24"/>
        </w:rPr>
        <w:footnoteReference w:id="112"/>
      </w:r>
      <w:r w:rsidRPr="00EC02CA">
        <w:rPr>
          <w:i/>
          <w:iCs/>
        </w:rPr>
        <w:t xml:space="preserve"> </w:t>
      </w:r>
      <w:r w:rsidRPr="00EC02CA">
        <w:t>These figures</w:t>
      </w:r>
      <w:r w:rsidR="00C214C6" w:rsidRPr="00EC02CA">
        <w:t>,</w:t>
      </w:r>
      <w:r w:rsidRPr="00EC02CA">
        <w:t xml:space="preserve"> together with the rate per 100,000 people</w:t>
      </w:r>
      <w:r w:rsidR="00C214C6" w:rsidRPr="00EC02CA">
        <w:t>, are presented in Table 2.2 below</w:t>
      </w:r>
      <w:r w:rsidRPr="00EC02CA">
        <w:t xml:space="preserve">. </w:t>
      </w:r>
    </w:p>
    <w:p w14:paraId="6790EAF8" w14:textId="3B3A34D4" w:rsidR="00695636" w:rsidRPr="00EC02CA" w:rsidRDefault="00695636" w:rsidP="00695636">
      <w:r w:rsidRPr="00EC02CA">
        <w:rPr>
          <w:b/>
          <w:bCs/>
        </w:rPr>
        <w:t xml:space="preserve">Table </w:t>
      </w:r>
      <w:r w:rsidR="00084FE3" w:rsidRPr="00EC02CA">
        <w:rPr>
          <w:b/>
          <w:bCs/>
        </w:rPr>
        <w:t>2</w:t>
      </w:r>
      <w:r w:rsidRPr="00EC02CA">
        <w:rPr>
          <w:b/>
          <w:bCs/>
        </w:rPr>
        <w:t>.</w:t>
      </w:r>
      <w:r w:rsidR="00084FE3" w:rsidRPr="00EC02CA">
        <w:rPr>
          <w:b/>
          <w:bCs/>
        </w:rPr>
        <w:t>2</w:t>
      </w:r>
      <w:r w:rsidRPr="00EC02CA">
        <w:rPr>
          <w:b/>
          <w:bCs/>
        </w:rPr>
        <w:t xml:space="preserve"> </w:t>
      </w:r>
      <w:r w:rsidRPr="00EC02CA">
        <w:t>Number of offenders proceeded against by police for sexual assault and related offence</w:t>
      </w:r>
      <w:r w:rsidR="00183E45" w:rsidRPr="00EC02CA">
        <w:t>s</w:t>
      </w:r>
      <w:r w:rsidRPr="00EC02CA">
        <w:t xml:space="preserve"> (by principal offence) adult and youth offenders, Australia</w:t>
      </w:r>
      <w:r w:rsidR="00183E45" w:rsidRPr="00EC02CA">
        <w:t>,</w:t>
      </w:r>
      <w:r w:rsidRPr="00EC02CA">
        <w:t xml:space="preserve"> 2022</w:t>
      </w:r>
      <w:r w:rsidR="00C214C6" w:rsidRPr="00EC02CA">
        <w:t>–</w:t>
      </w:r>
      <w:r w:rsidRPr="00EC02CA">
        <w:t xml:space="preserve">23 </w:t>
      </w:r>
    </w:p>
    <w:tbl>
      <w:tblPr>
        <w:tblStyle w:val="TableGrid"/>
        <w:tblW w:w="0" w:type="auto"/>
        <w:tblLook w:val="04A0" w:firstRow="1" w:lastRow="0" w:firstColumn="1" w:lastColumn="0" w:noHBand="0" w:noVBand="1"/>
      </w:tblPr>
      <w:tblGrid>
        <w:gridCol w:w="1838"/>
        <w:gridCol w:w="1800"/>
        <w:gridCol w:w="1800"/>
        <w:gridCol w:w="1800"/>
      </w:tblGrid>
      <w:tr w:rsidR="00695636" w:rsidRPr="00EC02CA" w14:paraId="3F0761C0" w14:textId="77777777" w:rsidTr="00A920EC">
        <w:tc>
          <w:tcPr>
            <w:tcW w:w="1838" w:type="dxa"/>
          </w:tcPr>
          <w:p w14:paraId="3D932601" w14:textId="49C60129" w:rsidR="00695636" w:rsidRPr="00EC02CA" w:rsidRDefault="00C214C6" w:rsidP="00A920EC">
            <w:pPr>
              <w:spacing w:before="60" w:after="60"/>
              <w:rPr>
                <w:b/>
                <w:bCs/>
                <w:sz w:val="20"/>
                <w:szCs w:val="20"/>
              </w:rPr>
            </w:pPr>
            <w:r w:rsidRPr="00EC02CA">
              <w:rPr>
                <w:b/>
                <w:bCs/>
                <w:sz w:val="20"/>
                <w:szCs w:val="20"/>
              </w:rPr>
              <w:t>Offender type</w:t>
            </w:r>
          </w:p>
        </w:tc>
        <w:tc>
          <w:tcPr>
            <w:tcW w:w="1800" w:type="dxa"/>
          </w:tcPr>
          <w:p w14:paraId="5125BC25" w14:textId="77777777" w:rsidR="00695636" w:rsidRPr="00EC02CA" w:rsidRDefault="00695636" w:rsidP="00A920EC">
            <w:pPr>
              <w:spacing w:before="60" w:after="60"/>
              <w:jc w:val="center"/>
              <w:rPr>
                <w:b/>
                <w:bCs/>
                <w:sz w:val="20"/>
                <w:szCs w:val="20"/>
              </w:rPr>
            </w:pPr>
            <w:r w:rsidRPr="00EC02CA">
              <w:rPr>
                <w:b/>
                <w:bCs/>
                <w:sz w:val="20"/>
                <w:szCs w:val="20"/>
              </w:rPr>
              <w:t>Number</w:t>
            </w:r>
          </w:p>
        </w:tc>
        <w:tc>
          <w:tcPr>
            <w:tcW w:w="1800" w:type="dxa"/>
          </w:tcPr>
          <w:p w14:paraId="2FAFB1BB" w14:textId="430985A1" w:rsidR="00695636" w:rsidRPr="00EC02CA" w:rsidRDefault="00695636" w:rsidP="00A920EC">
            <w:pPr>
              <w:spacing w:before="60" w:after="60"/>
              <w:jc w:val="center"/>
              <w:rPr>
                <w:b/>
                <w:bCs/>
                <w:sz w:val="20"/>
                <w:szCs w:val="20"/>
              </w:rPr>
            </w:pPr>
            <w:r w:rsidRPr="00EC02CA">
              <w:rPr>
                <w:b/>
                <w:bCs/>
                <w:sz w:val="20"/>
                <w:szCs w:val="20"/>
              </w:rPr>
              <w:t>Proportion</w:t>
            </w:r>
          </w:p>
        </w:tc>
        <w:tc>
          <w:tcPr>
            <w:tcW w:w="1800" w:type="dxa"/>
          </w:tcPr>
          <w:p w14:paraId="0242280E" w14:textId="77777777" w:rsidR="00695636" w:rsidRPr="00EC02CA" w:rsidRDefault="00695636" w:rsidP="00A920EC">
            <w:pPr>
              <w:spacing w:before="60" w:after="60"/>
              <w:jc w:val="center"/>
              <w:rPr>
                <w:b/>
                <w:bCs/>
                <w:sz w:val="20"/>
                <w:szCs w:val="20"/>
              </w:rPr>
            </w:pPr>
            <w:r w:rsidRPr="00EC02CA">
              <w:rPr>
                <w:b/>
                <w:bCs/>
                <w:sz w:val="20"/>
                <w:szCs w:val="20"/>
              </w:rPr>
              <w:t>Rate per 100,000</w:t>
            </w:r>
          </w:p>
        </w:tc>
      </w:tr>
      <w:tr w:rsidR="00695636" w:rsidRPr="00EC02CA" w14:paraId="5DF40BF8" w14:textId="77777777" w:rsidTr="00A920EC">
        <w:tc>
          <w:tcPr>
            <w:tcW w:w="1838" w:type="dxa"/>
          </w:tcPr>
          <w:p w14:paraId="193DD33A" w14:textId="5F5846D4" w:rsidR="00695636" w:rsidRPr="00EC02CA" w:rsidRDefault="00695636" w:rsidP="00A920EC">
            <w:pPr>
              <w:spacing w:before="60" w:after="60"/>
              <w:rPr>
                <w:sz w:val="20"/>
                <w:szCs w:val="20"/>
              </w:rPr>
            </w:pPr>
            <w:r w:rsidRPr="00EC02CA">
              <w:rPr>
                <w:sz w:val="20"/>
                <w:szCs w:val="20"/>
              </w:rPr>
              <w:t>Adult</w:t>
            </w:r>
          </w:p>
        </w:tc>
        <w:tc>
          <w:tcPr>
            <w:tcW w:w="1800" w:type="dxa"/>
          </w:tcPr>
          <w:p w14:paraId="73DD25B1" w14:textId="77777777" w:rsidR="00695636" w:rsidRPr="00EC02CA" w:rsidRDefault="00695636" w:rsidP="00A920EC">
            <w:pPr>
              <w:spacing w:before="60" w:after="60"/>
              <w:jc w:val="right"/>
              <w:rPr>
                <w:sz w:val="20"/>
                <w:szCs w:val="20"/>
              </w:rPr>
            </w:pPr>
            <w:r w:rsidRPr="00EC02CA">
              <w:rPr>
                <w:sz w:val="20"/>
                <w:szCs w:val="20"/>
              </w:rPr>
              <w:t>8,151</w:t>
            </w:r>
          </w:p>
        </w:tc>
        <w:tc>
          <w:tcPr>
            <w:tcW w:w="1800" w:type="dxa"/>
          </w:tcPr>
          <w:p w14:paraId="05FBFE66" w14:textId="26956796" w:rsidR="00695636" w:rsidRPr="00EC02CA" w:rsidRDefault="00695636" w:rsidP="00A920EC">
            <w:pPr>
              <w:spacing w:before="60" w:after="60"/>
              <w:jc w:val="right"/>
              <w:rPr>
                <w:sz w:val="20"/>
                <w:szCs w:val="20"/>
              </w:rPr>
            </w:pPr>
            <w:r w:rsidRPr="00EC02CA">
              <w:rPr>
                <w:sz w:val="20"/>
                <w:szCs w:val="20"/>
              </w:rPr>
              <w:t>85</w:t>
            </w:r>
            <w:r w:rsidR="008E0A7F" w:rsidRPr="00EC02CA">
              <w:rPr>
                <w:sz w:val="20"/>
                <w:szCs w:val="20"/>
              </w:rPr>
              <w:t>%</w:t>
            </w:r>
          </w:p>
        </w:tc>
        <w:tc>
          <w:tcPr>
            <w:tcW w:w="1800" w:type="dxa"/>
          </w:tcPr>
          <w:p w14:paraId="2F5B55B7" w14:textId="77777777" w:rsidR="00695636" w:rsidRPr="00EC02CA" w:rsidRDefault="00695636" w:rsidP="00A920EC">
            <w:pPr>
              <w:spacing w:before="60" w:after="60"/>
              <w:jc w:val="right"/>
              <w:rPr>
                <w:sz w:val="20"/>
                <w:szCs w:val="20"/>
              </w:rPr>
            </w:pPr>
            <w:r w:rsidRPr="00EC02CA">
              <w:rPr>
                <w:sz w:val="20"/>
                <w:szCs w:val="20"/>
              </w:rPr>
              <w:t>38.5</w:t>
            </w:r>
          </w:p>
        </w:tc>
      </w:tr>
      <w:tr w:rsidR="00695636" w:rsidRPr="00EC02CA" w14:paraId="77332F37" w14:textId="77777777" w:rsidTr="00A920EC">
        <w:tc>
          <w:tcPr>
            <w:tcW w:w="1838" w:type="dxa"/>
          </w:tcPr>
          <w:p w14:paraId="767C15A9" w14:textId="58A22EF2" w:rsidR="00695636" w:rsidRPr="00EC02CA" w:rsidRDefault="00695636" w:rsidP="00A920EC">
            <w:pPr>
              <w:spacing w:before="60" w:after="60"/>
              <w:rPr>
                <w:sz w:val="20"/>
                <w:szCs w:val="20"/>
              </w:rPr>
            </w:pPr>
            <w:r w:rsidRPr="00EC02CA">
              <w:rPr>
                <w:sz w:val="20"/>
                <w:szCs w:val="20"/>
              </w:rPr>
              <w:t>Youth</w:t>
            </w:r>
          </w:p>
        </w:tc>
        <w:tc>
          <w:tcPr>
            <w:tcW w:w="1800" w:type="dxa"/>
          </w:tcPr>
          <w:p w14:paraId="1157FC2B" w14:textId="77777777" w:rsidR="00695636" w:rsidRPr="00EC02CA" w:rsidRDefault="00695636" w:rsidP="00A920EC">
            <w:pPr>
              <w:spacing w:before="60" w:after="60"/>
              <w:jc w:val="right"/>
              <w:rPr>
                <w:sz w:val="20"/>
                <w:szCs w:val="20"/>
              </w:rPr>
            </w:pPr>
            <w:r w:rsidRPr="00EC02CA">
              <w:rPr>
                <w:sz w:val="20"/>
                <w:szCs w:val="20"/>
              </w:rPr>
              <w:t>1,431</w:t>
            </w:r>
          </w:p>
        </w:tc>
        <w:tc>
          <w:tcPr>
            <w:tcW w:w="1800" w:type="dxa"/>
          </w:tcPr>
          <w:p w14:paraId="7771B630" w14:textId="444BC292" w:rsidR="00695636" w:rsidRPr="00EC02CA" w:rsidRDefault="00695636" w:rsidP="00A920EC">
            <w:pPr>
              <w:spacing w:before="60" w:after="60"/>
              <w:jc w:val="right"/>
              <w:rPr>
                <w:sz w:val="20"/>
                <w:szCs w:val="20"/>
              </w:rPr>
            </w:pPr>
            <w:r w:rsidRPr="00EC02CA">
              <w:rPr>
                <w:sz w:val="20"/>
                <w:szCs w:val="20"/>
              </w:rPr>
              <w:t>15</w:t>
            </w:r>
            <w:r w:rsidR="008E0A7F" w:rsidRPr="00EC02CA">
              <w:rPr>
                <w:sz w:val="20"/>
                <w:szCs w:val="20"/>
              </w:rPr>
              <w:t>%</w:t>
            </w:r>
          </w:p>
        </w:tc>
        <w:tc>
          <w:tcPr>
            <w:tcW w:w="1800" w:type="dxa"/>
          </w:tcPr>
          <w:p w14:paraId="606754F5" w14:textId="77777777" w:rsidR="00695636" w:rsidRPr="00EC02CA" w:rsidRDefault="00695636" w:rsidP="00A920EC">
            <w:pPr>
              <w:spacing w:before="60" w:after="60"/>
              <w:jc w:val="right"/>
              <w:rPr>
                <w:sz w:val="20"/>
                <w:szCs w:val="20"/>
              </w:rPr>
            </w:pPr>
            <w:r w:rsidRPr="00EC02CA">
              <w:rPr>
                <w:sz w:val="20"/>
                <w:szCs w:val="20"/>
              </w:rPr>
              <w:t>53.9</w:t>
            </w:r>
          </w:p>
        </w:tc>
      </w:tr>
      <w:tr w:rsidR="00695636" w:rsidRPr="00EC02CA" w14:paraId="52B2BCA2" w14:textId="77777777" w:rsidTr="00A920EC">
        <w:tc>
          <w:tcPr>
            <w:tcW w:w="1838" w:type="dxa"/>
          </w:tcPr>
          <w:p w14:paraId="01A7469F" w14:textId="60EFE463" w:rsidR="00695636" w:rsidRPr="00EC02CA" w:rsidRDefault="00695636" w:rsidP="00A920EC">
            <w:pPr>
              <w:spacing w:before="60" w:after="60"/>
              <w:rPr>
                <w:b/>
                <w:bCs/>
                <w:sz w:val="20"/>
                <w:szCs w:val="20"/>
              </w:rPr>
            </w:pPr>
            <w:r w:rsidRPr="00EC02CA">
              <w:rPr>
                <w:b/>
                <w:bCs/>
                <w:sz w:val="20"/>
                <w:szCs w:val="20"/>
              </w:rPr>
              <w:t xml:space="preserve">Total </w:t>
            </w:r>
          </w:p>
        </w:tc>
        <w:tc>
          <w:tcPr>
            <w:tcW w:w="1800" w:type="dxa"/>
          </w:tcPr>
          <w:p w14:paraId="094CFC22" w14:textId="77777777" w:rsidR="00695636" w:rsidRPr="00EC02CA" w:rsidRDefault="00695636" w:rsidP="00A920EC">
            <w:pPr>
              <w:spacing w:before="60" w:after="60"/>
              <w:jc w:val="right"/>
              <w:rPr>
                <w:b/>
                <w:bCs/>
                <w:sz w:val="20"/>
                <w:szCs w:val="20"/>
              </w:rPr>
            </w:pPr>
            <w:r w:rsidRPr="00EC02CA">
              <w:rPr>
                <w:b/>
                <w:bCs/>
                <w:sz w:val="20"/>
                <w:szCs w:val="20"/>
              </w:rPr>
              <w:t>9 585</w:t>
            </w:r>
          </w:p>
        </w:tc>
        <w:tc>
          <w:tcPr>
            <w:tcW w:w="1800" w:type="dxa"/>
          </w:tcPr>
          <w:p w14:paraId="69716AEF" w14:textId="4A59DFF2" w:rsidR="00695636" w:rsidRPr="00EC02CA" w:rsidRDefault="00695636" w:rsidP="00A920EC">
            <w:pPr>
              <w:spacing w:before="60" w:after="60"/>
              <w:jc w:val="right"/>
              <w:rPr>
                <w:b/>
                <w:bCs/>
                <w:sz w:val="20"/>
                <w:szCs w:val="20"/>
              </w:rPr>
            </w:pPr>
            <w:r w:rsidRPr="00EC02CA">
              <w:rPr>
                <w:b/>
                <w:bCs/>
                <w:sz w:val="20"/>
                <w:szCs w:val="20"/>
              </w:rPr>
              <w:t>100</w:t>
            </w:r>
            <w:r w:rsidR="008E0A7F" w:rsidRPr="00EC02CA">
              <w:rPr>
                <w:b/>
                <w:bCs/>
                <w:sz w:val="20"/>
                <w:szCs w:val="20"/>
              </w:rPr>
              <w:t>%</w:t>
            </w:r>
          </w:p>
        </w:tc>
        <w:tc>
          <w:tcPr>
            <w:tcW w:w="1800" w:type="dxa"/>
          </w:tcPr>
          <w:p w14:paraId="3F203C36" w14:textId="77777777" w:rsidR="00695636" w:rsidRPr="00EC02CA" w:rsidRDefault="00695636" w:rsidP="00A920EC">
            <w:pPr>
              <w:spacing w:before="60" w:after="60"/>
              <w:jc w:val="right"/>
              <w:rPr>
                <w:b/>
                <w:bCs/>
                <w:sz w:val="20"/>
                <w:szCs w:val="20"/>
              </w:rPr>
            </w:pPr>
            <w:r w:rsidRPr="00EC02CA">
              <w:rPr>
                <w:b/>
                <w:bCs/>
                <w:sz w:val="20"/>
                <w:szCs w:val="20"/>
              </w:rPr>
              <w:t>n/a</w:t>
            </w:r>
          </w:p>
        </w:tc>
      </w:tr>
    </w:tbl>
    <w:p w14:paraId="2DFB649A" w14:textId="72707A0D" w:rsidR="00695636" w:rsidRPr="00EC02CA" w:rsidRDefault="00695636" w:rsidP="002F0007">
      <w:pPr>
        <w:pStyle w:val="NormalNumberedTextTLRI"/>
      </w:pPr>
      <w:r w:rsidRPr="00EC02CA">
        <w:t>Table 2.2 above shows that</w:t>
      </w:r>
      <w:r w:rsidR="00C214C6" w:rsidRPr="00EC02CA">
        <w:t>,</w:t>
      </w:r>
      <w:r w:rsidRPr="00EC02CA">
        <w:t xml:space="preserve"> although young people only committed 15% of sexual offences proceeded against, they are over</w:t>
      </w:r>
      <w:r w:rsidR="00043A5A" w:rsidRPr="00EC02CA">
        <w:t>-</w:t>
      </w:r>
      <w:r w:rsidRPr="00EC02CA">
        <w:t xml:space="preserve">represented as an age group </w:t>
      </w:r>
      <w:r w:rsidR="00C214C6" w:rsidRPr="00EC02CA">
        <w:t xml:space="preserve">on a </w:t>
      </w:r>
      <w:r w:rsidRPr="00EC02CA">
        <w:t>per capita</w:t>
      </w:r>
      <w:r w:rsidR="00C214C6" w:rsidRPr="00EC02CA">
        <w:t xml:space="preserve"> basis, as that proportion represents </w:t>
      </w:r>
      <w:r w:rsidRPr="00EC02CA">
        <w:t xml:space="preserve">53.9 per 100,000 young Australians, compared with 38.5 per 100,000 adult Australians. </w:t>
      </w:r>
    </w:p>
    <w:p w14:paraId="204F21F1" w14:textId="37B0C768" w:rsidR="00695636" w:rsidRPr="00EC02CA" w:rsidRDefault="00695636" w:rsidP="002F0007">
      <w:pPr>
        <w:pStyle w:val="NormalNumberedTextTLRI"/>
      </w:pPr>
      <w:r w:rsidRPr="00EC02CA">
        <w:t xml:space="preserve">Of the matters concerning youths, 686 young people </w:t>
      </w:r>
      <w:r w:rsidR="007C2968" w:rsidRPr="00EC02CA">
        <w:t xml:space="preserve">were </w:t>
      </w:r>
      <w:r w:rsidRPr="00EC02CA">
        <w:t>proceeded against for sexual assault and 7</w:t>
      </w:r>
      <w:r w:rsidR="00E862C8" w:rsidRPr="00EC02CA">
        <w:t>45</w:t>
      </w:r>
      <w:r w:rsidRPr="00EC02CA">
        <w:t xml:space="preserve"> </w:t>
      </w:r>
      <w:r w:rsidR="007C2968" w:rsidRPr="00EC02CA">
        <w:t xml:space="preserve">were </w:t>
      </w:r>
      <w:r w:rsidRPr="00EC02CA">
        <w:t>proceeded against for non-assaultive sexual offences.</w:t>
      </w:r>
      <w:r w:rsidRPr="00EC02CA">
        <w:rPr>
          <w:rStyle w:val="FootnoteReference"/>
        </w:rPr>
        <w:footnoteReference w:id="113"/>
      </w:r>
      <w:r w:rsidRPr="00EC02CA">
        <w:t xml:space="preserve"> This equates to a rate of 26 per 100,000 for sexual assault and 28 per 100,000 for non-assaultive sexual offences. Figure </w:t>
      </w:r>
      <w:r w:rsidR="00B32B24" w:rsidRPr="00EC02CA">
        <w:t>2</w:t>
      </w:r>
      <w:r w:rsidRPr="00EC02CA">
        <w:t>.</w:t>
      </w:r>
      <w:r w:rsidR="00B32B24" w:rsidRPr="00EC02CA">
        <w:t>2</w:t>
      </w:r>
      <w:r w:rsidRPr="00EC02CA">
        <w:t xml:space="preserve">, below, presents the rate for assaultive and non-assaultive sexual offences in Australia over the </w:t>
      </w:r>
      <w:r w:rsidR="00665BB1" w:rsidRPr="00EC02CA">
        <w:t xml:space="preserve">period from </w:t>
      </w:r>
      <w:r w:rsidRPr="00EC02CA">
        <w:t>2008</w:t>
      </w:r>
      <w:r w:rsidR="00F64FF3" w:rsidRPr="00EC02CA">
        <w:t>–</w:t>
      </w:r>
      <w:r w:rsidRPr="00EC02CA">
        <w:t>09 to 2023</w:t>
      </w:r>
      <w:r w:rsidR="00F64FF3" w:rsidRPr="00EC02CA">
        <w:t>–</w:t>
      </w:r>
      <w:r w:rsidRPr="00EC02CA">
        <w:t>24.</w:t>
      </w:r>
    </w:p>
    <w:p w14:paraId="16D5E4A8" w14:textId="3303775F" w:rsidR="00695636" w:rsidRDefault="00695636" w:rsidP="00A920EC">
      <w:r w:rsidRPr="00EC02CA">
        <w:rPr>
          <w:b/>
          <w:bCs/>
        </w:rPr>
        <w:t xml:space="preserve">Figure </w:t>
      </w:r>
      <w:r w:rsidR="00B32B24" w:rsidRPr="00EC02CA">
        <w:rPr>
          <w:b/>
          <w:bCs/>
        </w:rPr>
        <w:t>2</w:t>
      </w:r>
      <w:r w:rsidRPr="00EC02CA">
        <w:rPr>
          <w:b/>
          <w:bCs/>
        </w:rPr>
        <w:t>.</w:t>
      </w:r>
      <w:r w:rsidR="00B32B24" w:rsidRPr="00EC02CA">
        <w:rPr>
          <w:b/>
          <w:bCs/>
        </w:rPr>
        <w:t>2</w:t>
      </w:r>
      <w:r w:rsidRPr="00EC02CA">
        <w:t xml:space="preserve"> </w:t>
      </w:r>
      <w:r w:rsidR="00F64FF3" w:rsidRPr="00EC02CA">
        <w:t>Sexual assault and non-assaultive sexual offences, by</w:t>
      </w:r>
      <w:r w:rsidRPr="00EC02CA">
        <w:t xml:space="preserve"> youth offenders, rates per 100,000 </w:t>
      </w:r>
      <w:r w:rsidR="00F64FF3" w:rsidRPr="00EC02CA">
        <w:t xml:space="preserve">youth </w:t>
      </w:r>
      <w:r w:rsidRPr="00EC02CA">
        <w:t>population, Australia</w:t>
      </w:r>
      <w:r w:rsidR="00665BB1" w:rsidRPr="00EC02CA">
        <w:t>, 2008–09 to 2023–24</w:t>
      </w:r>
    </w:p>
    <w:p w14:paraId="2AEF4E1E" w14:textId="4053A554" w:rsidR="00EC6632" w:rsidRPr="00EC02CA" w:rsidRDefault="00647607" w:rsidP="00A920EC">
      <w:r>
        <w:rPr>
          <w:noProof/>
        </w:rPr>
        <w:drawing>
          <wp:inline distT="0" distB="0" distL="0" distR="0" wp14:anchorId="63FA68B2" wp14:editId="5B169B3B">
            <wp:extent cx="5271796" cy="3974840"/>
            <wp:effectExtent l="0" t="0" r="5080" b="6985"/>
            <wp:docPr id="484447490" name="Chart 1">
              <a:extLst xmlns:a="http://schemas.openxmlformats.org/drawingml/2006/main">
                <a:ext uri="{FF2B5EF4-FFF2-40B4-BE49-F238E27FC236}">
                  <a16:creationId xmlns:a16="http://schemas.microsoft.com/office/drawing/2014/main" id="{3AF5DF4E-074D-3EAB-DCCC-DC8EF4430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E811E2" w14:textId="5945C7F1" w:rsidR="0075537B" w:rsidRPr="00EC02CA" w:rsidRDefault="00695636" w:rsidP="00A920EC">
      <w:r w:rsidRPr="00EC02CA">
        <w:t xml:space="preserve"> </w:t>
      </w:r>
    </w:p>
    <w:p w14:paraId="0E18665B" w14:textId="050D054B" w:rsidR="00695636" w:rsidRPr="00EC02CA" w:rsidRDefault="00695636" w:rsidP="00A920EC">
      <w:pPr>
        <w:pStyle w:val="NormalNumberedTextTLRI"/>
      </w:pPr>
      <w:bookmarkStart w:id="103" w:name="_Ref218240008"/>
      <w:r w:rsidRPr="00EC02CA">
        <w:t xml:space="preserve">Figure </w:t>
      </w:r>
      <w:r w:rsidR="00B32B24" w:rsidRPr="00EC02CA">
        <w:t>2</w:t>
      </w:r>
      <w:r w:rsidRPr="00EC02CA">
        <w:t>.</w:t>
      </w:r>
      <w:r w:rsidR="00B32B24" w:rsidRPr="00EC02CA">
        <w:t>2</w:t>
      </w:r>
      <w:r w:rsidRPr="00EC02CA">
        <w:t xml:space="preserve"> shows that</w:t>
      </w:r>
      <w:r w:rsidR="00F64FF3" w:rsidRPr="00EC02CA">
        <w:t>,</w:t>
      </w:r>
      <w:r w:rsidRPr="00EC02CA">
        <w:t xml:space="preserve"> since 2008</w:t>
      </w:r>
      <w:r w:rsidR="00F64FF3" w:rsidRPr="00EC02CA">
        <w:t>–</w:t>
      </w:r>
      <w:r w:rsidRPr="00EC02CA">
        <w:t>09</w:t>
      </w:r>
      <w:r w:rsidR="00F64FF3" w:rsidRPr="00EC02CA">
        <w:t>,</w:t>
      </w:r>
      <w:r w:rsidRPr="00EC02CA">
        <w:t xml:space="preserve"> there </w:t>
      </w:r>
      <w:r w:rsidR="007556C9" w:rsidRPr="00EC02CA">
        <w:t>ha</w:t>
      </w:r>
      <w:r w:rsidRPr="00EC02CA">
        <w:t xml:space="preserve">s </w:t>
      </w:r>
      <w:r w:rsidR="007556C9" w:rsidRPr="00EC02CA">
        <w:t xml:space="preserve">been </w:t>
      </w:r>
      <w:r w:rsidRPr="00EC02CA">
        <w:t>an observable downward trend in the rate of recorded sexual offences</w:t>
      </w:r>
      <w:r w:rsidR="00F64FF3" w:rsidRPr="00EC02CA">
        <w:t>,</w:t>
      </w:r>
      <w:r w:rsidRPr="00EC02CA">
        <w:t xml:space="preserve"> and</w:t>
      </w:r>
      <w:r w:rsidR="00F64FF3" w:rsidRPr="00EC02CA">
        <w:t xml:space="preserve"> an</w:t>
      </w:r>
      <w:r w:rsidRPr="00EC02CA">
        <w:t xml:space="preserve"> increase in the rate of recorded non-assaultive sexual offences</w:t>
      </w:r>
      <w:r w:rsidR="00F64FF3" w:rsidRPr="00EC02CA">
        <w:t>,</w:t>
      </w:r>
      <w:r w:rsidRPr="00EC02CA">
        <w:t xml:space="preserve"> committed by young people.</w:t>
      </w:r>
      <w:r w:rsidRPr="00EC02CA">
        <w:rPr>
          <w:rStyle w:val="FootnoteReference"/>
        </w:rPr>
        <w:footnoteReference w:id="114"/>
      </w:r>
      <w:bookmarkEnd w:id="103"/>
    </w:p>
    <w:p w14:paraId="591B56F9" w14:textId="2B4DD458" w:rsidR="00695636" w:rsidRPr="00EC02CA" w:rsidRDefault="00695636" w:rsidP="002F0007">
      <w:pPr>
        <w:pStyle w:val="NormalNumberedTextTLRI"/>
      </w:pPr>
      <w:r w:rsidRPr="00EC02CA">
        <w:t>ABS data for 2023</w:t>
      </w:r>
      <w:r w:rsidR="00F64FF3" w:rsidRPr="00EC02CA">
        <w:t>–</w:t>
      </w:r>
      <w:r w:rsidRPr="00EC02CA">
        <w:t>24 indicate that more young males were proceeded against by police for a sexual offence than young females. Young men represented 1</w:t>
      </w:r>
      <w:r w:rsidR="00052055" w:rsidRPr="00EC02CA">
        <w:t>,</w:t>
      </w:r>
      <w:r w:rsidRPr="00EC02CA">
        <w:t xml:space="preserve">115 (76.3%) of the youth sexual matters proceeded against by police (see Table </w:t>
      </w:r>
      <w:r w:rsidR="00B32B24" w:rsidRPr="00EC02CA">
        <w:t>2</w:t>
      </w:r>
      <w:r w:rsidRPr="00EC02CA">
        <w:t>.</w:t>
      </w:r>
      <w:r w:rsidR="00B32B24" w:rsidRPr="00EC02CA">
        <w:t>3</w:t>
      </w:r>
      <w:r w:rsidR="00052055" w:rsidRPr="00EC02CA">
        <w:t xml:space="preserve"> below</w:t>
      </w:r>
      <w:r w:rsidRPr="00EC02CA">
        <w:t xml:space="preserve">). </w:t>
      </w:r>
    </w:p>
    <w:p w14:paraId="08E464DA" w14:textId="70EA4323" w:rsidR="00695636" w:rsidRPr="00EC02CA" w:rsidRDefault="00695636" w:rsidP="00A920EC">
      <w:pPr>
        <w:pStyle w:val="NormalNumberedTextTLRI"/>
        <w:numPr>
          <w:ilvl w:val="0"/>
          <w:numId w:val="0"/>
        </w:numPr>
        <w:rPr>
          <w:highlight w:val="yellow"/>
        </w:rPr>
      </w:pPr>
      <w:r w:rsidRPr="00EC02CA">
        <w:rPr>
          <w:b/>
          <w:bCs/>
        </w:rPr>
        <w:t xml:space="preserve">Table </w:t>
      </w:r>
      <w:r w:rsidR="00B32B24" w:rsidRPr="00EC02CA">
        <w:rPr>
          <w:b/>
          <w:bCs/>
        </w:rPr>
        <w:t>2</w:t>
      </w:r>
      <w:r w:rsidRPr="00EC02CA">
        <w:rPr>
          <w:b/>
          <w:bCs/>
        </w:rPr>
        <w:t>.</w:t>
      </w:r>
      <w:r w:rsidR="00B32B24" w:rsidRPr="00EC02CA">
        <w:rPr>
          <w:b/>
          <w:bCs/>
        </w:rPr>
        <w:t>3</w:t>
      </w:r>
      <w:r w:rsidRPr="00EC02CA">
        <w:t xml:space="preserve"> Number of youth offenders proceeded against by police for sexual assault and related offence (by principal offence) by sex, Australia, 2022</w:t>
      </w:r>
      <w:r w:rsidR="007556C9" w:rsidRPr="00EC02CA">
        <w:t>–</w:t>
      </w:r>
      <w:r w:rsidRPr="00EC02CA">
        <w:t>23</w:t>
      </w:r>
    </w:p>
    <w:tbl>
      <w:tblPr>
        <w:tblStyle w:val="TableGrid"/>
        <w:tblW w:w="0" w:type="auto"/>
        <w:tblLook w:val="04A0" w:firstRow="1" w:lastRow="0" w:firstColumn="1" w:lastColumn="0" w:noHBand="0" w:noVBand="1"/>
      </w:tblPr>
      <w:tblGrid>
        <w:gridCol w:w="1696"/>
        <w:gridCol w:w="1890"/>
        <w:gridCol w:w="1890"/>
        <w:gridCol w:w="1890"/>
      </w:tblGrid>
      <w:tr w:rsidR="00695636" w:rsidRPr="00EC02CA" w14:paraId="02B60D6A" w14:textId="77777777" w:rsidTr="00AB59E8">
        <w:tc>
          <w:tcPr>
            <w:tcW w:w="1696" w:type="dxa"/>
          </w:tcPr>
          <w:p w14:paraId="3CFDC33B" w14:textId="77777777" w:rsidR="00695636" w:rsidRPr="00EC02CA" w:rsidRDefault="00695636" w:rsidP="00A920EC">
            <w:pPr>
              <w:spacing w:before="60" w:after="60"/>
            </w:pPr>
          </w:p>
        </w:tc>
        <w:tc>
          <w:tcPr>
            <w:tcW w:w="1890" w:type="dxa"/>
          </w:tcPr>
          <w:p w14:paraId="6E378593" w14:textId="77777777" w:rsidR="00695636" w:rsidRPr="00EC02CA" w:rsidRDefault="00695636" w:rsidP="00A920EC">
            <w:pPr>
              <w:spacing w:before="60" w:after="60"/>
              <w:jc w:val="center"/>
            </w:pPr>
            <w:r w:rsidRPr="00EC02CA">
              <w:rPr>
                <w:b/>
                <w:bCs/>
              </w:rPr>
              <w:t>Number</w:t>
            </w:r>
          </w:p>
        </w:tc>
        <w:tc>
          <w:tcPr>
            <w:tcW w:w="1890" w:type="dxa"/>
          </w:tcPr>
          <w:p w14:paraId="630C3BC1" w14:textId="77777777" w:rsidR="00695636" w:rsidRPr="00EC02CA" w:rsidRDefault="00695636" w:rsidP="00A920EC">
            <w:pPr>
              <w:spacing w:before="60" w:after="60"/>
              <w:jc w:val="center"/>
              <w:rPr>
                <w:highlight w:val="yellow"/>
              </w:rPr>
            </w:pPr>
            <w:r w:rsidRPr="00EC02CA">
              <w:rPr>
                <w:b/>
                <w:bCs/>
              </w:rPr>
              <w:t>Proportion (%)</w:t>
            </w:r>
          </w:p>
        </w:tc>
        <w:tc>
          <w:tcPr>
            <w:tcW w:w="1890" w:type="dxa"/>
          </w:tcPr>
          <w:p w14:paraId="675D55EB" w14:textId="77777777" w:rsidR="00695636" w:rsidRPr="00EC02CA" w:rsidRDefault="00695636" w:rsidP="00A920EC">
            <w:pPr>
              <w:spacing w:before="60" w:after="60"/>
              <w:jc w:val="center"/>
            </w:pPr>
            <w:r w:rsidRPr="00EC02CA">
              <w:rPr>
                <w:b/>
                <w:bCs/>
              </w:rPr>
              <w:t>Rate per 100,000</w:t>
            </w:r>
          </w:p>
        </w:tc>
      </w:tr>
      <w:tr w:rsidR="00695636" w:rsidRPr="00EC02CA" w14:paraId="3BD87436" w14:textId="77777777" w:rsidTr="00AB59E8">
        <w:tc>
          <w:tcPr>
            <w:tcW w:w="1696" w:type="dxa"/>
          </w:tcPr>
          <w:p w14:paraId="1D2D4459" w14:textId="77777777" w:rsidR="00695636" w:rsidRPr="00EC02CA" w:rsidRDefault="00695636" w:rsidP="00A920EC">
            <w:pPr>
              <w:spacing w:before="60" w:after="60"/>
              <w:rPr>
                <w:highlight w:val="yellow"/>
              </w:rPr>
            </w:pPr>
            <w:r w:rsidRPr="00EC02CA">
              <w:t>Male</w:t>
            </w:r>
          </w:p>
        </w:tc>
        <w:tc>
          <w:tcPr>
            <w:tcW w:w="1890" w:type="dxa"/>
          </w:tcPr>
          <w:p w14:paraId="6CA3BD95" w14:textId="77777777" w:rsidR="00695636" w:rsidRPr="00EC02CA" w:rsidRDefault="00695636" w:rsidP="00A920EC">
            <w:pPr>
              <w:spacing w:before="60" w:after="60"/>
              <w:jc w:val="center"/>
              <w:rPr>
                <w:highlight w:val="yellow"/>
              </w:rPr>
            </w:pPr>
            <w:r w:rsidRPr="00EC02CA">
              <w:t>1115</w:t>
            </w:r>
          </w:p>
        </w:tc>
        <w:tc>
          <w:tcPr>
            <w:tcW w:w="1890" w:type="dxa"/>
          </w:tcPr>
          <w:p w14:paraId="60ACF743" w14:textId="77777777" w:rsidR="00695636" w:rsidRPr="00EC02CA" w:rsidRDefault="00695636" w:rsidP="00A920EC">
            <w:pPr>
              <w:spacing w:before="60" w:after="60"/>
              <w:jc w:val="center"/>
            </w:pPr>
            <w:r w:rsidRPr="00EC02CA">
              <w:t>78.2</w:t>
            </w:r>
          </w:p>
        </w:tc>
        <w:tc>
          <w:tcPr>
            <w:tcW w:w="1890" w:type="dxa"/>
          </w:tcPr>
          <w:p w14:paraId="6696A22D" w14:textId="77777777" w:rsidR="00695636" w:rsidRPr="00EC02CA" w:rsidRDefault="00695636" w:rsidP="00A920EC">
            <w:pPr>
              <w:spacing w:before="60" w:after="60"/>
              <w:jc w:val="center"/>
              <w:rPr>
                <w:highlight w:val="yellow"/>
              </w:rPr>
            </w:pPr>
            <w:r w:rsidRPr="00EC02CA">
              <w:t>81.7</w:t>
            </w:r>
          </w:p>
        </w:tc>
      </w:tr>
      <w:tr w:rsidR="00695636" w:rsidRPr="00EC02CA" w14:paraId="2801F9EB" w14:textId="77777777" w:rsidTr="00AB59E8">
        <w:trPr>
          <w:trHeight w:val="311"/>
        </w:trPr>
        <w:tc>
          <w:tcPr>
            <w:tcW w:w="1696" w:type="dxa"/>
          </w:tcPr>
          <w:p w14:paraId="79EF099D" w14:textId="77777777" w:rsidR="00695636" w:rsidRPr="00EC02CA" w:rsidRDefault="00695636" w:rsidP="00A920EC">
            <w:pPr>
              <w:spacing w:before="60" w:after="60"/>
              <w:rPr>
                <w:highlight w:val="yellow"/>
              </w:rPr>
            </w:pPr>
            <w:r w:rsidRPr="00EC02CA">
              <w:t>Female</w:t>
            </w:r>
          </w:p>
        </w:tc>
        <w:tc>
          <w:tcPr>
            <w:tcW w:w="1890" w:type="dxa"/>
          </w:tcPr>
          <w:p w14:paraId="6250CF9C" w14:textId="77777777" w:rsidR="00695636" w:rsidRPr="00EC02CA" w:rsidRDefault="00695636" w:rsidP="00A920EC">
            <w:pPr>
              <w:spacing w:before="60" w:after="60"/>
              <w:jc w:val="center"/>
              <w:rPr>
                <w:highlight w:val="yellow"/>
              </w:rPr>
            </w:pPr>
            <w:r w:rsidRPr="00EC02CA">
              <w:t>310</w:t>
            </w:r>
          </w:p>
        </w:tc>
        <w:tc>
          <w:tcPr>
            <w:tcW w:w="1890" w:type="dxa"/>
          </w:tcPr>
          <w:p w14:paraId="51396C03" w14:textId="77777777" w:rsidR="00695636" w:rsidRPr="00EC02CA" w:rsidRDefault="00695636" w:rsidP="00A920EC">
            <w:pPr>
              <w:spacing w:before="60" w:after="60"/>
              <w:jc w:val="center"/>
            </w:pPr>
            <w:r w:rsidRPr="00EC02CA">
              <w:t>21.8</w:t>
            </w:r>
          </w:p>
        </w:tc>
        <w:tc>
          <w:tcPr>
            <w:tcW w:w="1890" w:type="dxa"/>
          </w:tcPr>
          <w:p w14:paraId="22F18EDA" w14:textId="77777777" w:rsidR="00695636" w:rsidRPr="00EC02CA" w:rsidRDefault="00695636" w:rsidP="00A920EC">
            <w:pPr>
              <w:spacing w:before="60" w:after="60"/>
              <w:jc w:val="center"/>
              <w:rPr>
                <w:highlight w:val="yellow"/>
              </w:rPr>
            </w:pPr>
            <w:r w:rsidRPr="00EC02CA">
              <w:t>24.1</w:t>
            </w:r>
          </w:p>
        </w:tc>
      </w:tr>
      <w:tr w:rsidR="00695636" w:rsidRPr="00EC02CA" w14:paraId="09FE7D96" w14:textId="77777777" w:rsidTr="00AB59E8">
        <w:tc>
          <w:tcPr>
            <w:tcW w:w="1696" w:type="dxa"/>
          </w:tcPr>
          <w:p w14:paraId="6EDD731A" w14:textId="77777777" w:rsidR="00695636" w:rsidRPr="00EC02CA" w:rsidRDefault="00695636" w:rsidP="00A920EC">
            <w:pPr>
              <w:spacing w:before="60" w:after="60"/>
              <w:rPr>
                <w:b/>
                <w:bCs/>
                <w:highlight w:val="yellow"/>
              </w:rPr>
            </w:pPr>
            <w:r w:rsidRPr="00EC02CA">
              <w:rPr>
                <w:b/>
                <w:bCs/>
              </w:rPr>
              <w:t>Total</w:t>
            </w:r>
          </w:p>
        </w:tc>
        <w:tc>
          <w:tcPr>
            <w:tcW w:w="1890" w:type="dxa"/>
          </w:tcPr>
          <w:p w14:paraId="40959844" w14:textId="77777777" w:rsidR="00695636" w:rsidRPr="00EC02CA" w:rsidRDefault="00695636" w:rsidP="00A920EC">
            <w:pPr>
              <w:spacing w:before="60" w:after="60"/>
              <w:jc w:val="center"/>
              <w:rPr>
                <w:b/>
                <w:bCs/>
                <w:highlight w:val="yellow"/>
              </w:rPr>
            </w:pPr>
            <w:r w:rsidRPr="00EC02CA">
              <w:rPr>
                <w:b/>
                <w:bCs/>
              </w:rPr>
              <w:t xml:space="preserve">1431 </w:t>
            </w:r>
          </w:p>
        </w:tc>
        <w:tc>
          <w:tcPr>
            <w:tcW w:w="1890" w:type="dxa"/>
          </w:tcPr>
          <w:p w14:paraId="45FF513A" w14:textId="77777777" w:rsidR="00695636" w:rsidRPr="00EC02CA" w:rsidRDefault="00695636" w:rsidP="00A920EC">
            <w:pPr>
              <w:spacing w:before="60" w:after="60"/>
              <w:jc w:val="center"/>
              <w:rPr>
                <w:b/>
                <w:bCs/>
                <w:highlight w:val="yellow"/>
              </w:rPr>
            </w:pPr>
            <w:r w:rsidRPr="00EC02CA">
              <w:rPr>
                <w:b/>
                <w:bCs/>
              </w:rPr>
              <w:t>100</w:t>
            </w:r>
          </w:p>
        </w:tc>
        <w:tc>
          <w:tcPr>
            <w:tcW w:w="1890" w:type="dxa"/>
          </w:tcPr>
          <w:p w14:paraId="6EDC06D1" w14:textId="77777777" w:rsidR="00695636" w:rsidRPr="00EC02CA" w:rsidRDefault="00695636" w:rsidP="00A920EC">
            <w:pPr>
              <w:spacing w:before="60" w:after="60"/>
              <w:jc w:val="center"/>
              <w:rPr>
                <w:b/>
                <w:bCs/>
                <w:highlight w:val="yellow"/>
              </w:rPr>
            </w:pPr>
            <w:r w:rsidRPr="00EC02CA">
              <w:rPr>
                <w:b/>
                <w:bCs/>
              </w:rPr>
              <w:t>n/a</w:t>
            </w:r>
          </w:p>
        </w:tc>
      </w:tr>
    </w:tbl>
    <w:p w14:paraId="03248823" w14:textId="590BA593" w:rsidR="00695636" w:rsidRPr="00EC02CA" w:rsidRDefault="00695636" w:rsidP="002F0007">
      <w:pPr>
        <w:pStyle w:val="NormalNumberedTextTLRI"/>
      </w:pPr>
      <w:r w:rsidRPr="00EC02CA">
        <w:t>Important research on alleged sexual offending by youths has also been conducted by the Australian Institute of Criminology</w:t>
      </w:r>
      <w:r w:rsidRPr="00EC02CA">
        <w:rPr>
          <w:b/>
          <w:bCs/>
        </w:rPr>
        <w:t xml:space="preserve"> </w:t>
      </w:r>
      <w:r w:rsidRPr="00EC02CA">
        <w:t xml:space="preserve">(AIC). The AIC examined data from New South Wales, Victoria, Queensland, Western Australia and the Northern Territory. </w:t>
      </w:r>
      <w:r w:rsidR="007556C9" w:rsidRPr="00EC02CA">
        <w:t>In 2022–23, a</w:t>
      </w:r>
      <w:r w:rsidRPr="00EC02CA">
        <w:t>cross these five jurisdictions</w:t>
      </w:r>
      <w:r w:rsidR="007556C9" w:rsidRPr="00EC02CA">
        <w:t>,</w:t>
      </w:r>
      <w:r w:rsidRPr="00EC02CA">
        <w:t xml:space="preserve"> 322 males and 24 females</w:t>
      </w:r>
      <w:r w:rsidR="007556C9" w:rsidRPr="00EC02CA">
        <w:t>,</w:t>
      </w:r>
      <w:r w:rsidRPr="00EC02CA">
        <w:t xml:space="preserve"> aged 10–17</w:t>
      </w:r>
      <w:r w:rsidR="007556C9" w:rsidRPr="00EC02CA">
        <w:t>,</w:t>
      </w:r>
      <w:r w:rsidRPr="00EC02CA">
        <w:t xml:space="preserve"> were charged, arrested and summon</w:t>
      </w:r>
      <w:r w:rsidR="007556C9" w:rsidRPr="00EC02CA">
        <w:t>s</w:t>
      </w:r>
      <w:r w:rsidRPr="00EC02CA">
        <w:t>ed for alleged sexual offending. For a further 644 males and 265 females other action was taken in relation to a sexual matter, such as a caution, conference or penalty notice.</w:t>
      </w:r>
      <w:bookmarkStart w:id="104" w:name="_Ref217928675"/>
      <w:r w:rsidRPr="00EC02CA">
        <w:rPr>
          <w:rStyle w:val="FootnoteReference"/>
        </w:rPr>
        <w:footnoteReference w:id="115"/>
      </w:r>
      <w:bookmarkEnd w:id="104"/>
      <w:r w:rsidRPr="00EC02CA">
        <w:t xml:space="preserve"> Of these 1,255 young people, it was reported that  </w:t>
      </w:r>
      <w:r w:rsidR="007556C9" w:rsidRPr="00EC02CA">
        <w:t xml:space="preserve">over </w:t>
      </w:r>
      <w:r w:rsidRPr="00EC02CA">
        <w:t>half (53%</w:t>
      </w:r>
      <w:r w:rsidR="007556C9" w:rsidRPr="00EC02CA">
        <w:t>;</w:t>
      </w:r>
      <w:r w:rsidRPr="00EC02CA">
        <w:t xml:space="preserve"> 659; 612 males and 47 females) were proceeded against for physical sexual offences, including sexual behaviour or gestures in the presence of a </w:t>
      </w:r>
      <w:r w:rsidR="00886B70" w:rsidRPr="00EC02CA">
        <w:t>victim-survivor</w:t>
      </w:r>
      <w:r w:rsidRPr="00EC02CA">
        <w:t>,</w:t>
      </w:r>
      <w:r w:rsidRPr="00EC02CA" w:rsidDel="004D754F">
        <w:t xml:space="preserve"> </w:t>
      </w:r>
      <w:r w:rsidRPr="00EC02CA">
        <w:t>sexual physical contact without penetration, persistent sexual abuse of a child, rape</w:t>
      </w:r>
      <w:r w:rsidR="007556C9" w:rsidRPr="00EC02CA">
        <w:t>,</w:t>
      </w:r>
      <w:r w:rsidRPr="00EC02CA">
        <w:t xml:space="preserve"> and attempted rate.</w:t>
      </w:r>
      <w:r w:rsidRPr="00EC02CA">
        <w:rPr>
          <w:rStyle w:val="FootnoteReference"/>
        </w:rPr>
        <w:footnoteReference w:id="116"/>
      </w:r>
    </w:p>
    <w:p w14:paraId="2B875360" w14:textId="77777777" w:rsidR="00695636" w:rsidRPr="00EC02CA" w:rsidRDefault="00695636" w:rsidP="00ED2E47">
      <w:pPr>
        <w:pStyle w:val="Sub-HeadingTLRI"/>
      </w:pPr>
      <w:bookmarkStart w:id="105" w:name="_Toc211849366"/>
      <w:bookmarkStart w:id="106" w:name="_Toc218157262"/>
      <w:r w:rsidRPr="00EC02CA">
        <w:t>Online offending</w:t>
      </w:r>
      <w:bookmarkEnd w:id="105"/>
      <w:bookmarkEnd w:id="106"/>
    </w:p>
    <w:p w14:paraId="0196473F" w14:textId="4F5E1BA8" w:rsidR="00695636" w:rsidRPr="00EC02CA" w:rsidRDefault="00695636" w:rsidP="002F0007">
      <w:pPr>
        <w:pStyle w:val="NormalNumberedTextTLRI"/>
      </w:pPr>
      <w:r w:rsidRPr="00EC02CA">
        <w:t>As noted</w:t>
      </w:r>
      <w:r w:rsidR="00B32B24" w:rsidRPr="00EC02CA">
        <w:t xml:space="preserve"> at</w:t>
      </w:r>
      <w:r w:rsidRPr="00EC02CA">
        <w:t xml:space="preserve"> [</w:t>
      </w:r>
      <w:r w:rsidR="00093801" w:rsidRPr="00EC02CA">
        <w:fldChar w:fldCharType="begin"/>
      </w:r>
      <w:r w:rsidR="00093801" w:rsidRPr="00EC02CA">
        <w:instrText xml:space="preserve"> REF _Ref218239933 \r \h </w:instrText>
      </w:r>
      <w:r w:rsidR="00093801" w:rsidRPr="00EC02CA">
        <w:fldChar w:fldCharType="separate"/>
      </w:r>
      <w:r w:rsidR="007D7830">
        <w:t>2.4.2</w:t>
      </w:r>
      <w:r w:rsidR="00093801" w:rsidRPr="00EC02CA">
        <w:fldChar w:fldCharType="end"/>
      </w:r>
      <w:r w:rsidRPr="00EC02CA">
        <w:t>]</w:t>
      </w:r>
      <w:r w:rsidR="00697216" w:rsidRPr="00EC02CA">
        <w:t>–[</w:t>
      </w:r>
      <w:r w:rsidR="00093801" w:rsidRPr="00EC02CA">
        <w:fldChar w:fldCharType="begin"/>
      </w:r>
      <w:r w:rsidR="00093801" w:rsidRPr="00EC02CA">
        <w:instrText xml:space="preserve"> REF _Ref218239943 \r \h </w:instrText>
      </w:r>
      <w:r w:rsidR="00093801" w:rsidRPr="00EC02CA">
        <w:fldChar w:fldCharType="separate"/>
      </w:r>
      <w:r w:rsidR="007D7830">
        <w:t>2.4.3</w:t>
      </w:r>
      <w:r w:rsidR="00093801" w:rsidRPr="00EC02CA">
        <w:fldChar w:fldCharType="end"/>
      </w:r>
      <w:r w:rsidR="00697216" w:rsidRPr="00EC02CA">
        <w:t>]</w:t>
      </w:r>
      <w:r w:rsidRPr="00EC02CA">
        <w:t>, it is well recognised that technological advances and ready access to an online environment has dramatically changed the nature of online offending by young people. Easy access to mobile phones and other technology allow</w:t>
      </w:r>
      <w:r w:rsidR="007556C9" w:rsidRPr="00EC02CA">
        <w:t>s</w:t>
      </w:r>
      <w:r w:rsidRPr="00EC02CA">
        <w:t xml:space="preserve"> images to be taken and shared, as well as images to be digitally created or altered, with research showing that the majority of CSEM is youth</w:t>
      </w:r>
      <w:r w:rsidR="007556C9" w:rsidRPr="00EC02CA">
        <w:t>-</w:t>
      </w:r>
      <w:r w:rsidRPr="00EC02CA">
        <w:t>produced.</w:t>
      </w:r>
      <w:r w:rsidRPr="00EC02CA">
        <w:rPr>
          <w:rStyle w:val="FootnoteReference"/>
        </w:rPr>
        <w:footnoteReference w:id="117"/>
      </w:r>
      <w:r w:rsidRPr="00EC02CA">
        <w:t xml:space="preserve"> Others have noted that the phenomenon of online sexual offending by young people represents a unique challenge for youth justice systems to both support victims and appropriately respond to offenders.</w:t>
      </w:r>
      <w:r w:rsidRPr="00EC02CA">
        <w:rPr>
          <w:rStyle w:val="FootnoteReference"/>
        </w:rPr>
        <w:footnoteReference w:id="118"/>
      </w:r>
    </w:p>
    <w:p w14:paraId="7D37FD4C" w14:textId="4DB95626" w:rsidR="00695636" w:rsidRPr="00EC02CA" w:rsidRDefault="00695636" w:rsidP="002F0007">
      <w:pPr>
        <w:pStyle w:val="NormalNumberedTextTLRI"/>
      </w:pPr>
      <w:r w:rsidRPr="00EC02CA">
        <w:t>In addition to estimating the prevalence of physical sexual offending, the</w:t>
      </w:r>
      <w:r w:rsidRPr="00EC02CA">
        <w:rPr>
          <w:b/>
          <w:bCs/>
        </w:rPr>
        <w:t xml:space="preserve"> </w:t>
      </w:r>
      <w:r w:rsidRPr="00EC02CA">
        <w:t>ACMS also examined the prevalence and characteristics of online child sexual victimisation. The study analysed reports from participants concerning non-consensual sharing of sexual images of a child by adults and adolescents.</w:t>
      </w:r>
      <w:r w:rsidRPr="00EC02CA">
        <w:rPr>
          <w:rStyle w:val="FootnoteReference"/>
        </w:rPr>
        <w:footnoteReference w:id="119"/>
      </w:r>
      <w:r w:rsidRPr="00EC02CA">
        <w:t xml:space="preserve"> Key findings are presented in Table </w:t>
      </w:r>
      <w:r w:rsidR="00557E07" w:rsidRPr="00EC02CA">
        <w:t>2</w:t>
      </w:r>
      <w:r w:rsidRPr="00EC02CA">
        <w:t>.</w:t>
      </w:r>
      <w:r w:rsidR="00557E07" w:rsidRPr="00EC02CA">
        <w:t>4</w:t>
      </w:r>
      <w:r w:rsidRPr="00EC02CA">
        <w:t xml:space="preserve">. </w:t>
      </w:r>
    </w:p>
    <w:p w14:paraId="67FD3C67" w14:textId="5A2ADF39" w:rsidR="00695636" w:rsidRPr="00EC02CA" w:rsidRDefault="00695636" w:rsidP="00A920EC">
      <w:pPr>
        <w:keepNext/>
        <w:keepLines/>
      </w:pPr>
      <w:r w:rsidRPr="00EC02CA">
        <w:rPr>
          <w:b/>
          <w:bCs/>
        </w:rPr>
        <w:t xml:space="preserve">Table </w:t>
      </w:r>
      <w:r w:rsidR="00557E07" w:rsidRPr="00EC02CA">
        <w:rPr>
          <w:b/>
          <w:bCs/>
        </w:rPr>
        <w:t>2</w:t>
      </w:r>
      <w:r w:rsidRPr="00EC02CA">
        <w:rPr>
          <w:b/>
          <w:bCs/>
        </w:rPr>
        <w:t>.</w:t>
      </w:r>
      <w:r w:rsidR="00557E07" w:rsidRPr="00EC02CA">
        <w:rPr>
          <w:b/>
          <w:bCs/>
        </w:rPr>
        <w:t>4</w:t>
      </w:r>
      <w:r w:rsidRPr="00EC02CA">
        <w:t xml:space="preserve"> </w:t>
      </w:r>
      <w:r w:rsidR="00AA742D" w:rsidRPr="00EC02CA">
        <w:t>Summary of findings from ACMS</w:t>
      </w:r>
      <w:r w:rsidR="00DB179D" w:rsidRPr="00EC02CA">
        <w:t xml:space="preserve">: </w:t>
      </w:r>
      <w:r w:rsidR="00E878BC" w:rsidRPr="00EC02CA">
        <w:t>Prevalence</w:t>
      </w:r>
      <w:r w:rsidR="00DB179D" w:rsidRPr="00EC02CA">
        <w:t xml:space="preserve"> and characteristics of </w:t>
      </w:r>
      <w:r w:rsidR="00EB29A9" w:rsidRPr="00EC02CA">
        <w:t>non</w:t>
      </w:r>
      <w:r w:rsidR="003B4BD8" w:rsidRPr="00EC02CA">
        <w:t>-consensual sharing of sexual images</w:t>
      </w:r>
      <w:r w:rsidR="00744BFF" w:rsidRPr="00EC02CA">
        <w:t xml:space="preserve"> of a child</w:t>
      </w:r>
    </w:p>
    <w:tbl>
      <w:tblPr>
        <w:tblStyle w:val="TableGrid"/>
        <w:tblW w:w="0" w:type="auto"/>
        <w:tblInd w:w="-5" w:type="dxa"/>
        <w:tblLook w:val="04A0" w:firstRow="1" w:lastRow="0" w:firstColumn="1" w:lastColumn="0" w:noHBand="0" w:noVBand="1"/>
      </w:tblPr>
      <w:tblGrid>
        <w:gridCol w:w="1454"/>
        <w:gridCol w:w="7567"/>
      </w:tblGrid>
      <w:tr w:rsidR="00695636" w:rsidRPr="00EC02CA" w14:paraId="55A5526B" w14:textId="77777777" w:rsidTr="00A920EC">
        <w:tc>
          <w:tcPr>
            <w:tcW w:w="1454" w:type="dxa"/>
          </w:tcPr>
          <w:p w14:paraId="79032118" w14:textId="77777777" w:rsidR="00695636" w:rsidRPr="00EC02CA" w:rsidRDefault="00695636" w:rsidP="00A920EC">
            <w:pPr>
              <w:keepNext/>
              <w:keepLines/>
              <w:spacing w:before="60" w:after="60"/>
              <w:jc w:val="left"/>
              <w:rPr>
                <w:b/>
                <w:bCs/>
                <w:sz w:val="20"/>
              </w:rPr>
            </w:pPr>
            <w:r w:rsidRPr="00EC02CA">
              <w:rPr>
                <w:b/>
                <w:bCs/>
                <w:sz w:val="20"/>
                <w:szCs w:val="20"/>
              </w:rPr>
              <w:t>Issue</w:t>
            </w:r>
          </w:p>
        </w:tc>
        <w:tc>
          <w:tcPr>
            <w:tcW w:w="0" w:type="auto"/>
          </w:tcPr>
          <w:p w14:paraId="08198238" w14:textId="77777777" w:rsidR="00695636" w:rsidRPr="00EC02CA" w:rsidRDefault="00695636" w:rsidP="00A920EC">
            <w:pPr>
              <w:keepNext/>
              <w:keepLines/>
              <w:spacing w:before="60" w:after="60"/>
              <w:rPr>
                <w:b/>
                <w:bCs/>
                <w:sz w:val="20"/>
              </w:rPr>
            </w:pPr>
            <w:r w:rsidRPr="00EC02CA">
              <w:rPr>
                <w:b/>
                <w:bCs/>
                <w:sz w:val="20"/>
                <w:szCs w:val="20"/>
              </w:rPr>
              <w:t>Findings</w:t>
            </w:r>
          </w:p>
        </w:tc>
      </w:tr>
      <w:tr w:rsidR="00695636" w:rsidRPr="00EC02CA" w14:paraId="187E5419" w14:textId="77777777" w:rsidTr="00A920EC">
        <w:tc>
          <w:tcPr>
            <w:tcW w:w="1454" w:type="dxa"/>
          </w:tcPr>
          <w:p w14:paraId="4257B5ED" w14:textId="77777777" w:rsidR="00695636" w:rsidRPr="00EC02CA" w:rsidRDefault="00695636" w:rsidP="00A920EC">
            <w:pPr>
              <w:keepNext/>
              <w:keepLines/>
              <w:spacing w:before="60" w:after="60"/>
              <w:rPr>
                <w:sz w:val="20"/>
              </w:rPr>
            </w:pPr>
            <w:r w:rsidRPr="00EC02CA">
              <w:rPr>
                <w:sz w:val="20"/>
                <w:szCs w:val="20"/>
              </w:rPr>
              <w:t>Prevalence</w:t>
            </w:r>
          </w:p>
        </w:tc>
        <w:tc>
          <w:tcPr>
            <w:tcW w:w="0" w:type="auto"/>
          </w:tcPr>
          <w:p w14:paraId="39EB23E2" w14:textId="7198984B" w:rsidR="00695636" w:rsidRPr="00EC02CA" w:rsidRDefault="00695636" w:rsidP="00A920EC">
            <w:pPr>
              <w:keepNext/>
              <w:keepLines/>
              <w:spacing w:before="60" w:after="60"/>
              <w:rPr>
                <w:sz w:val="20"/>
              </w:rPr>
            </w:pPr>
            <w:r w:rsidRPr="00EC02CA">
              <w:rPr>
                <w:sz w:val="20"/>
                <w:szCs w:val="20"/>
              </w:rPr>
              <w:t xml:space="preserve">National prevalence of non-consensual sharing of sexual images of the child by any </w:t>
            </w:r>
            <w:r w:rsidR="00F47D2B" w:rsidRPr="00EC02CA">
              <w:rPr>
                <w:sz w:val="20"/>
                <w:szCs w:val="20"/>
              </w:rPr>
              <w:t>offender</w:t>
            </w:r>
            <w:r w:rsidRPr="00EC02CA">
              <w:rPr>
                <w:sz w:val="20"/>
                <w:szCs w:val="20"/>
              </w:rPr>
              <w:t>: 7.6%.</w:t>
            </w:r>
            <w:r w:rsidRPr="00EC02CA">
              <w:rPr>
                <w:rStyle w:val="FootnoteReference"/>
                <w:sz w:val="20"/>
                <w:szCs w:val="20"/>
              </w:rPr>
              <w:footnoteReference w:id="120"/>
            </w:r>
          </w:p>
          <w:p w14:paraId="6781E8F6" w14:textId="2F79D537" w:rsidR="00C85126" w:rsidRPr="00EC02CA" w:rsidRDefault="007253B2" w:rsidP="00A920EC">
            <w:pPr>
              <w:keepNext/>
              <w:keepLines/>
              <w:spacing w:before="60" w:after="60"/>
              <w:rPr>
                <w:sz w:val="20"/>
              </w:rPr>
            </w:pPr>
            <w:r w:rsidRPr="00EC02CA">
              <w:rPr>
                <w:sz w:val="20"/>
                <w:szCs w:val="20"/>
              </w:rPr>
              <w:t>80</w:t>
            </w:r>
            <w:r w:rsidR="00562A1B" w:rsidRPr="00EC02CA">
              <w:rPr>
                <w:sz w:val="20"/>
                <w:szCs w:val="20"/>
              </w:rPr>
              <w:t>.6</w:t>
            </w:r>
            <w:r w:rsidRPr="00EC02CA">
              <w:rPr>
                <w:sz w:val="20"/>
                <w:szCs w:val="20"/>
              </w:rPr>
              <w:t>%</w:t>
            </w:r>
            <w:r w:rsidR="008634D1" w:rsidRPr="00EC02CA">
              <w:rPr>
                <w:sz w:val="20"/>
                <w:szCs w:val="20"/>
              </w:rPr>
              <w:t xml:space="preserve"> </w:t>
            </w:r>
            <w:r w:rsidR="00C42EAF" w:rsidRPr="00EC02CA">
              <w:rPr>
                <w:sz w:val="20"/>
                <w:szCs w:val="20"/>
              </w:rPr>
              <w:t xml:space="preserve">of the </w:t>
            </w:r>
            <w:r w:rsidR="0036558E" w:rsidRPr="00EC02CA">
              <w:rPr>
                <w:sz w:val="20"/>
                <w:szCs w:val="20"/>
              </w:rPr>
              <w:t>offenders</w:t>
            </w:r>
            <w:r w:rsidR="00C42EAF" w:rsidRPr="00EC02CA">
              <w:rPr>
                <w:color w:val="215E99" w:themeColor="text2" w:themeTint="BF"/>
                <w:sz w:val="20"/>
                <w:szCs w:val="20"/>
              </w:rPr>
              <w:t xml:space="preserve"> </w:t>
            </w:r>
            <w:r w:rsidR="00C42EAF" w:rsidRPr="00EC02CA">
              <w:rPr>
                <w:sz w:val="20"/>
                <w:szCs w:val="20"/>
              </w:rPr>
              <w:t>were adolescents</w:t>
            </w:r>
            <w:r w:rsidR="000516B3" w:rsidRPr="00EC02CA">
              <w:rPr>
                <w:sz w:val="20"/>
                <w:szCs w:val="20"/>
              </w:rPr>
              <w:t xml:space="preserve"> and 19</w:t>
            </w:r>
            <w:r w:rsidR="006D47E2" w:rsidRPr="00EC02CA">
              <w:rPr>
                <w:sz w:val="20"/>
                <w:szCs w:val="20"/>
              </w:rPr>
              <w:t xml:space="preserve">.3% </w:t>
            </w:r>
            <w:r w:rsidR="00A3549E" w:rsidRPr="00EC02CA">
              <w:rPr>
                <w:sz w:val="20"/>
                <w:szCs w:val="20"/>
              </w:rPr>
              <w:t>were adults.</w:t>
            </w:r>
            <w:r w:rsidR="00A3549E" w:rsidRPr="00EC02CA">
              <w:rPr>
                <w:rStyle w:val="FootnoteReference"/>
                <w:sz w:val="20"/>
                <w:szCs w:val="20"/>
              </w:rPr>
              <w:footnoteReference w:id="121"/>
            </w:r>
          </w:p>
          <w:p w14:paraId="0CCC6654" w14:textId="77777777" w:rsidR="00695636" w:rsidRPr="00EC02CA" w:rsidRDefault="00695636" w:rsidP="00A920EC">
            <w:pPr>
              <w:keepNext/>
              <w:keepLines/>
              <w:spacing w:before="60" w:after="60"/>
              <w:rPr>
                <w:sz w:val="20"/>
              </w:rPr>
            </w:pPr>
            <w:r w:rsidRPr="00EC02CA">
              <w:rPr>
                <w:sz w:val="20"/>
                <w:szCs w:val="20"/>
              </w:rPr>
              <w:t>Experienced by a significantly higher proportion of girls (10.9%) than boys (3.8%).</w:t>
            </w:r>
            <w:r w:rsidRPr="00EC02CA">
              <w:rPr>
                <w:rStyle w:val="FootnoteReference"/>
                <w:sz w:val="20"/>
                <w:szCs w:val="20"/>
              </w:rPr>
              <w:footnoteReference w:id="122"/>
            </w:r>
          </w:p>
        </w:tc>
      </w:tr>
      <w:tr w:rsidR="00695636" w:rsidRPr="00EC02CA" w14:paraId="5666F82B" w14:textId="77777777" w:rsidTr="00A920EC">
        <w:tc>
          <w:tcPr>
            <w:tcW w:w="1454" w:type="dxa"/>
          </w:tcPr>
          <w:p w14:paraId="416D03AC" w14:textId="77777777" w:rsidR="00695636" w:rsidRPr="00EC02CA" w:rsidRDefault="00695636" w:rsidP="00A920EC">
            <w:pPr>
              <w:keepNext/>
              <w:keepLines/>
              <w:spacing w:before="60" w:after="60"/>
              <w:rPr>
                <w:sz w:val="20"/>
              </w:rPr>
            </w:pPr>
            <w:r w:rsidRPr="00EC02CA">
              <w:rPr>
                <w:sz w:val="20"/>
                <w:szCs w:val="20"/>
              </w:rPr>
              <w:t>Age of onset</w:t>
            </w:r>
          </w:p>
        </w:tc>
        <w:tc>
          <w:tcPr>
            <w:tcW w:w="0" w:type="auto"/>
          </w:tcPr>
          <w:p w14:paraId="0E32A6FE" w14:textId="77777777" w:rsidR="00695636" w:rsidRPr="00EC02CA" w:rsidRDefault="00695636" w:rsidP="00A920EC">
            <w:pPr>
              <w:keepNext/>
              <w:keepLines/>
              <w:spacing w:before="60" w:after="60"/>
              <w:rPr>
                <w:sz w:val="20"/>
              </w:rPr>
            </w:pPr>
            <w:r w:rsidRPr="00EC02CA">
              <w:rPr>
                <w:sz w:val="20"/>
                <w:szCs w:val="20"/>
              </w:rPr>
              <w:t>Median age for the onset of non-consensual sharing: 15 years</w:t>
            </w:r>
          </w:p>
          <w:p w14:paraId="483D1904" w14:textId="77777777" w:rsidR="00695636" w:rsidRPr="00EC02CA" w:rsidRDefault="00695636" w:rsidP="00A920EC">
            <w:pPr>
              <w:keepNext/>
              <w:keepLines/>
              <w:spacing w:before="60" w:after="60"/>
              <w:rPr>
                <w:sz w:val="20"/>
              </w:rPr>
            </w:pPr>
            <w:r w:rsidRPr="00EC02CA">
              <w:rPr>
                <w:sz w:val="20"/>
                <w:szCs w:val="20"/>
              </w:rPr>
              <w:t>Children experiencing it for the first time below the age of 11: 8.7%</w:t>
            </w:r>
          </w:p>
          <w:p w14:paraId="6AF597E0" w14:textId="729DD0EF" w:rsidR="00695636" w:rsidRPr="00EC02CA" w:rsidRDefault="00695636" w:rsidP="00A920EC">
            <w:pPr>
              <w:keepNext/>
              <w:keepLines/>
              <w:spacing w:before="60" w:after="60"/>
              <w:rPr>
                <w:sz w:val="20"/>
              </w:rPr>
            </w:pPr>
            <w:r w:rsidRPr="00EC02CA">
              <w:rPr>
                <w:sz w:val="20"/>
                <w:szCs w:val="20"/>
              </w:rPr>
              <w:t>Children experiencing it for the first time between the ages of 12–15: 56.6%</w:t>
            </w:r>
          </w:p>
          <w:p w14:paraId="6AD05C04" w14:textId="293F13D1" w:rsidR="00695636" w:rsidRPr="00EC02CA" w:rsidRDefault="00695636" w:rsidP="00A920EC">
            <w:pPr>
              <w:keepNext/>
              <w:keepLines/>
              <w:spacing w:before="60" w:after="60"/>
              <w:rPr>
                <w:sz w:val="20"/>
              </w:rPr>
            </w:pPr>
            <w:r w:rsidRPr="00EC02CA">
              <w:rPr>
                <w:sz w:val="20"/>
                <w:szCs w:val="20"/>
              </w:rPr>
              <w:t xml:space="preserve">Children experiencing it for the first time </w:t>
            </w:r>
            <w:r w:rsidR="007556C9" w:rsidRPr="00EC02CA">
              <w:rPr>
                <w:sz w:val="20"/>
                <w:szCs w:val="20"/>
              </w:rPr>
              <w:t xml:space="preserve">aged </w:t>
            </w:r>
            <w:r w:rsidRPr="00EC02CA">
              <w:rPr>
                <w:sz w:val="20"/>
                <w:szCs w:val="20"/>
              </w:rPr>
              <w:t>16</w:t>
            </w:r>
            <w:r w:rsidR="007556C9" w:rsidRPr="00EC02CA">
              <w:rPr>
                <w:sz w:val="20"/>
                <w:szCs w:val="20"/>
              </w:rPr>
              <w:t>–</w:t>
            </w:r>
            <w:r w:rsidRPr="00EC02CA">
              <w:rPr>
                <w:sz w:val="20"/>
                <w:szCs w:val="20"/>
              </w:rPr>
              <w:t>17: 34.7%</w:t>
            </w:r>
            <w:r w:rsidRPr="00EC02CA">
              <w:rPr>
                <w:rStyle w:val="FootnoteReference"/>
                <w:sz w:val="20"/>
                <w:szCs w:val="20"/>
              </w:rPr>
              <w:footnoteReference w:id="123"/>
            </w:r>
          </w:p>
        </w:tc>
      </w:tr>
      <w:tr w:rsidR="00695636" w:rsidRPr="00EC02CA" w14:paraId="5E923CC1" w14:textId="77777777" w:rsidTr="00A920EC">
        <w:tc>
          <w:tcPr>
            <w:tcW w:w="1454" w:type="dxa"/>
          </w:tcPr>
          <w:p w14:paraId="474B670E" w14:textId="18BF9420" w:rsidR="00695636" w:rsidRPr="00EC02CA" w:rsidRDefault="00174A9C" w:rsidP="00A920EC">
            <w:pPr>
              <w:keepNext/>
              <w:keepLines/>
              <w:spacing w:before="60" w:after="60"/>
              <w:rPr>
                <w:sz w:val="20"/>
              </w:rPr>
            </w:pPr>
            <w:r w:rsidRPr="00EC02CA">
              <w:rPr>
                <w:sz w:val="20"/>
                <w:szCs w:val="20"/>
              </w:rPr>
              <w:t>Offender</w:t>
            </w:r>
            <w:r w:rsidR="00695636" w:rsidRPr="00EC02CA">
              <w:rPr>
                <w:sz w:val="20"/>
                <w:szCs w:val="20"/>
              </w:rPr>
              <w:t>s</w:t>
            </w:r>
          </w:p>
        </w:tc>
        <w:tc>
          <w:tcPr>
            <w:tcW w:w="0" w:type="auto"/>
          </w:tcPr>
          <w:p w14:paraId="32BD7155" w14:textId="77777777" w:rsidR="00695636" w:rsidRPr="00EC02CA" w:rsidRDefault="00695636" w:rsidP="00A920EC">
            <w:pPr>
              <w:keepNext/>
              <w:keepLines/>
              <w:spacing w:before="60" w:after="60"/>
              <w:rPr>
                <w:sz w:val="20"/>
              </w:rPr>
            </w:pPr>
            <w:r w:rsidRPr="00EC02CA">
              <w:rPr>
                <w:sz w:val="20"/>
                <w:szCs w:val="20"/>
              </w:rPr>
              <w:t>Most often inflicted by a known adolescent (non-romantic relationships): 48.8%.</w:t>
            </w:r>
          </w:p>
          <w:p w14:paraId="28B19D47" w14:textId="77777777" w:rsidR="00695636" w:rsidRPr="00EC02CA" w:rsidRDefault="00695636" w:rsidP="00A920EC">
            <w:pPr>
              <w:keepNext/>
              <w:keepLines/>
              <w:spacing w:before="60" w:after="60"/>
              <w:rPr>
                <w:sz w:val="20"/>
              </w:rPr>
            </w:pPr>
            <w:r w:rsidRPr="00EC02CA">
              <w:rPr>
                <w:sz w:val="20"/>
                <w:szCs w:val="20"/>
              </w:rPr>
              <w:t>Inflicted by known adolescent (romantic relationships): 23.4%</w:t>
            </w:r>
          </w:p>
          <w:p w14:paraId="40EB66A3" w14:textId="77777777" w:rsidR="00695636" w:rsidRPr="00EC02CA" w:rsidRDefault="00695636" w:rsidP="00A920EC">
            <w:pPr>
              <w:keepNext/>
              <w:keepLines/>
              <w:spacing w:before="60" w:after="60"/>
              <w:rPr>
                <w:sz w:val="20"/>
              </w:rPr>
            </w:pPr>
            <w:r w:rsidRPr="00EC02CA">
              <w:rPr>
                <w:sz w:val="20"/>
                <w:szCs w:val="20"/>
              </w:rPr>
              <w:t>Any class of known adolescent: 72.2%</w:t>
            </w:r>
          </w:p>
          <w:p w14:paraId="21CD5DBF" w14:textId="77777777" w:rsidR="00695636" w:rsidRPr="00EC02CA" w:rsidRDefault="00695636" w:rsidP="00A920EC">
            <w:pPr>
              <w:keepNext/>
              <w:keepLines/>
              <w:spacing w:before="60" w:after="60"/>
              <w:rPr>
                <w:sz w:val="20"/>
              </w:rPr>
            </w:pPr>
            <w:r w:rsidRPr="00EC02CA">
              <w:rPr>
                <w:sz w:val="20"/>
                <w:szCs w:val="20"/>
              </w:rPr>
              <w:t>Unknown adolescent: 7.6%</w:t>
            </w:r>
            <w:r w:rsidRPr="00EC02CA">
              <w:rPr>
                <w:rStyle w:val="FootnoteReference"/>
                <w:sz w:val="20"/>
                <w:szCs w:val="20"/>
              </w:rPr>
              <w:footnoteReference w:id="124"/>
            </w:r>
          </w:p>
        </w:tc>
      </w:tr>
    </w:tbl>
    <w:p w14:paraId="2B31A62F" w14:textId="73E7F5D7" w:rsidR="00695636" w:rsidRPr="00EC02CA" w:rsidRDefault="00695636" w:rsidP="002F0007">
      <w:pPr>
        <w:pStyle w:val="NormalNumberedTextTLRI"/>
      </w:pPr>
      <w:r w:rsidRPr="00EC02CA">
        <w:t>Of the 8,503 participants in the ACMS, 7.6% (</w:t>
      </w:r>
      <w:r w:rsidR="00440328" w:rsidRPr="00EC02CA">
        <w:t>256</w:t>
      </w:r>
      <w:r w:rsidRPr="00EC02CA">
        <w:t>) reported that a sexual image of themselves was shared when they were a child – most commonly when they were aged 15 years.</w:t>
      </w:r>
      <w:r w:rsidR="00440328" w:rsidRPr="00EC02CA">
        <w:rPr>
          <w:rStyle w:val="FootnoteReference"/>
        </w:rPr>
        <w:footnoteReference w:id="125"/>
      </w:r>
      <w:r w:rsidRPr="00EC02CA">
        <w:t xml:space="preserve"> In the </w:t>
      </w:r>
      <w:r w:rsidR="00BE52A0" w:rsidRPr="00EC02CA">
        <w:t>80.6</w:t>
      </w:r>
      <w:r w:rsidRPr="00EC02CA">
        <w:t xml:space="preserve">% of cases where the </w:t>
      </w:r>
      <w:r w:rsidR="00174A9C" w:rsidRPr="00EC02CA">
        <w:t>offende</w:t>
      </w:r>
      <w:r w:rsidRPr="00EC02CA">
        <w:t xml:space="preserve">r was an adolescent, 72.2% were known to the </w:t>
      </w:r>
      <w:r w:rsidR="00886B70" w:rsidRPr="00EC02CA">
        <w:t>victim-survivor</w:t>
      </w:r>
      <w:r w:rsidR="00513BB7" w:rsidRPr="00EC02CA">
        <w:t>,</w:t>
      </w:r>
      <w:r w:rsidR="00174A9C" w:rsidRPr="00EC02CA">
        <w:t xml:space="preserve"> </w:t>
      </w:r>
      <w:r w:rsidRPr="00EC02CA">
        <w:t>either through non-romantic (48.8%) or romantic (23.4%) relationships.</w:t>
      </w:r>
      <w:r w:rsidRPr="00EC02CA">
        <w:rPr>
          <w:rStyle w:val="FootnoteReference"/>
        </w:rPr>
        <w:footnoteReference w:id="126"/>
      </w:r>
      <w:r w:rsidRPr="00EC02CA">
        <w:t xml:space="preserve"> </w:t>
      </w:r>
    </w:p>
    <w:p w14:paraId="2AC12C65" w14:textId="74046292" w:rsidR="00695636" w:rsidRPr="00EC02CA" w:rsidRDefault="00695636" w:rsidP="002F0007">
      <w:pPr>
        <w:pStyle w:val="NormalNumberedTextTLRI"/>
      </w:pPr>
      <w:r w:rsidRPr="00EC02CA">
        <w:t xml:space="preserve">Other emerging Australian research has examined the online sexual behaviour of young people. The </w:t>
      </w:r>
      <w:r w:rsidR="005D11BF" w:rsidRPr="00EC02CA">
        <w:t>AIC</w:t>
      </w:r>
      <w:r w:rsidRPr="00EC02CA">
        <w:t xml:space="preserve"> studied sexual extortion of Australian adolescents.</w:t>
      </w:r>
      <w:r w:rsidRPr="00EC02CA">
        <w:rPr>
          <w:rStyle w:val="FootnoteReference"/>
        </w:rPr>
        <w:footnoteReference w:id="127"/>
      </w:r>
      <w:r w:rsidRPr="00EC02CA">
        <w:t xml:space="preserve"> This study surveyed young people’s experience as </w:t>
      </w:r>
      <w:r w:rsidR="003C2332" w:rsidRPr="00EC02CA">
        <w:t>victim-survivors</w:t>
      </w:r>
      <w:r w:rsidR="00174A9C" w:rsidRPr="00EC02CA">
        <w:t xml:space="preserve"> </w:t>
      </w:r>
      <w:r w:rsidRPr="00EC02CA">
        <w:t>of sexual extortion (</w:t>
      </w:r>
      <w:r w:rsidR="002F2E05" w:rsidRPr="00EC02CA">
        <w:t>1</w:t>
      </w:r>
      <w:r w:rsidR="00513BB7" w:rsidRPr="00EC02CA">
        <w:t>,</w:t>
      </w:r>
      <w:r w:rsidR="002F2E05" w:rsidRPr="00EC02CA">
        <w:t>953</w:t>
      </w:r>
      <w:r w:rsidRPr="00EC02CA">
        <w:t>). One in every ten participants (11.3%) indicated they had experienced sexual extortion in their lifetime.</w:t>
      </w:r>
      <w:r w:rsidRPr="00EC02CA">
        <w:rPr>
          <w:rStyle w:val="FootnoteReference"/>
        </w:rPr>
        <w:footnoteReference w:id="128"/>
      </w:r>
      <w:r w:rsidRPr="00EC02CA">
        <w:t xml:space="preserve"> Almost two in three (64.6%) adolescents who experienced sexual extortion said it was </w:t>
      </w:r>
      <w:r w:rsidR="00A41B65" w:rsidRPr="00EC02CA">
        <w:t>committed</w:t>
      </w:r>
      <w:r w:rsidRPr="00EC02CA">
        <w:t xml:space="preserve"> by someone they had met online and had never met in person.</w:t>
      </w:r>
      <w:r w:rsidRPr="00EC02CA">
        <w:rPr>
          <w:rStyle w:val="FootnoteReference"/>
        </w:rPr>
        <w:footnoteReference w:id="129"/>
      </w:r>
      <w:r w:rsidRPr="00EC02CA">
        <w:t xml:space="preserve"> No information was provided about the characteristics of </w:t>
      </w:r>
      <w:r w:rsidR="00A41B65" w:rsidRPr="00EC02CA">
        <w:t xml:space="preserve">offenders </w:t>
      </w:r>
      <w:r w:rsidRPr="00EC02CA">
        <w:t xml:space="preserve">who were known to the young people, and so this study does not provide detail about the incidence of sexual extortion of young people by other young people.  </w:t>
      </w:r>
    </w:p>
    <w:p w14:paraId="4FD0F7EE" w14:textId="62FDDF52" w:rsidR="00695636" w:rsidRPr="00EC02CA" w:rsidRDefault="00695636" w:rsidP="002F0007">
      <w:pPr>
        <w:pStyle w:val="NormalNumberedTextTLRI"/>
      </w:pPr>
      <w:r w:rsidRPr="00EC02CA">
        <w:t>The</w:t>
      </w:r>
      <w:r w:rsidRPr="00EC02CA">
        <w:rPr>
          <w:b/>
          <w:bCs/>
        </w:rPr>
        <w:t xml:space="preserve"> </w:t>
      </w:r>
      <w:r w:rsidRPr="00EC02CA">
        <w:t>Office of the eSafety Commissioner</w:t>
      </w:r>
      <w:r w:rsidRPr="00EC02CA">
        <w:rPr>
          <w:b/>
          <w:bCs/>
        </w:rPr>
        <w:t xml:space="preserve"> </w:t>
      </w:r>
      <w:r w:rsidRPr="00EC02CA">
        <w:t xml:space="preserve">(eSafety) has examined the extent of people’s experience of image-based abuse (IBA) by studying the operation of the IBA Reporting and Removal </w:t>
      </w:r>
      <w:r w:rsidR="00DD65A8" w:rsidRPr="00EC02CA">
        <w:t>S</w:t>
      </w:r>
      <w:r w:rsidRPr="00EC02CA">
        <w:t>cheme over its first five years. IBA has three key forms: (1) non-consensual creation or possession of intimate images; (2) non-consensual distribution of intimate images; and (3) threats to share intimate images.</w:t>
      </w:r>
      <w:r w:rsidRPr="00EC02CA">
        <w:rPr>
          <w:rStyle w:val="FootnoteReference"/>
        </w:rPr>
        <w:footnoteReference w:id="130"/>
      </w:r>
      <w:r w:rsidRPr="00EC02CA">
        <w:t xml:space="preserve"> The IBA data reported on adult and youth victimisation and categorised most reports involving a </w:t>
      </w:r>
      <w:r w:rsidR="00886B70" w:rsidRPr="00EC02CA">
        <w:t>victim-survivor</w:t>
      </w:r>
      <w:r w:rsidRPr="00EC02CA">
        <w:t xml:space="preserve"> </w:t>
      </w:r>
      <w:r w:rsidR="00DD65A8" w:rsidRPr="00EC02CA">
        <w:t xml:space="preserve">aged </w:t>
      </w:r>
      <w:r w:rsidRPr="00EC02CA">
        <w:t>under 18 as ‘child sexual exploitation’ or ‘peer-group sharing/threatened sharing’.</w:t>
      </w:r>
      <w:r w:rsidRPr="00EC02CA">
        <w:rPr>
          <w:rStyle w:val="FootnoteReference"/>
        </w:rPr>
        <w:footnoteReference w:id="131"/>
      </w:r>
      <w:r w:rsidRPr="00EC02CA">
        <w:t xml:space="preserve"> It found that in the period 18 August 2018 to 30 June 2023, eSafety handled 19,468 IBA reports, with 4,649 (23.9%) of all reports made by or on behalf of victims </w:t>
      </w:r>
      <w:r w:rsidR="00DD65A8" w:rsidRPr="00EC02CA">
        <w:t xml:space="preserve">aged </w:t>
      </w:r>
      <w:r w:rsidRPr="00EC02CA">
        <w:t>under 18.</w:t>
      </w:r>
      <w:r w:rsidRPr="00EC02CA">
        <w:rPr>
          <w:rStyle w:val="FootnoteReference"/>
        </w:rPr>
        <w:footnoteReference w:id="132"/>
      </w:r>
      <w:r w:rsidRPr="00EC02CA">
        <w:t xml:space="preserve"> Of these reports, nearly six in ten (59.8%) were categorised as child sexual exploitation and ‘[t]he other most common type of report … involving victims under the age of 18 was peer-group sharing’ (16.1%).</w:t>
      </w:r>
      <w:r w:rsidRPr="00EC02CA">
        <w:rPr>
          <w:rStyle w:val="FootnoteReference"/>
        </w:rPr>
        <w:footnoteReference w:id="133"/>
      </w:r>
      <w:r w:rsidRPr="00EC02CA">
        <w:t xml:space="preserve"> It was noted that ‘unlike child exploitation, the person responsib</w:t>
      </w:r>
      <w:r w:rsidR="009250E3" w:rsidRPr="00EC02CA">
        <w:t xml:space="preserve">le </w:t>
      </w:r>
      <w:r w:rsidRPr="00EC02CA">
        <w:t>for peer-group sharing is similar in age to the victim’.</w:t>
      </w:r>
      <w:r w:rsidRPr="00EC02CA">
        <w:rPr>
          <w:rStyle w:val="FootnoteReference"/>
        </w:rPr>
        <w:footnoteReference w:id="134"/>
      </w:r>
    </w:p>
    <w:p w14:paraId="1EC44C1D" w14:textId="0FAB7B8B" w:rsidR="00695636" w:rsidRPr="00EC02CA" w:rsidRDefault="00695636" w:rsidP="002F0007">
      <w:pPr>
        <w:pStyle w:val="NormalNumberedTextTLRI"/>
      </w:pPr>
      <w:r w:rsidRPr="00EC02CA">
        <w:t>Recorded crime data</w:t>
      </w:r>
      <w:r w:rsidRPr="00EC02CA">
        <w:rPr>
          <w:b/>
          <w:bCs/>
        </w:rPr>
        <w:t xml:space="preserve"> </w:t>
      </w:r>
      <w:r w:rsidRPr="00EC02CA">
        <w:t xml:space="preserve">collated by the ABS (as noted at </w:t>
      </w:r>
      <w:r w:rsidR="00745973" w:rsidRPr="00EC02CA">
        <w:t>[</w:t>
      </w:r>
      <w:r w:rsidR="00093801" w:rsidRPr="00EC02CA">
        <w:fldChar w:fldCharType="begin"/>
      </w:r>
      <w:r w:rsidR="00093801" w:rsidRPr="00EC02CA">
        <w:instrText xml:space="preserve"> REF _Ref218240008 \r \h </w:instrText>
      </w:r>
      <w:r w:rsidR="00093801" w:rsidRPr="00EC02CA">
        <w:fldChar w:fldCharType="separate"/>
      </w:r>
      <w:r w:rsidR="007D7830">
        <w:t>2.4.17</w:t>
      </w:r>
      <w:r w:rsidR="00093801" w:rsidRPr="00EC02CA">
        <w:fldChar w:fldCharType="end"/>
      </w:r>
      <w:r w:rsidR="00745973" w:rsidRPr="00EC02CA">
        <w:t>]</w:t>
      </w:r>
      <w:r w:rsidRPr="00EC02CA">
        <w:t xml:space="preserve">; Figure </w:t>
      </w:r>
      <w:r w:rsidR="00745973" w:rsidRPr="00EC02CA">
        <w:t>2.2</w:t>
      </w:r>
      <w:r w:rsidRPr="00EC02CA">
        <w:t>) show an increase over time in the rate of non-assaultive sexual offending</w:t>
      </w:r>
      <w:r w:rsidR="00DD65A8" w:rsidRPr="00EC02CA">
        <w:t>,</w:t>
      </w:r>
      <w:r w:rsidRPr="00EC02CA">
        <w:t xml:space="preserve"> and as this category includes child abuse material offences, this trend potentially reflects an increasing shift to online and technologically-facilitated sexual offending behaviour among young people.</w:t>
      </w:r>
      <w:r w:rsidRPr="00EC02CA">
        <w:rPr>
          <w:rStyle w:val="FootnoteReference"/>
        </w:rPr>
        <w:footnoteReference w:id="135"/>
      </w:r>
      <w:r w:rsidRPr="00EC02CA">
        <w:t xml:space="preserve"> </w:t>
      </w:r>
    </w:p>
    <w:p w14:paraId="6BA8C887" w14:textId="39F2A84C" w:rsidR="00695636" w:rsidRPr="00EC02CA" w:rsidRDefault="00695636" w:rsidP="002F0007">
      <w:pPr>
        <w:pStyle w:val="NormalNumberedTextTLRI"/>
      </w:pPr>
      <w:r w:rsidRPr="00EC02CA">
        <w:t>For the period 2022</w:t>
      </w:r>
      <w:r w:rsidR="00DD65A8" w:rsidRPr="00EC02CA">
        <w:t>–</w:t>
      </w:r>
      <w:r w:rsidRPr="00EC02CA">
        <w:t>23, research by the AIC in relation to New South Wales, Victoria, Queensland, Western Australia and the Northern Territory shows that</w:t>
      </w:r>
      <w:r w:rsidR="00DD65A8" w:rsidRPr="00EC02CA">
        <w:t>,</w:t>
      </w:r>
      <w:r w:rsidRPr="00EC02CA">
        <w:t xml:space="preserve"> of the alleged sexual offenders aged 10</w:t>
      </w:r>
      <w:r w:rsidR="00DD65A8" w:rsidRPr="00EC02CA">
        <w:t>–</w:t>
      </w:r>
      <w:r w:rsidRPr="00EC02CA">
        <w:t xml:space="preserve">17, 51% (634) were proceeded against for </w:t>
      </w:r>
      <w:r w:rsidR="00DD65A8" w:rsidRPr="00EC02CA">
        <w:t xml:space="preserve">the </w:t>
      </w:r>
      <w:r w:rsidRPr="00EC02CA">
        <w:t xml:space="preserve">handling of unlawful sexual material </w:t>
      </w:r>
      <w:r w:rsidR="0061472A" w:rsidRPr="00EC02CA">
        <w:t xml:space="preserve">and more than half were proceedings against for penetrative </w:t>
      </w:r>
      <w:r w:rsidR="005C0E13" w:rsidRPr="00EC02CA">
        <w:t xml:space="preserve">or non-penetrative sexual offences </w:t>
      </w:r>
      <w:r w:rsidRPr="00EC02CA">
        <w:t>(53%, 659)).</w:t>
      </w:r>
      <w:r w:rsidRPr="00EC02CA">
        <w:rPr>
          <w:rStyle w:val="FootnoteReference"/>
        </w:rPr>
        <w:footnoteReference w:id="136"/>
      </w:r>
      <w:r w:rsidRPr="00EC02CA">
        <w:t xml:space="preserve"> These offences comprised </w:t>
      </w:r>
      <w:r w:rsidR="002A40C1" w:rsidRPr="00EC02CA">
        <w:t>child sexual abuse material</w:t>
      </w:r>
      <w:r w:rsidRPr="00EC02CA">
        <w:t xml:space="preserve"> and </w:t>
      </w:r>
      <w:r w:rsidR="002A40C1" w:rsidRPr="00EC02CA">
        <w:t>image based sexual abuse</w:t>
      </w:r>
      <w:r w:rsidRPr="00EC02CA">
        <w:t xml:space="preserve"> offences.</w:t>
      </w:r>
      <w:r w:rsidRPr="00EC02CA">
        <w:rPr>
          <w:rStyle w:val="FootnoteReference"/>
        </w:rPr>
        <w:footnoteReference w:id="137"/>
      </w:r>
      <w:r w:rsidRPr="00EC02CA">
        <w:t xml:space="preserve"> These data show that a greater number of females were proceeded against for online offending than for physical sexual offending.</w:t>
      </w:r>
      <w:r w:rsidRPr="00EC02CA">
        <w:rPr>
          <w:rStyle w:val="FootnoteReference"/>
        </w:rPr>
        <w:footnoteReference w:id="138"/>
      </w:r>
      <w:r w:rsidRPr="00EC02CA">
        <w:t xml:space="preserve"> There were also 33 young people (28 males and </w:t>
      </w:r>
      <w:r w:rsidR="002754A4" w:rsidRPr="00EC02CA">
        <w:t>five</w:t>
      </w:r>
      <w:r w:rsidRPr="00EC02CA">
        <w:t xml:space="preserve"> females) proceeded against for enabling unlawful sexual conduct</w:t>
      </w:r>
      <w:r w:rsidR="00DD65A8" w:rsidRPr="00EC02CA">
        <w:t>,</w:t>
      </w:r>
      <w:r w:rsidRPr="00EC02CA">
        <w:t xml:space="preserve"> including grooming children for a sexual offence and using a carriage service to procure a child for sexual activity.</w:t>
      </w:r>
      <w:r w:rsidRPr="00EC02CA">
        <w:rPr>
          <w:rStyle w:val="FootnoteReference"/>
        </w:rPr>
        <w:footnoteReference w:id="139"/>
      </w:r>
    </w:p>
    <w:p w14:paraId="3DE732C7" w14:textId="77777777" w:rsidR="00695636" w:rsidRPr="00EC02CA" w:rsidRDefault="00695636" w:rsidP="00A920EC">
      <w:pPr>
        <w:pStyle w:val="TLRISubheading"/>
      </w:pPr>
      <w:bookmarkStart w:id="107" w:name="_Toc211849367"/>
      <w:bookmarkStart w:id="108" w:name="_Toc218157263"/>
      <w:r w:rsidRPr="00EC02CA">
        <w:t>Tasmanian data</w:t>
      </w:r>
      <w:bookmarkEnd w:id="107"/>
      <w:bookmarkEnd w:id="108"/>
    </w:p>
    <w:p w14:paraId="6993D3A8" w14:textId="69FBAFDF" w:rsidR="003F511C" w:rsidRPr="00EC02CA" w:rsidRDefault="00695636" w:rsidP="002F0007">
      <w:pPr>
        <w:pStyle w:val="NormalNumberedTextTLRI"/>
      </w:pPr>
      <w:r w:rsidRPr="00EC02CA">
        <w:t xml:space="preserve">Few studies have been conducted on sexual offending by young Tasmanians. Research examining the prevalence of teen domestic violence and abuse </w:t>
      </w:r>
      <w:r w:rsidR="006B6A46" w:rsidRPr="00EC02CA">
        <w:t>(including sexual violence</w:t>
      </w:r>
      <w:r w:rsidR="004B4D26" w:rsidRPr="00EC02CA">
        <w:t xml:space="preserve">) </w:t>
      </w:r>
      <w:r w:rsidRPr="00EC02CA">
        <w:t xml:space="preserve">experienced </w:t>
      </w:r>
      <w:r w:rsidR="00DD65A8" w:rsidRPr="00EC02CA">
        <w:t xml:space="preserve">by those aged </w:t>
      </w:r>
      <w:r w:rsidRPr="00EC02CA">
        <w:t xml:space="preserve">under 18 analysed </w:t>
      </w:r>
      <w:r w:rsidR="005B193F" w:rsidRPr="00EC02CA">
        <w:t xml:space="preserve">Tasmanian </w:t>
      </w:r>
      <w:r w:rsidRPr="00EC02CA">
        <w:t xml:space="preserve">data collected as part of the </w:t>
      </w:r>
      <w:r w:rsidRPr="00EC02CA">
        <w:rPr>
          <w:i/>
          <w:iCs/>
        </w:rPr>
        <w:t>Longitudinal Study of Australian Children.</w:t>
      </w:r>
      <w:r w:rsidRPr="00EC02CA">
        <w:t xml:space="preserve"> Of the </w:t>
      </w:r>
      <w:r w:rsidR="00182F94" w:rsidRPr="00EC02CA">
        <w:t>69</w:t>
      </w:r>
      <w:r w:rsidR="005460BC" w:rsidRPr="00EC02CA">
        <w:t xml:space="preserve"> Tasmanian</w:t>
      </w:r>
      <w:r w:rsidRPr="00EC02CA">
        <w:t xml:space="preserve"> participants, 14.9% of males and 16.5% of females aged 18</w:t>
      </w:r>
      <w:r w:rsidR="00DD65A8" w:rsidRPr="00EC02CA">
        <w:t>–</w:t>
      </w:r>
      <w:r w:rsidRPr="00EC02CA">
        <w:t>19 reported experiencing sexual abuse</w:t>
      </w:r>
      <w:r w:rsidR="004B4D26" w:rsidRPr="00EC02CA">
        <w:t xml:space="preserve"> from a partner</w:t>
      </w:r>
      <w:r w:rsidRPr="00EC02CA">
        <w:t xml:space="preserve"> in the past 12 months (</w:t>
      </w:r>
      <w:r w:rsidR="00DD65A8" w:rsidRPr="00EC02CA">
        <w:t xml:space="preserve">a </w:t>
      </w:r>
      <w:r w:rsidRPr="00EC02CA">
        <w:t>combined 15.8%).</w:t>
      </w:r>
      <w:r w:rsidRPr="00EC02CA">
        <w:rPr>
          <w:rStyle w:val="FootnoteReference"/>
        </w:rPr>
        <w:footnoteReference w:id="140"/>
      </w:r>
      <w:r w:rsidRPr="00EC02CA">
        <w:t xml:space="preserve"> This research does not indicate the age of the partner, and </w:t>
      </w:r>
      <w:r w:rsidR="00FD2D73" w:rsidRPr="00EC02CA">
        <w:t xml:space="preserve">also does not indicate </w:t>
      </w:r>
      <w:r w:rsidR="00B24029" w:rsidRPr="00EC02CA">
        <w:t xml:space="preserve">the </w:t>
      </w:r>
      <w:r w:rsidR="00F11F8E" w:rsidRPr="00EC02CA">
        <w:t>frequency</w:t>
      </w:r>
      <w:r w:rsidR="00B24029" w:rsidRPr="00EC02CA">
        <w:t xml:space="preserve"> of the</w:t>
      </w:r>
      <w:r w:rsidR="002D0231" w:rsidRPr="00EC02CA">
        <w:t xml:space="preserve"> sexual abuse</w:t>
      </w:r>
      <w:r w:rsidR="00B24029" w:rsidRPr="00EC02CA">
        <w:t xml:space="preserve"> </w:t>
      </w:r>
      <w:r w:rsidR="00FE46CF" w:rsidRPr="00EC02CA">
        <w:t>which had</w:t>
      </w:r>
      <w:r w:rsidR="002D0231" w:rsidRPr="00EC02CA">
        <w:t xml:space="preserve"> </w:t>
      </w:r>
      <w:r w:rsidR="00B24029" w:rsidRPr="00EC02CA">
        <w:t xml:space="preserve">occurred in the past 12 months </w:t>
      </w:r>
      <w:r w:rsidR="00FE46CF" w:rsidRPr="00EC02CA">
        <w:t xml:space="preserve">related to sexual abuse when the </w:t>
      </w:r>
      <w:r w:rsidR="009D439B" w:rsidRPr="00EC02CA">
        <w:t xml:space="preserve">teenager was </w:t>
      </w:r>
      <w:r w:rsidR="00DD65A8" w:rsidRPr="00EC02CA">
        <w:t xml:space="preserve">aged </w:t>
      </w:r>
      <w:r w:rsidR="009D439B" w:rsidRPr="00EC02CA">
        <w:t>under 18. This means</w:t>
      </w:r>
      <w:r w:rsidRPr="00EC02CA">
        <w:t xml:space="preserve"> is not possible to determine the extent </w:t>
      </w:r>
      <w:r w:rsidR="00DD65A8" w:rsidRPr="00EC02CA">
        <w:t xml:space="preserve">to which the reported </w:t>
      </w:r>
      <w:r w:rsidRPr="00EC02CA">
        <w:t xml:space="preserve">sexual offending </w:t>
      </w:r>
      <w:r w:rsidR="00F11F8E" w:rsidRPr="00EC02CA">
        <w:t>against</w:t>
      </w:r>
      <w:r w:rsidR="009D439B" w:rsidRPr="00EC02CA">
        <w:t xml:space="preserve"> </w:t>
      </w:r>
      <w:r w:rsidR="00DD65A8" w:rsidRPr="00EC02CA">
        <w:t>the</w:t>
      </w:r>
      <w:r w:rsidR="009D439B" w:rsidRPr="00EC02CA">
        <w:t xml:space="preserve"> person </w:t>
      </w:r>
      <w:r w:rsidR="00DD65A8" w:rsidRPr="00EC02CA">
        <w:t xml:space="preserve">aged </w:t>
      </w:r>
      <w:r w:rsidR="009D439B" w:rsidRPr="00EC02CA">
        <w:t>under 18</w:t>
      </w:r>
      <w:r w:rsidR="00050BD0" w:rsidRPr="00EC02CA">
        <w:t xml:space="preserve"> </w:t>
      </w:r>
      <w:r w:rsidR="00DD65A8" w:rsidRPr="00EC02CA">
        <w:t xml:space="preserve">was </w:t>
      </w:r>
      <w:r w:rsidR="00760C66" w:rsidRPr="00EC02CA">
        <w:t xml:space="preserve">committed </w:t>
      </w:r>
      <w:r w:rsidRPr="00EC02CA">
        <w:t xml:space="preserve">by </w:t>
      </w:r>
      <w:r w:rsidR="009D439B" w:rsidRPr="00EC02CA">
        <w:t>another</w:t>
      </w:r>
      <w:r w:rsidRPr="00EC02CA">
        <w:t xml:space="preserve"> young </w:t>
      </w:r>
      <w:r w:rsidR="009D439B" w:rsidRPr="00EC02CA">
        <w:t>person.</w:t>
      </w:r>
      <w:r w:rsidRPr="00EC02CA">
        <w:t xml:space="preserve"> In interviews with 17 young Tasmanians</w:t>
      </w:r>
      <w:r w:rsidR="342B751A" w:rsidRPr="00EC02CA">
        <w:t>,</w:t>
      </w:r>
      <w:r w:rsidRPr="00EC02CA">
        <w:t xml:space="preserve"> </w:t>
      </w:r>
      <w:r w:rsidR="00F255B9" w:rsidRPr="00EC02CA">
        <w:t>who had experience</w:t>
      </w:r>
      <w:r w:rsidR="00760C66" w:rsidRPr="00EC02CA">
        <w:t>d</w:t>
      </w:r>
      <w:r w:rsidR="00F255B9" w:rsidRPr="00EC02CA">
        <w:t xml:space="preserve"> abuse from a former partner</w:t>
      </w:r>
      <w:r w:rsidR="0053387B" w:rsidRPr="00EC02CA">
        <w:t xml:space="preserve">, </w:t>
      </w:r>
      <w:r w:rsidR="006C4398" w:rsidRPr="00EC02CA">
        <w:t xml:space="preserve">information was provided </w:t>
      </w:r>
      <w:r w:rsidR="00760C66" w:rsidRPr="00EC02CA">
        <w:t xml:space="preserve">concerning </w:t>
      </w:r>
      <w:r w:rsidR="006C4398" w:rsidRPr="00EC02CA">
        <w:t xml:space="preserve">27 </w:t>
      </w:r>
      <w:r w:rsidR="009A00FD" w:rsidRPr="00EC02CA">
        <w:t>relationships</w:t>
      </w:r>
      <w:r w:rsidR="00760C66" w:rsidRPr="00EC02CA">
        <w:t>,</w:t>
      </w:r>
      <w:r w:rsidR="006C4398" w:rsidRPr="00EC02CA">
        <w:t xml:space="preserve"> in which</w:t>
      </w:r>
      <w:r w:rsidR="003F511C" w:rsidRPr="00EC02CA">
        <w:t xml:space="preserve"> they had experienced:</w:t>
      </w:r>
    </w:p>
    <w:p w14:paraId="0B1F9AF7" w14:textId="7796EBA1" w:rsidR="00526BAA" w:rsidRPr="00EC02CA" w:rsidRDefault="003F511C" w:rsidP="00695636">
      <w:pPr>
        <w:pStyle w:val="DotPointTLRI"/>
      </w:pPr>
      <w:r w:rsidRPr="00EC02CA">
        <w:t>physical violence in 21 relationships</w:t>
      </w:r>
      <w:r w:rsidRPr="00EC02CA">
        <w:rPr>
          <w:rStyle w:val="FootnoteReference"/>
        </w:rPr>
        <w:footnoteReference w:id="141"/>
      </w:r>
      <w:r w:rsidRPr="00EC02CA">
        <w:t xml:space="preserve"> </w:t>
      </w:r>
    </w:p>
    <w:p w14:paraId="0E8AA394" w14:textId="468C0355" w:rsidR="00695636" w:rsidRPr="00EC02CA" w:rsidRDefault="00526BAA" w:rsidP="00695636">
      <w:pPr>
        <w:pStyle w:val="DotPointTLRI"/>
      </w:pPr>
      <w:r w:rsidRPr="00EC02CA">
        <w:t>s</w:t>
      </w:r>
      <w:r w:rsidR="00695636" w:rsidRPr="00EC02CA">
        <w:t>exual violence, as well as abuse through physical force, coercion and forced intoxication</w:t>
      </w:r>
      <w:r w:rsidR="00BD09A5">
        <w:t>,</w:t>
      </w:r>
      <w:r w:rsidRPr="00EC02CA">
        <w:t xml:space="preserve"> </w:t>
      </w:r>
      <w:r w:rsidR="00050BD0" w:rsidRPr="00EC02CA">
        <w:t>in</w:t>
      </w:r>
      <w:r w:rsidRPr="00EC02CA">
        <w:t xml:space="preserve"> 18 relationships</w:t>
      </w:r>
      <w:r w:rsidR="00695636" w:rsidRPr="00EC02CA">
        <w:t>.</w:t>
      </w:r>
      <w:r w:rsidR="00695636" w:rsidRPr="00EC02CA">
        <w:rPr>
          <w:rStyle w:val="FootnoteReference"/>
        </w:rPr>
        <w:footnoteReference w:id="142"/>
      </w:r>
    </w:p>
    <w:p w14:paraId="77B20B47" w14:textId="1EE32C53" w:rsidR="00695636" w:rsidRPr="00EC02CA" w:rsidRDefault="00695636" w:rsidP="002F0007">
      <w:pPr>
        <w:pStyle w:val="NormalNumberedTextTLRI"/>
      </w:pPr>
      <w:r w:rsidRPr="00EC02CA">
        <w:t>ABS data that show the number of young Tasmanians who have had formal contact with the criminal justice system for a sexual offence between 2015</w:t>
      </w:r>
      <w:r w:rsidR="00760C66" w:rsidRPr="00EC02CA">
        <w:t>–</w:t>
      </w:r>
      <w:r w:rsidRPr="00EC02CA">
        <w:t>16 and 2023</w:t>
      </w:r>
      <w:r w:rsidR="00760C66" w:rsidRPr="00EC02CA">
        <w:t>–</w:t>
      </w:r>
      <w:r w:rsidRPr="00EC02CA">
        <w:t xml:space="preserve">24. See below, Figure </w:t>
      </w:r>
      <w:r w:rsidR="005466CA" w:rsidRPr="00EC02CA">
        <w:t>2</w:t>
      </w:r>
      <w:r w:rsidRPr="00EC02CA">
        <w:t>.</w:t>
      </w:r>
      <w:r w:rsidR="005466CA" w:rsidRPr="00EC02CA">
        <w:t>3</w:t>
      </w:r>
      <w:r w:rsidRPr="00EC02CA">
        <w:t xml:space="preserve">. </w:t>
      </w:r>
    </w:p>
    <w:p w14:paraId="04678A93" w14:textId="0C86B90B" w:rsidR="00695636" w:rsidRPr="00EC02CA" w:rsidRDefault="00695636" w:rsidP="00A920EC">
      <w:r w:rsidRPr="00EC02CA">
        <w:rPr>
          <w:b/>
          <w:bCs/>
        </w:rPr>
        <w:t xml:space="preserve">Figure </w:t>
      </w:r>
      <w:r w:rsidR="005466CA" w:rsidRPr="00EC02CA">
        <w:rPr>
          <w:b/>
          <w:bCs/>
        </w:rPr>
        <w:t>2</w:t>
      </w:r>
      <w:r w:rsidRPr="00EC02CA">
        <w:rPr>
          <w:b/>
          <w:bCs/>
        </w:rPr>
        <w:t>.</w:t>
      </w:r>
      <w:r w:rsidR="005466CA" w:rsidRPr="00EC02CA">
        <w:rPr>
          <w:b/>
          <w:bCs/>
        </w:rPr>
        <w:t>3</w:t>
      </w:r>
      <w:r w:rsidRPr="00EC02CA">
        <w:t xml:space="preserve"> Young people proceeded against by police, </w:t>
      </w:r>
      <w:r w:rsidR="00760C66" w:rsidRPr="00EC02CA">
        <w:t>s</w:t>
      </w:r>
      <w:r w:rsidRPr="00EC02CA">
        <w:t>exual offences, Tasmania</w:t>
      </w:r>
      <w:r w:rsidR="00760C66" w:rsidRPr="00EC02CA">
        <w:t>,</w:t>
      </w:r>
      <w:r w:rsidRPr="00EC02CA">
        <w:t xml:space="preserve"> 2015</w:t>
      </w:r>
      <w:r w:rsidR="00760C66" w:rsidRPr="00EC02CA">
        <w:t>–</w:t>
      </w:r>
      <w:r w:rsidRPr="00EC02CA">
        <w:t>16 to 2023</w:t>
      </w:r>
      <w:r w:rsidR="00760C66" w:rsidRPr="00EC02CA">
        <w:t>–</w:t>
      </w:r>
      <w:r w:rsidRPr="00EC02CA">
        <w:t xml:space="preserve">24 </w:t>
      </w:r>
    </w:p>
    <w:p w14:paraId="133BCC8C" w14:textId="77777777" w:rsidR="00695636" w:rsidRPr="00EC02CA" w:rsidRDefault="00695636" w:rsidP="00760C66">
      <w:r w:rsidRPr="00EC02CA">
        <w:rPr>
          <w:noProof/>
        </w:rPr>
        <w:drawing>
          <wp:inline distT="0" distB="0" distL="0" distR="0" wp14:anchorId="76E8E1CE" wp14:editId="581003D1">
            <wp:extent cx="5486400" cy="3200400"/>
            <wp:effectExtent l="0" t="0" r="0" b="0"/>
            <wp:docPr id="9312488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CC7B83" w14:textId="6FDE87AE" w:rsidR="00760C66" w:rsidRPr="00EC02CA" w:rsidRDefault="00760C66" w:rsidP="00A920EC">
      <w:pPr>
        <w:rPr>
          <w:i/>
          <w:iCs/>
        </w:rPr>
      </w:pPr>
      <w:r w:rsidRPr="00EC02CA">
        <w:rPr>
          <w:i/>
          <w:iCs/>
        </w:rPr>
        <w:t>Source: ABS Recorded Crime data</w:t>
      </w:r>
    </w:p>
    <w:p w14:paraId="7822D19A" w14:textId="6B5C3145" w:rsidR="00695636" w:rsidRPr="00EC02CA" w:rsidRDefault="00695636" w:rsidP="002F0007">
      <w:pPr>
        <w:pStyle w:val="NormalNumberedTextTLRI"/>
      </w:pPr>
      <w:r w:rsidRPr="00EC02CA">
        <w:t xml:space="preserve">Very few young people in Tasmania appear to be proceeded against by police for sexual offences. Figure </w:t>
      </w:r>
      <w:r w:rsidR="0002073E" w:rsidRPr="00EC02CA">
        <w:t>2</w:t>
      </w:r>
      <w:r w:rsidRPr="00EC02CA">
        <w:t>.</w:t>
      </w:r>
      <w:r w:rsidR="00350172" w:rsidRPr="00EC02CA">
        <w:t>3</w:t>
      </w:r>
      <w:r w:rsidRPr="00EC02CA">
        <w:t xml:space="preserve"> indicates that</w:t>
      </w:r>
      <w:r w:rsidR="00760C66" w:rsidRPr="00EC02CA">
        <w:t>,</w:t>
      </w:r>
      <w:r w:rsidRPr="00EC02CA">
        <w:t xml:space="preserve"> over the nine-year period</w:t>
      </w:r>
      <w:r w:rsidR="00760C66" w:rsidRPr="00EC02CA">
        <w:t xml:space="preserve"> of data,</w:t>
      </w:r>
      <w:r w:rsidRPr="00EC02CA">
        <w:t xml:space="preserve"> the number of young people proceeded against by police for sexual assault and related offences (as their principal offence) ranged from </w:t>
      </w:r>
      <w:r w:rsidR="00760C66" w:rsidRPr="00EC02CA">
        <w:t xml:space="preserve">a low of </w:t>
      </w:r>
      <w:r w:rsidRPr="00EC02CA">
        <w:t>four in 2018</w:t>
      </w:r>
      <w:r w:rsidR="00760C66" w:rsidRPr="00EC02CA">
        <w:t>–</w:t>
      </w:r>
      <w:r w:rsidRPr="00EC02CA">
        <w:t xml:space="preserve">19 to </w:t>
      </w:r>
      <w:r w:rsidR="00760C66" w:rsidRPr="00EC02CA">
        <w:t xml:space="preserve">a high of </w:t>
      </w:r>
      <w:r w:rsidRPr="00EC02CA">
        <w:t>17 in 2016</w:t>
      </w:r>
      <w:r w:rsidR="00760C66" w:rsidRPr="00EC02CA">
        <w:t>–</w:t>
      </w:r>
      <w:r w:rsidRPr="00EC02CA">
        <w:t>17. In 2023</w:t>
      </w:r>
      <w:r w:rsidR="00760C66" w:rsidRPr="00EC02CA">
        <w:t>–</w:t>
      </w:r>
      <w:r w:rsidRPr="00EC02CA">
        <w:t>24, 11 young people were proceeded against. A total of 1,102 young people were proceeded against by police on all matters in 2023</w:t>
      </w:r>
      <w:r w:rsidR="00760C66" w:rsidRPr="00EC02CA">
        <w:t>–</w:t>
      </w:r>
      <w:r w:rsidRPr="00EC02CA">
        <w:t xml:space="preserve">24, meaning that sexual matters accounted for approximately 1% of all youth matters. </w:t>
      </w:r>
    </w:p>
    <w:p w14:paraId="6ACFEA5E" w14:textId="2451F19A" w:rsidR="00695636" w:rsidRPr="00EC02CA" w:rsidRDefault="00695636" w:rsidP="002F0007">
      <w:pPr>
        <w:pStyle w:val="NormalNumberedTextTLRI"/>
      </w:pPr>
      <w:r w:rsidRPr="00EC02CA">
        <w:t xml:space="preserve">Unpublished recorded </w:t>
      </w:r>
      <w:r w:rsidR="00760C66" w:rsidRPr="00EC02CA">
        <w:t xml:space="preserve">crime </w:t>
      </w:r>
      <w:r w:rsidRPr="00EC02CA">
        <w:t>data were provided to the TLRI by Tasmania Police</w:t>
      </w:r>
      <w:r w:rsidR="00760C66" w:rsidRPr="00EC02CA">
        <w:t>,</w:t>
      </w:r>
      <w:r w:rsidRPr="00EC02CA">
        <w:t xml:space="preserve"> and </w:t>
      </w:r>
      <w:r w:rsidR="00760C66" w:rsidRPr="00EC02CA">
        <w:t xml:space="preserve">by </w:t>
      </w:r>
      <w:r w:rsidRPr="00EC02CA">
        <w:t xml:space="preserve">the Department for Education, Children and Young People (DECYP), which is a key agency in the youth justice system. Both datasets capture young people’s contact with the </w:t>
      </w:r>
      <w:r w:rsidR="00742AD8" w:rsidRPr="00EC02CA">
        <w:t>youth</w:t>
      </w:r>
      <w:r w:rsidRPr="00EC02CA">
        <w:t xml:space="preserve"> justice system</w:t>
      </w:r>
      <w:r w:rsidR="00760C66" w:rsidRPr="00EC02CA">
        <w:t>,</w:t>
      </w:r>
      <w:r w:rsidRPr="00EC02CA">
        <w:t xml:space="preserve"> </w:t>
      </w:r>
      <w:r w:rsidR="00760C66" w:rsidRPr="00EC02CA">
        <w:t xml:space="preserve">but </w:t>
      </w:r>
      <w:r w:rsidRPr="00EC02CA">
        <w:t xml:space="preserve">at different stages. </w:t>
      </w:r>
      <w:r w:rsidR="00760C66" w:rsidRPr="00EC02CA">
        <w:t>However, t</w:t>
      </w:r>
      <w:r w:rsidRPr="00EC02CA">
        <w:t>hey do not provide information about the prevalence of sexual offending by young people more broadly</w:t>
      </w:r>
      <w:r w:rsidR="00760C66" w:rsidRPr="00EC02CA">
        <w:t xml:space="preserve">, </w:t>
      </w:r>
      <w:r w:rsidRPr="00EC02CA">
        <w:t xml:space="preserve">such as might be obtained in a victim survey. </w:t>
      </w:r>
    </w:p>
    <w:p w14:paraId="455F07DE" w14:textId="4A132635" w:rsidR="00695636" w:rsidRPr="00EC02CA" w:rsidRDefault="00695636" w:rsidP="002F0007">
      <w:pPr>
        <w:pStyle w:val="NormalNumberedTextTLRI"/>
      </w:pPr>
      <w:r w:rsidRPr="00EC02CA">
        <w:t xml:space="preserve">Tasmania Police data show that </w:t>
      </w:r>
      <w:r w:rsidR="002C271A" w:rsidRPr="00EC02CA">
        <w:t xml:space="preserve">from </w:t>
      </w:r>
      <w:r w:rsidRPr="00EC02CA">
        <w:t>2013</w:t>
      </w:r>
      <w:r w:rsidR="002C271A" w:rsidRPr="00EC02CA">
        <w:t>–</w:t>
      </w:r>
      <w:r w:rsidRPr="00EC02CA">
        <w:t>14 to 2023</w:t>
      </w:r>
      <w:r w:rsidR="002C271A" w:rsidRPr="00EC02CA">
        <w:t>–</w:t>
      </w:r>
      <w:r w:rsidRPr="00EC02CA">
        <w:t>24 there were a total of 27,551 actions against young people charged with criminal offences, includ</w:t>
      </w:r>
      <w:r w:rsidR="002C271A" w:rsidRPr="00EC02CA">
        <w:t>ing</w:t>
      </w:r>
      <w:r w:rsidRPr="00EC02CA">
        <w:t xml:space="preserve"> 169 young people who were charged with sexual offences (0.6% of all young people charged). Over this period, there were 143 young people charged with sexual assault, 25 young people charged with a CSEM offence</w:t>
      </w:r>
      <w:r w:rsidR="002C271A" w:rsidRPr="00EC02CA">
        <w:t>,</w:t>
      </w:r>
      <w:r w:rsidRPr="00EC02CA">
        <w:t xml:space="preserve"> and nine young people charged with other non-assaultive sexual offences.</w:t>
      </w:r>
    </w:p>
    <w:p w14:paraId="69BDA2E4" w14:textId="34A4EA0F" w:rsidR="00695636" w:rsidRPr="00EC02CA" w:rsidRDefault="00695636" w:rsidP="002F0007">
      <w:pPr>
        <w:pStyle w:val="NormalNumberedTextTLRI"/>
      </w:pPr>
      <w:r w:rsidRPr="00EC02CA">
        <w:t>It is noted that</w:t>
      </w:r>
      <w:r w:rsidR="002C271A" w:rsidRPr="00EC02CA">
        <w:t>,</w:t>
      </w:r>
      <w:r w:rsidRPr="00EC02CA">
        <w:t xml:space="preserve"> currently</w:t>
      </w:r>
      <w:r w:rsidR="002C271A" w:rsidRPr="00EC02CA">
        <w:t>,</w:t>
      </w:r>
      <w:r w:rsidRPr="00EC02CA">
        <w:t xml:space="preserve"> matters involving children </w:t>
      </w:r>
      <w:r w:rsidR="002C271A" w:rsidRPr="00EC02CA">
        <w:t xml:space="preserve">aged </w:t>
      </w:r>
      <w:r w:rsidRPr="00EC02CA">
        <w:t>under 14 – relating to any type of potential offending behaviour – are rarely proceeded with by police in Tasmania. In 2023</w:t>
      </w:r>
      <w:r w:rsidR="002C271A" w:rsidRPr="00EC02CA">
        <w:t>–</w:t>
      </w:r>
      <w:r w:rsidRPr="00EC02CA">
        <w:t>24</w:t>
      </w:r>
      <w:r w:rsidR="00E85D0E" w:rsidRPr="00EC02CA">
        <w:t>,</w:t>
      </w:r>
      <w:r w:rsidRPr="00EC02CA">
        <w:t xml:space="preserve"> no </w:t>
      </w:r>
      <w:r w:rsidR="002C271A" w:rsidRPr="00EC02CA">
        <w:t xml:space="preserve">matters involving </w:t>
      </w:r>
      <w:r w:rsidRPr="00EC02CA">
        <w:t xml:space="preserve">children aged 10–11 were finalised in a Tasmanian court, </w:t>
      </w:r>
      <w:r w:rsidR="002C271A" w:rsidRPr="00EC02CA">
        <w:t xml:space="preserve">while </w:t>
      </w:r>
      <w:r w:rsidRPr="00EC02CA">
        <w:t>37 children aged 12–13 (6% of youth offenders)</w:t>
      </w:r>
      <w:r w:rsidR="002C271A" w:rsidRPr="00EC02CA">
        <w:t xml:space="preserve"> had such finalisations</w:t>
      </w:r>
      <w:r w:rsidRPr="00EC02CA">
        <w:t>.</w:t>
      </w:r>
      <w:r w:rsidRPr="00EC02CA">
        <w:rPr>
          <w:rStyle w:val="FootnoteReference"/>
        </w:rPr>
        <w:footnoteReference w:id="143"/>
      </w:r>
      <w:r w:rsidRPr="00EC02CA">
        <w:t xml:space="preserve"> In relation to use of diversionary procedures, previous research has also shown that very few children </w:t>
      </w:r>
      <w:r w:rsidR="002C271A" w:rsidRPr="00EC02CA">
        <w:t xml:space="preserve">aged </w:t>
      </w:r>
      <w:r w:rsidRPr="00EC02CA">
        <w:t>under 14 are involved in the youth justice system</w:t>
      </w:r>
      <w:r w:rsidR="002C271A" w:rsidRPr="00EC02CA">
        <w:t xml:space="preserve"> at all</w:t>
      </w:r>
      <w:r w:rsidRPr="00EC02CA">
        <w:t xml:space="preserve">, including </w:t>
      </w:r>
      <w:r w:rsidR="002C271A" w:rsidRPr="00EC02CA">
        <w:t xml:space="preserve">through </w:t>
      </w:r>
      <w:r w:rsidRPr="00EC02CA">
        <w:t>diversionary procedures such as cautions and conferences.</w:t>
      </w:r>
      <w:r w:rsidRPr="00EC02CA">
        <w:rPr>
          <w:rStyle w:val="FootnoteReference"/>
        </w:rPr>
        <w:footnoteReference w:id="144"/>
      </w:r>
    </w:p>
    <w:p w14:paraId="2B1EFD77" w14:textId="26DC60B5" w:rsidR="00695636" w:rsidRPr="00EC02CA" w:rsidRDefault="00695636" w:rsidP="002F0007">
      <w:pPr>
        <w:pStyle w:val="NormalNumberedTextTLRI"/>
      </w:pPr>
      <w:r w:rsidRPr="00EC02CA">
        <w:t>Corresponding</w:t>
      </w:r>
      <w:r w:rsidR="00063203" w:rsidRPr="00EC02CA">
        <w:t>ly</w:t>
      </w:r>
      <w:r w:rsidRPr="00EC02CA">
        <w:t xml:space="preserve">, very few Tasmanians </w:t>
      </w:r>
      <w:r w:rsidR="00063203" w:rsidRPr="00EC02CA">
        <w:t xml:space="preserve">aged </w:t>
      </w:r>
      <w:r w:rsidRPr="00EC02CA">
        <w:t xml:space="preserve">under 14 are proceeded against by police for sexual matters. In data provided to the TLRI, as set out in Figure </w:t>
      </w:r>
      <w:r w:rsidR="00E85D0E" w:rsidRPr="00EC02CA">
        <w:t>2</w:t>
      </w:r>
      <w:r w:rsidRPr="00EC02CA">
        <w:t>.</w:t>
      </w:r>
      <w:r w:rsidR="00E85D0E" w:rsidRPr="00EC02CA">
        <w:t>4</w:t>
      </w:r>
      <w:r w:rsidRPr="00EC02CA">
        <w:t xml:space="preserve">, </w:t>
      </w:r>
      <w:r w:rsidR="00063203" w:rsidRPr="00EC02CA">
        <w:t>from</w:t>
      </w:r>
      <w:r w:rsidRPr="00EC02CA">
        <w:t xml:space="preserve"> 2013</w:t>
      </w:r>
      <w:r w:rsidR="00063203" w:rsidRPr="00EC02CA">
        <w:t>–</w:t>
      </w:r>
      <w:r w:rsidRPr="00EC02CA">
        <w:t>14 to 2023</w:t>
      </w:r>
      <w:r w:rsidR="00063203" w:rsidRPr="00EC02CA">
        <w:t>–</w:t>
      </w:r>
      <w:r w:rsidRPr="00EC02CA">
        <w:t>24, there were no children aged 10 where police provided a brief to prosecution for a sexual offence</w:t>
      </w:r>
      <w:r w:rsidR="00063203" w:rsidRPr="00EC02CA">
        <w:t>,</w:t>
      </w:r>
      <w:r w:rsidRPr="00EC02CA">
        <w:t xml:space="preserve"> and 16 children aged 11 to 13. Th</w:t>
      </w:r>
      <w:r w:rsidR="00063203" w:rsidRPr="00EC02CA">
        <w:t xml:space="preserve">ose 16 </w:t>
      </w:r>
      <w:r w:rsidRPr="00EC02CA">
        <w:t xml:space="preserve">accounted for 0.1% of </w:t>
      </w:r>
      <w:r w:rsidR="00063203" w:rsidRPr="00EC02CA">
        <w:t xml:space="preserve">all </w:t>
      </w:r>
      <w:r w:rsidRPr="00EC02CA">
        <w:t xml:space="preserve">youth files where police provided a brief for prosecution </w:t>
      </w:r>
      <w:r w:rsidR="00364426" w:rsidRPr="00EC02CA">
        <w:t xml:space="preserve">of any offence </w:t>
      </w:r>
      <w:r w:rsidR="00063203" w:rsidRPr="00EC02CA">
        <w:t>during</w:t>
      </w:r>
      <w:r w:rsidRPr="00EC02CA">
        <w:t xml:space="preserve"> this period. In relation to the use of diversionary procedures for sexual offences, there were </w:t>
      </w:r>
      <w:r w:rsidR="002754A4" w:rsidRPr="00EC02CA">
        <w:t>three</w:t>
      </w:r>
      <w:r w:rsidRPr="00EC02CA">
        <w:t xml:space="preserve"> children aged 10–11 and </w:t>
      </w:r>
      <w:r w:rsidR="00063203" w:rsidRPr="00EC02CA">
        <w:t>seven</w:t>
      </w:r>
      <w:r w:rsidRPr="00EC02CA">
        <w:t xml:space="preserve"> children aged 12</w:t>
      </w:r>
      <w:r w:rsidR="00063203" w:rsidRPr="00EC02CA">
        <w:t>–</w:t>
      </w:r>
      <w:r w:rsidRPr="00EC02CA">
        <w:t>13. Th</w:t>
      </w:r>
      <w:r w:rsidR="00364426" w:rsidRPr="00EC02CA">
        <w:t>ese</w:t>
      </w:r>
      <w:r w:rsidRPr="00EC02CA">
        <w:t xml:space="preserve"> accounted for 0.08% of </w:t>
      </w:r>
      <w:r w:rsidR="00364426" w:rsidRPr="00EC02CA">
        <w:t xml:space="preserve">all </w:t>
      </w:r>
      <w:r w:rsidRPr="00EC02CA">
        <w:t>youth files where diversionary procedures were used for any offence in this period.</w:t>
      </w:r>
    </w:p>
    <w:p w14:paraId="5EEE82A3" w14:textId="38FA4245" w:rsidR="00695636" w:rsidRPr="00EC02CA" w:rsidRDefault="00695636" w:rsidP="00A920EC">
      <w:pPr>
        <w:keepNext/>
        <w:keepLines/>
      </w:pPr>
      <w:r w:rsidRPr="00EC02CA">
        <w:rPr>
          <w:b/>
          <w:bCs/>
        </w:rPr>
        <w:t xml:space="preserve">Figure </w:t>
      </w:r>
      <w:r w:rsidR="00E85D0E" w:rsidRPr="00EC02CA">
        <w:rPr>
          <w:b/>
          <w:bCs/>
        </w:rPr>
        <w:t>2</w:t>
      </w:r>
      <w:r w:rsidRPr="00EC02CA">
        <w:rPr>
          <w:b/>
          <w:bCs/>
        </w:rPr>
        <w:t>.</w:t>
      </w:r>
      <w:r w:rsidR="00E85D0E" w:rsidRPr="00EC02CA">
        <w:rPr>
          <w:b/>
          <w:bCs/>
        </w:rPr>
        <w:t>4</w:t>
      </w:r>
      <w:r w:rsidRPr="00EC02CA">
        <w:t xml:space="preserve"> Count of youth offender files, sexual offences, by age</w:t>
      </w:r>
      <w:r w:rsidR="00760C66" w:rsidRPr="00EC02CA">
        <w:t>, 2013–14 to 2023–24</w:t>
      </w:r>
    </w:p>
    <w:p w14:paraId="7F16A132" w14:textId="77777777" w:rsidR="00695636" w:rsidRPr="00EC02CA" w:rsidRDefault="00695636" w:rsidP="00A920EC">
      <w:pPr>
        <w:keepNext/>
        <w:keepLines/>
      </w:pPr>
      <w:r w:rsidRPr="00EC02CA">
        <w:rPr>
          <w:noProof/>
        </w:rPr>
        <w:drawing>
          <wp:inline distT="0" distB="0" distL="0" distR="0" wp14:anchorId="27F1133D" wp14:editId="3FEFA1A7">
            <wp:extent cx="5486400" cy="3200400"/>
            <wp:effectExtent l="0" t="0" r="0" b="0"/>
            <wp:docPr id="127197360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32F047" w14:textId="77777777" w:rsidR="00695636" w:rsidRPr="00EC02CA" w:rsidRDefault="00695636" w:rsidP="00A920EC">
      <w:pPr>
        <w:keepNext/>
        <w:keepLines/>
        <w:rPr>
          <w:i/>
          <w:iCs/>
        </w:rPr>
      </w:pPr>
      <w:r w:rsidRPr="00EC02CA">
        <w:rPr>
          <w:i/>
          <w:iCs/>
        </w:rPr>
        <w:t>Source: Unpublished data provided by Tasmania Police</w:t>
      </w:r>
    </w:p>
    <w:p w14:paraId="73DFF7BA" w14:textId="20360447" w:rsidR="00695636" w:rsidRPr="00EC02CA" w:rsidRDefault="00695636" w:rsidP="002F0007">
      <w:pPr>
        <w:pStyle w:val="NormalNumberedTextTLRI"/>
      </w:pPr>
      <w:r w:rsidRPr="00EC02CA">
        <w:t>Data were provided to the TLRI by DECYP from the Youth Justice Information System (YJIS), with the caveat that offence data are subject to quality concerns</w:t>
      </w:r>
      <w:r w:rsidR="00364426" w:rsidRPr="00EC02CA">
        <w:t>,</w:t>
      </w:r>
      <w:r w:rsidRPr="00EC02CA">
        <w:t xml:space="preserve"> and as such should be interpreted with a high degree of caution. Bearing this in mind, the available data are generally consistent with other data sources</w:t>
      </w:r>
      <w:r w:rsidR="00364426" w:rsidRPr="00EC02CA">
        <w:t>, which similarly</w:t>
      </w:r>
      <w:r w:rsidRPr="00EC02CA">
        <w:t xml:space="preserve"> indicate that sexual offences </w:t>
      </w:r>
      <w:r w:rsidR="0051717E" w:rsidRPr="00EC02CA">
        <w:t>represent</w:t>
      </w:r>
      <w:r w:rsidRPr="00EC02CA">
        <w:t xml:space="preserve"> a </w:t>
      </w:r>
      <w:r w:rsidR="00364426" w:rsidRPr="00EC02CA">
        <w:t xml:space="preserve">very </w:t>
      </w:r>
      <w:r w:rsidRPr="00EC02CA">
        <w:t xml:space="preserve">small </w:t>
      </w:r>
      <w:r w:rsidR="00364426" w:rsidRPr="00EC02CA">
        <w:t xml:space="preserve">proportion </w:t>
      </w:r>
      <w:r w:rsidRPr="00EC02CA">
        <w:t xml:space="preserve">of </w:t>
      </w:r>
      <w:r w:rsidR="00364426" w:rsidRPr="00EC02CA">
        <w:t xml:space="preserve">those </w:t>
      </w:r>
      <w:r w:rsidRPr="00EC02CA">
        <w:t xml:space="preserve">matters for which young </w:t>
      </w:r>
      <w:r w:rsidR="00364426" w:rsidRPr="00EC02CA">
        <w:t>people come into</w:t>
      </w:r>
      <w:r w:rsidRPr="00EC02CA">
        <w:t xml:space="preserve"> contact with </w:t>
      </w:r>
      <w:r w:rsidR="00364426" w:rsidRPr="00EC02CA">
        <w:t xml:space="preserve">the </w:t>
      </w:r>
      <w:r w:rsidRPr="00EC02CA">
        <w:t xml:space="preserve">youth justice system (see Table </w:t>
      </w:r>
      <w:r w:rsidR="00E85D0E" w:rsidRPr="00EC02CA">
        <w:t>2</w:t>
      </w:r>
      <w:r w:rsidRPr="00EC02CA">
        <w:t>.</w:t>
      </w:r>
      <w:r w:rsidR="00E85D0E" w:rsidRPr="00EC02CA">
        <w:t>5</w:t>
      </w:r>
      <w:r w:rsidRPr="00EC02CA">
        <w:t>).</w:t>
      </w:r>
      <w:r w:rsidR="00D04164" w:rsidRPr="00EC02CA">
        <w:rPr>
          <w:rStyle w:val="FootnoteReference"/>
        </w:rPr>
        <w:footnoteReference w:id="145"/>
      </w:r>
      <w:r w:rsidRPr="00EC02CA">
        <w:t xml:space="preserve"> </w:t>
      </w:r>
    </w:p>
    <w:p w14:paraId="722FA051" w14:textId="1539F54E" w:rsidR="00695636" w:rsidRPr="00EC02CA" w:rsidRDefault="00695636" w:rsidP="00A920EC">
      <w:pPr>
        <w:keepNext/>
        <w:keepLines/>
      </w:pPr>
      <w:r w:rsidRPr="00EC02CA">
        <w:rPr>
          <w:b/>
          <w:bCs/>
        </w:rPr>
        <w:t xml:space="preserve">Table </w:t>
      </w:r>
      <w:r w:rsidR="00E85D0E" w:rsidRPr="00EC02CA">
        <w:rPr>
          <w:b/>
          <w:bCs/>
        </w:rPr>
        <w:t>2</w:t>
      </w:r>
      <w:r w:rsidRPr="00EC02CA">
        <w:rPr>
          <w:b/>
          <w:bCs/>
        </w:rPr>
        <w:t>.</w:t>
      </w:r>
      <w:r w:rsidR="00E85D0E" w:rsidRPr="00EC02CA">
        <w:rPr>
          <w:b/>
          <w:bCs/>
        </w:rPr>
        <w:t>5</w:t>
      </w:r>
      <w:r w:rsidRPr="00EC02CA">
        <w:t>: Distinct number of young people with an open Youth Justice task</w:t>
      </w:r>
      <w:r w:rsidR="006F6C9B" w:rsidRPr="00EC02CA">
        <w:t>,</w:t>
      </w:r>
      <w:r w:rsidRPr="00EC02CA">
        <w:t xml:space="preserve"> by offence category</w:t>
      </w:r>
      <w:r w:rsidR="008E399E" w:rsidRPr="00EC02CA">
        <w:t>,</w:t>
      </w:r>
      <w:r w:rsidRPr="00EC02CA">
        <w:t xml:space="preserve"> </w:t>
      </w:r>
      <w:r w:rsidR="008E399E" w:rsidRPr="00EC02CA">
        <w:t xml:space="preserve"> 2014–15 to 2023–24</w:t>
      </w:r>
      <w:r w:rsidRPr="00EC02CA">
        <w:rPr>
          <w:rStyle w:val="FootnoteReference"/>
          <w:b/>
          <w:bCs/>
        </w:rPr>
        <w:footnoteReference w:id="146"/>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269"/>
        <w:gridCol w:w="2270"/>
        <w:gridCol w:w="2270"/>
      </w:tblGrid>
      <w:tr w:rsidR="00695636" w:rsidRPr="00EC02CA" w14:paraId="14218B29" w14:textId="77777777" w:rsidTr="00A920EC">
        <w:trPr>
          <w:trHeight w:val="570"/>
        </w:trPr>
        <w:tc>
          <w:tcPr>
            <w:tcW w:w="1555" w:type="dxa"/>
            <w:hideMark/>
          </w:tcPr>
          <w:p w14:paraId="2826261C" w14:textId="6B846868" w:rsidR="00695636" w:rsidRPr="00EC02CA" w:rsidRDefault="008E399E" w:rsidP="00A920EC">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Period</w:t>
            </w:r>
          </w:p>
        </w:tc>
        <w:tc>
          <w:tcPr>
            <w:tcW w:w="2269" w:type="dxa"/>
            <w:hideMark/>
          </w:tcPr>
          <w:p w14:paraId="5A90BC30" w14:textId="77777777" w:rsidR="00695636" w:rsidRPr="00EC02CA" w:rsidRDefault="00695636" w:rsidP="00A920EC">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Young people with sexual offences</w:t>
            </w:r>
          </w:p>
        </w:tc>
        <w:tc>
          <w:tcPr>
            <w:tcW w:w="2270" w:type="dxa"/>
            <w:hideMark/>
          </w:tcPr>
          <w:p w14:paraId="7D906A3B" w14:textId="77777777" w:rsidR="00695636" w:rsidRPr="00EC02CA" w:rsidRDefault="00695636" w:rsidP="00A920EC">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Young people with all other offences</w:t>
            </w:r>
          </w:p>
        </w:tc>
        <w:tc>
          <w:tcPr>
            <w:tcW w:w="2270" w:type="dxa"/>
            <w:hideMark/>
          </w:tcPr>
          <w:p w14:paraId="79282508" w14:textId="3423607B" w:rsidR="00695636" w:rsidRPr="00EC02CA" w:rsidRDefault="00695636" w:rsidP="00A920EC">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 xml:space="preserve">Distinct </w:t>
            </w:r>
            <w:r w:rsidR="00CE59BC" w:rsidRPr="00EC02CA">
              <w:rPr>
                <w:rFonts w:eastAsia="Times New Roman" w:cs="Times New Roman"/>
                <w:b/>
                <w:bCs/>
                <w:color w:val="000000"/>
                <w:sz w:val="20"/>
                <w:szCs w:val="20"/>
                <w:lang w:eastAsia="en-AU"/>
              </w:rPr>
              <w:t xml:space="preserve">number of </w:t>
            </w:r>
            <w:r w:rsidRPr="00EC02CA">
              <w:rPr>
                <w:rFonts w:eastAsia="Times New Roman" w:cs="Times New Roman"/>
                <w:b/>
                <w:bCs/>
                <w:color w:val="000000"/>
                <w:sz w:val="20"/>
                <w:szCs w:val="20"/>
                <w:lang w:eastAsia="en-AU"/>
              </w:rPr>
              <w:t>young people</w:t>
            </w:r>
          </w:p>
        </w:tc>
      </w:tr>
      <w:tr w:rsidR="00695636" w:rsidRPr="00EC02CA" w14:paraId="3C4A19D2" w14:textId="77777777" w:rsidTr="00A920EC">
        <w:trPr>
          <w:trHeight w:val="285"/>
        </w:trPr>
        <w:tc>
          <w:tcPr>
            <w:tcW w:w="1555" w:type="dxa"/>
            <w:noWrap/>
            <w:vAlign w:val="bottom"/>
            <w:hideMark/>
          </w:tcPr>
          <w:p w14:paraId="65E4630F" w14:textId="48AF8227"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2014</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15</w:t>
            </w:r>
          </w:p>
        </w:tc>
        <w:tc>
          <w:tcPr>
            <w:tcW w:w="2269" w:type="dxa"/>
            <w:noWrap/>
            <w:hideMark/>
          </w:tcPr>
          <w:p w14:paraId="05B91503"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17</w:t>
            </w:r>
          </w:p>
        </w:tc>
        <w:tc>
          <w:tcPr>
            <w:tcW w:w="2270" w:type="dxa"/>
            <w:noWrap/>
            <w:hideMark/>
          </w:tcPr>
          <w:p w14:paraId="2867D069"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516</w:t>
            </w:r>
          </w:p>
        </w:tc>
        <w:tc>
          <w:tcPr>
            <w:tcW w:w="2270" w:type="dxa"/>
            <w:noWrap/>
            <w:hideMark/>
          </w:tcPr>
          <w:p w14:paraId="31B30817"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529</w:t>
            </w:r>
          </w:p>
        </w:tc>
      </w:tr>
      <w:tr w:rsidR="00695636" w:rsidRPr="00EC02CA" w14:paraId="4F357886" w14:textId="77777777" w:rsidTr="00A920EC">
        <w:trPr>
          <w:trHeight w:val="285"/>
        </w:trPr>
        <w:tc>
          <w:tcPr>
            <w:tcW w:w="1555" w:type="dxa"/>
            <w:noWrap/>
            <w:vAlign w:val="bottom"/>
            <w:hideMark/>
          </w:tcPr>
          <w:p w14:paraId="01CD615D" w14:textId="1020F53A"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2015</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16</w:t>
            </w:r>
          </w:p>
        </w:tc>
        <w:tc>
          <w:tcPr>
            <w:tcW w:w="2269" w:type="dxa"/>
            <w:noWrap/>
            <w:hideMark/>
          </w:tcPr>
          <w:p w14:paraId="3F1CD89E"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15</w:t>
            </w:r>
          </w:p>
        </w:tc>
        <w:tc>
          <w:tcPr>
            <w:tcW w:w="2270" w:type="dxa"/>
            <w:noWrap/>
            <w:hideMark/>
          </w:tcPr>
          <w:p w14:paraId="50AF0934"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471</w:t>
            </w:r>
          </w:p>
        </w:tc>
        <w:tc>
          <w:tcPr>
            <w:tcW w:w="2270" w:type="dxa"/>
            <w:noWrap/>
            <w:hideMark/>
          </w:tcPr>
          <w:p w14:paraId="6600FEA2"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481</w:t>
            </w:r>
          </w:p>
        </w:tc>
      </w:tr>
      <w:tr w:rsidR="00695636" w:rsidRPr="00EC02CA" w14:paraId="75963699" w14:textId="77777777" w:rsidTr="00A920EC">
        <w:trPr>
          <w:trHeight w:val="285"/>
        </w:trPr>
        <w:tc>
          <w:tcPr>
            <w:tcW w:w="1555" w:type="dxa"/>
            <w:noWrap/>
            <w:vAlign w:val="bottom"/>
            <w:hideMark/>
          </w:tcPr>
          <w:p w14:paraId="515D8731" w14:textId="5B6C6A7D"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2016</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17</w:t>
            </w:r>
          </w:p>
        </w:tc>
        <w:tc>
          <w:tcPr>
            <w:tcW w:w="2269" w:type="dxa"/>
            <w:noWrap/>
            <w:hideMark/>
          </w:tcPr>
          <w:p w14:paraId="0C184CD4"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11</w:t>
            </w:r>
          </w:p>
        </w:tc>
        <w:tc>
          <w:tcPr>
            <w:tcW w:w="2270" w:type="dxa"/>
            <w:noWrap/>
            <w:hideMark/>
          </w:tcPr>
          <w:p w14:paraId="1B481551"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413</w:t>
            </w:r>
          </w:p>
        </w:tc>
        <w:tc>
          <w:tcPr>
            <w:tcW w:w="2270" w:type="dxa"/>
            <w:noWrap/>
            <w:hideMark/>
          </w:tcPr>
          <w:p w14:paraId="37669606"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419</w:t>
            </w:r>
          </w:p>
        </w:tc>
      </w:tr>
      <w:tr w:rsidR="00695636" w:rsidRPr="00EC02CA" w14:paraId="7F257C18" w14:textId="77777777" w:rsidTr="00A920EC">
        <w:trPr>
          <w:trHeight w:val="285"/>
        </w:trPr>
        <w:tc>
          <w:tcPr>
            <w:tcW w:w="1555" w:type="dxa"/>
            <w:noWrap/>
            <w:vAlign w:val="bottom"/>
            <w:hideMark/>
          </w:tcPr>
          <w:p w14:paraId="1EB9844B" w14:textId="693E34FE"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2017</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18</w:t>
            </w:r>
          </w:p>
        </w:tc>
        <w:tc>
          <w:tcPr>
            <w:tcW w:w="2269" w:type="dxa"/>
            <w:noWrap/>
            <w:hideMark/>
          </w:tcPr>
          <w:p w14:paraId="4E14FCB3"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w:t>
            </w:r>
          </w:p>
        </w:tc>
        <w:tc>
          <w:tcPr>
            <w:tcW w:w="2270" w:type="dxa"/>
            <w:noWrap/>
            <w:hideMark/>
          </w:tcPr>
          <w:p w14:paraId="162F357F"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396</w:t>
            </w:r>
          </w:p>
        </w:tc>
        <w:tc>
          <w:tcPr>
            <w:tcW w:w="2270" w:type="dxa"/>
            <w:noWrap/>
            <w:hideMark/>
          </w:tcPr>
          <w:p w14:paraId="2C241424"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406</w:t>
            </w:r>
          </w:p>
        </w:tc>
      </w:tr>
      <w:tr w:rsidR="00695636" w:rsidRPr="00EC02CA" w14:paraId="0CED0406" w14:textId="77777777" w:rsidTr="00A920EC">
        <w:trPr>
          <w:trHeight w:val="285"/>
        </w:trPr>
        <w:tc>
          <w:tcPr>
            <w:tcW w:w="1555" w:type="dxa"/>
            <w:noWrap/>
            <w:vAlign w:val="bottom"/>
            <w:hideMark/>
          </w:tcPr>
          <w:p w14:paraId="5C16AECF" w14:textId="1283F095"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2018</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19</w:t>
            </w:r>
          </w:p>
        </w:tc>
        <w:tc>
          <w:tcPr>
            <w:tcW w:w="2269" w:type="dxa"/>
            <w:noWrap/>
            <w:hideMark/>
          </w:tcPr>
          <w:p w14:paraId="6D3D3268"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12</w:t>
            </w:r>
          </w:p>
        </w:tc>
        <w:tc>
          <w:tcPr>
            <w:tcW w:w="2270" w:type="dxa"/>
            <w:noWrap/>
            <w:hideMark/>
          </w:tcPr>
          <w:p w14:paraId="5FC3BF9B"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410</w:t>
            </w:r>
          </w:p>
        </w:tc>
        <w:tc>
          <w:tcPr>
            <w:tcW w:w="2270" w:type="dxa"/>
            <w:noWrap/>
            <w:hideMark/>
          </w:tcPr>
          <w:p w14:paraId="739A9903"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420</w:t>
            </w:r>
          </w:p>
        </w:tc>
      </w:tr>
      <w:tr w:rsidR="00695636" w:rsidRPr="00EC02CA" w14:paraId="5FE7534A" w14:textId="77777777" w:rsidTr="00A920EC">
        <w:trPr>
          <w:trHeight w:val="285"/>
        </w:trPr>
        <w:tc>
          <w:tcPr>
            <w:tcW w:w="1555" w:type="dxa"/>
            <w:noWrap/>
            <w:vAlign w:val="bottom"/>
            <w:hideMark/>
          </w:tcPr>
          <w:p w14:paraId="7BC01E70" w14:textId="6AB144B7"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2019</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20</w:t>
            </w:r>
          </w:p>
        </w:tc>
        <w:tc>
          <w:tcPr>
            <w:tcW w:w="2269" w:type="dxa"/>
            <w:noWrap/>
            <w:hideMark/>
          </w:tcPr>
          <w:p w14:paraId="145C9ABD"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9</w:t>
            </w:r>
          </w:p>
        </w:tc>
        <w:tc>
          <w:tcPr>
            <w:tcW w:w="2270" w:type="dxa"/>
            <w:noWrap/>
            <w:hideMark/>
          </w:tcPr>
          <w:p w14:paraId="3FA8F570"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391</w:t>
            </w:r>
          </w:p>
        </w:tc>
        <w:tc>
          <w:tcPr>
            <w:tcW w:w="2270" w:type="dxa"/>
            <w:noWrap/>
            <w:hideMark/>
          </w:tcPr>
          <w:p w14:paraId="4FDCAD0B"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399</w:t>
            </w:r>
          </w:p>
        </w:tc>
      </w:tr>
      <w:tr w:rsidR="00695636" w:rsidRPr="00EC02CA" w14:paraId="55AB040B" w14:textId="77777777" w:rsidTr="00A920EC">
        <w:trPr>
          <w:trHeight w:val="285"/>
        </w:trPr>
        <w:tc>
          <w:tcPr>
            <w:tcW w:w="1555" w:type="dxa"/>
            <w:noWrap/>
            <w:vAlign w:val="bottom"/>
            <w:hideMark/>
          </w:tcPr>
          <w:p w14:paraId="487324FC" w14:textId="2DA6105A"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2020</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21</w:t>
            </w:r>
          </w:p>
        </w:tc>
        <w:tc>
          <w:tcPr>
            <w:tcW w:w="2269" w:type="dxa"/>
            <w:noWrap/>
            <w:hideMark/>
          </w:tcPr>
          <w:p w14:paraId="045EAEFE"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7</w:t>
            </w:r>
          </w:p>
        </w:tc>
        <w:tc>
          <w:tcPr>
            <w:tcW w:w="2270" w:type="dxa"/>
            <w:noWrap/>
            <w:hideMark/>
          </w:tcPr>
          <w:p w14:paraId="3F6BF8C7"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377</w:t>
            </w:r>
          </w:p>
        </w:tc>
        <w:tc>
          <w:tcPr>
            <w:tcW w:w="2270" w:type="dxa"/>
            <w:noWrap/>
            <w:hideMark/>
          </w:tcPr>
          <w:p w14:paraId="2C33AE1B"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381</w:t>
            </w:r>
          </w:p>
        </w:tc>
      </w:tr>
      <w:tr w:rsidR="00695636" w:rsidRPr="00EC02CA" w14:paraId="30122228" w14:textId="77777777" w:rsidTr="00A920EC">
        <w:trPr>
          <w:trHeight w:val="285"/>
        </w:trPr>
        <w:tc>
          <w:tcPr>
            <w:tcW w:w="1555" w:type="dxa"/>
            <w:noWrap/>
            <w:vAlign w:val="bottom"/>
            <w:hideMark/>
          </w:tcPr>
          <w:p w14:paraId="1CC709B7" w14:textId="56CE0770"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2021</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22</w:t>
            </w:r>
          </w:p>
        </w:tc>
        <w:tc>
          <w:tcPr>
            <w:tcW w:w="2269" w:type="dxa"/>
            <w:noWrap/>
            <w:hideMark/>
          </w:tcPr>
          <w:p w14:paraId="1ACC84A7"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12</w:t>
            </w:r>
          </w:p>
        </w:tc>
        <w:tc>
          <w:tcPr>
            <w:tcW w:w="2270" w:type="dxa"/>
            <w:noWrap/>
            <w:hideMark/>
          </w:tcPr>
          <w:p w14:paraId="3309C5F9"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344</w:t>
            </w:r>
          </w:p>
        </w:tc>
        <w:tc>
          <w:tcPr>
            <w:tcW w:w="2270" w:type="dxa"/>
            <w:noWrap/>
            <w:hideMark/>
          </w:tcPr>
          <w:p w14:paraId="18FCA9FE"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352</w:t>
            </w:r>
          </w:p>
        </w:tc>
      </w:tr>
      <w:tr w:rsidR="00695636" w:rsidRPr="00EC02CA" w14:paraId="4371AEFD" w14:textId="77777777" w:rsidTr="00A920EC">
        <w:trPr>
          <w:trHeight w:val="285"/>
        </w:trPr>
        <w:tc>
          <w:tcPr>
            <w:tcW w:w="1555" w:type="dxa"/>
            <w:noWrap/>
            <w:vAlign w:val="bottom"/>
            <w:hideMark/>
          </w:tcPr>
          <w:p w14:paraId="42B52ACD" w14:textId="39003D1D"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2022</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23</w:t>
            </w:r>
          </w:p>
        </w:tc>
        <w:tc>
          <w:tcPr>
            <w:tcW w:w="2269" w:type="dxa"/>
            <w:noWrap/>
            <w:hideMark/>
          </w:tcPr>
          <w:p w14:paraId="3B37E53F"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5</w:t>
            </w:r>
          </w:p>
        </w:tc>
        <w:tc>
          <w:tcPr>
            <w:tcW w:w="2270" w:type="dxa"/>
            <w:noWrap/>
            <w:hideMark/>
          </w:tcPr>
          <w:p w14:paraId="6A627581"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352</w:t>
            </w:r>
          </w:p>
        </w:tc>
        <w:tc>
          <w:tcPr>
            <w:tcW w:w="2270" w:type="dxa"/>
            <w:noWrap/>
            <w:hideMark/>
          </w:tcPr>
          <w:p w14:paraId="5E42CAFA"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355</w:t>
            </w:r>
          </w:p>
        </w:tc>
      </w:tr>
      <w:tr w:rsidR="00695636" w:rsidRPr="00EC02CA" w14:paraId="491DA90C" w14:textId="77777777" w:rsidTr="00A920EC">
        <w:trPr>
          <w:trHeight w:val="285"/>
        </w:trPr>
        <w:tc>
          <w:tcPr>
            <w:tcW w:w="1555" w:type="dxa"/>
            <w:noWrap/>
            <w:vAlign w:val="bottom"/>
            <w:hideMark/>
          </w:tcPr>
          <w:p w14:paraId="7B52F566" w14:textId="59354AD0" w:rsidR="00695636" w:rsidRPr="00EC02CA" w:rsidRDefault="00695636"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2023</w:t>
            </w:r>
            <w:r w:rsidR="008E399E"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24</w:t>
            </w:r>
          </w:p>
        </w:tc>
        <w:tc>
          <w:tcPr>
            <w:tcW w:w="2269" w:type="dxa"/>
            <w:noWrap/>
            <w:hideMark/>
          </w:tcPr>
          <w:p w14:paraId="389D53EC"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7</w:t>
            </w:r>
          </w:p>
        </w:tc>
        <w:tc>
          <w:tcPr>
            <w:tcW w:w="2270" w:type="dxa"/>
            <w:noWrap/>
            <w:hideMark/>
          </w:tcPr>
          <w:p w14:paraId="06A966F8"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430</w:t>
            </w:r>
          </w:p>
        </w:tc>
        <w:tc>
          <w:tcPr>
            <w:tcW w:w="2270" w:type="dxa"/>
            <w:noWrap/>
            <w:hideMark/>
          </w:tcPr>
          <w:p w14:paraId="2BDFF097"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434</w:t>
            </w:r>
          </w:p>
        </w:tc>
      </w:tr>
      <w:tr w:rsidR="00695636" w:rsidRPr="00EC02CA" w14:paraId="5565B398" w14:textId="77777777" w:rsidTr="00A920EC">
        <w:trPr>
          <w:trHeight w:val="285"/>
        </w:trPr>
        <w:tc>
          <w:tcPr>
            <w:tcW w:w="1555" w:type="dxa"/>
            <w:noWrap/>
            <w:vAlign w:val="bottom"/>
            <w:hideMark/>
          </w:tcPr>
          <w:p w14:paraId="11EB032F" w14:textId="6C840020" w:rsidR="00695636"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Total</w:t>
            </w:r>
          </w:p>
        </w:tc>
        <w:tc>
          <w:tcPr>
            <w:tcW w:w="2269" w:type="dxa"/>
            <w:noWrap/>
            <w:hideMark/>
          </w:tcPr>
          <w:p w14:paraId="7FE5E309"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66</w:t>
            </w:r>
          </w:p>
        </w:tc>
        <w:tc>
          <w:tcPr>
            <w:tcW w:w="2270" w:type="dxa"/>
            <w:noWrap/>
            <w:hideMark/>
          </w:tcPr>
          <w:p w14:paraId="3143BC9E"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1941</w:t>
            </w:r>
          </w:p>
        </w:tc>
        <w:tc>
          <w:tcPr>
            <w:tcW w:w="2270" w:type="dxa"/>
            <w:noWrap/>
            <w:hideMark/>
          </w:tcPr>
          <w:p w14:paraId="0EA7C60E" w14:textId="77777777" w:rsidR="00695636" w:rsidRPr="00EC02CA" w:rsidRDefault="00695636"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1988</w:t>
            </w:r>
          </w:p>
        </w:tc>
      </w:tr>
    </w:tbl>
    <w:p w14:paraId="0EE3DBFD" w14:textId="4839A5FF" w:rsidR="00695636" w:rsidRPr="00EC02CA" w:rsidRDefault="00695636" w:rsidP="00A920EC">
      <w:pPr>
        <w:keepNext/>
        <w:keepLines/>
        <w:spacing w:before="120" w:after="60"/>
        <w:rPr>
          <w:i/>
          <w:iCs/>
        </w:rPr>
      </w:pPr>
      <w:r w:rsidRPr="00EC02CA">
        <w:rPr>
          <w:i/>
          <w:iCs/>
        </w:rPr>
        <w:t>Source: Unpublished data provided by DECYP</w:t>
      </w:r>
    </w:p>
    <w:p w14:paraId="567B2950" w14:textId="661DA44E" w:rsidR="00695636" w:rsidRPr="00EC02CA" w:rsidRDefault="00695636" w:rsidP="002F0007">
      <w:pPr>
        <w:pStyle w:val="NormalNumberedTextTLRI"/>
      </w:pPr>
      <w:r w:rsidRPr="00EC02CA">
        <w:t xml:space="preserve">Table </w:t>
      </w:r>
      <w:r w:rsidR="00383FC1" w:rsidRPr="00EC02CA">
        <w:t>2</w:t>
      </w:r>
      <w:r w:rsidRPr="00EC02CA">
        <w:t>.</w:t>
      </w:r>
      <w:r w:rsidR="00383FC1" w:rsidRPr="00EC02CA">
        <w:t>6</w:t>
      </w:r>
      <w:r w:rsidRPr="00EC02CA">
        <w:t xml:space="preserve"> </w:t>
      </w:r>
      <w:r w:rsidR="008E399E" w:rsidRPr="00EC02CA">
        <w:t xml:space="preserve">below </w:t>
      </w:r>
      <w:r w:rsidRPr="00EC02CA">
        <w:t>shows the offence description for the young people who had an open Youth Justice task between 1 July 2014 and 30 June 2024. It is noted that the numbers are low and so the data were aggregated to ensure that distinct counts of young people are greater than five.</w:t>
      </w:r>
    </w:p>
    <w:p w14:paraId="4DECC8F0" w14:textId="474FF194" w:rsidR="00695636" w:rsidRPr="00EC02CA" w:rsidRDefault="00695636" w:rsidP="00A920EC">
      <w:pPr>
        <w:keepNext/>
        <w:keepLines/>
      </w:pPr>
      <w:r w:rsidRPr="00EC02CA">
        <w:rPr>
          <w:b/>
          <w:bCs/>
        </w:rPr>
        <w:t xml:space="preserve">Table </w:t>
      </w:r>
      <w:r w:rsidR="00383FC1" w:rsidRPr="00EC02CA">
        <w:rPr>
          <w:b/>
          <w:bCs/>
        </w:rPr>
        <w:t>2</w:t>
      </w:r>
      <w:r w:rsidRPr="00EC02CA">
        <w:rPr>
          <w:b/>
          <w:bCs/>
        </w:rPr>
        <w:t>.</w:t>
      </w:r>
      <w:r w:rsidR="00383FC1" w:rsidRPr="00EC02CA">
        <w:rPr>
          <w:b/>
          <w:bCs/>
        </w:rPr>
        <w:t>6</w:t>
      </w:r>
      <w:r w:rsidRPr="00EC02CA">
        <w:t xml:space="preserve"> Sexual offence types for young people with an open Youth Justice task between 2014</w:t>
      </w:r>
      <w:r w:rsidR="00CE59BC" w:rsidRPr="00EC02CA">
        <w:t>–15</w:t>
      </w:r>
      <w:r w:rsidRPr="00EC02CA">
        <w:t xml:space="preserve"> and </w:t>
      </w:r>
      <w:r w:rsidR="00CE59BC" w:rsidRPr="00EC02CA">
        <w:t>2023–</w:t>
      </w:r>
      <w:r w:rsidRPr="00EC02CA">
        <w:t>24</w:t>
      </w:r>
      <w:r w:rsidRPr="00EC02CA">
        <w:rPr>
          <w:rStyle w:val="FootnoteReference"/>
          <w:b/>
          <w:bCs/>
        </w:rPr>
        <w:footnoteReference w:id="147"/>
      </w:r>
    </w:p>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916"/>
      </w:tblGrid>
      <w:tr w:rsidR="00CE59BC" w:rsidRPr="00EC02CA" w14:paraId="17E609A5" w14:textId="77777777" w:rsidTr="00A920EC">
        <w:trPr>
          <w:trHeight w:val="570"/>
        </w:trPr>
        <w:tc>
          <w:tcPr>
            <w:tcW w:w="4678" w:type="dxa"/>
            <w:noWrap/>
            <w:hideMark/>
          </w:tcPr>
          <w:p w14:paraId="73A29938" w14:textId="60F3955A" w:rsidR="00CE59BC" w:rsidRPr="00EC02CA" w:rsidRDefault="00CE59BC" w:rsidP="00A920EC">
            <w:pPr>
              <w:keepNext/>
              <w:keepLines/>
              <w:spacing w:before="60" w:after="60"/>
              <w:rPr>
                <w:rFonts w:eastAsia="Times New Roman" w:cs="Times New Roman"/>
                <w:b/>
                <w:bCs/>
                <w:color w:val="000000"/>
                <w:sz w:val="20"/>
                <w:szCs w:val="20"/>
                <w:vertAlign w:val="superscript"/>
                <w:lang w:eastAsia="en-AU"/>
              </w:rPr>
            </w:pPr>
            <w:r w:rsidRPr="00EC02CA">
              <w:rPr>
                <w:rFonts w:eastAsia="Times New Roman" w:cs="Times New Roman"/>
                <w:b/>
                <w:bCs/>
                <w:color w:val="000000"/>
                <w:sz w:val="20"/>
                <w:szCs w:val="20"/>
                <w:lang w:eastAsia="en-AU"/>
              </w:rPr>
              <w:t xml:space="preserve">Offence </w:t>
            </w:r>
            <w:r w:rsidR="00EA570A" w:rsidRPr="00EC02CA">
              <w:rPr>
                <w:rFonts w:eastAsia="Times New Roman" w:cs="Times New Roman"/>
                <w:b/>
                <w:bCs/>
                <w:color w:val="000000"/>
                <w:sz w:val="20"/>
                <w:szCs w:val="20"/>
                <w:lang w:eastAsia="en-AU"/>
              </w:rPr>
              <w:t>d</w:t>
            </w:r>
            <w:r w:rsidRPr="00EC02CA">
              <w:rPr>
                <w:rFonts w:eastAsia="Times New Roman" w:cs="Times New Roman"/>
                <w:b/>
                <w:bCs/>
                <w:color w:val="000000"/>
                <w:sz w:val="20"/>
                <w:szCs w:val="20"/>
                <w:lang w:eastAsia="en-AU"/>
              </w:rPr>
              <w:t>escription</w:t>
            </w:r>
          </w:p>
        </w:tc>
        <w:tc>
          <w:tcPr>
            <w:tcW w:w="1916" w:type="dxa"/>
            <w:hideMark/>
          </w:tcPr>
          <w:p w14:paraId="3FDCE265" w14:textId="67C45CBA" w:rsidR="00CE59BC" w:rsidRPr="00EC02CA" w:rsidRDefault="00CE59BC" w:rsidP="00AB59E8">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 xml:space="preserve">Distinct number of </w:t>
            </w:r>
            <w:r w:rsidR="00EA570A" w:rsidRPr="00EC02CA">
              <w:rPr>
                <w:rFonts w:eastAsia="Times New Roman" w:cs="Times New Roman"/>
                <w:b/>
                <w:bCs/>
                <w:color w:val="000000"/>
                <w:sz w:val="20"/>
                <w:szCs w:val="20"/>
                <w:lang w:eastAsia="en-AU"/>
              </w:rPr>
              <w:t>y</w:t>
            </w:r>
            <w:r w:rsidRPr="00EC02CA">
              <w:rPr>
                <w:rFonts w:eastAsia="Times New Roman" w:cs="Times New Roman"/>
                <w:b/>
                <w:bCs/>
                <w:color w:val="000000"/>
                <w:sz w:val="20"/>
                <w:szCs w:val="20"/>
                <w:lang w:eastAsia="en-AU"/>
              </w:rPr>
              <w:t xml:space="preserve">oung </w:t>
            </w:r>
            <w:r w:rsidR="00EA570A" w:rsidRPr="00EC02CA">
              <w:rPr>
                <w:rFonts w:eastAsia="Times New Roman" w:cs="Times New Roman"/>
                <w:b/>
                <w:bCs/>
                <w:color w:val="000000"/>
                <w:sz w:val="20"/>
                <w:szCs w:val="20"/>
                <w:lang w:eastAsia="en-AU"/>
              </w:rPr>
              <w:t>p</w:t>
            </w:r>
            <w:r w:rsidRPr="00EC02CA">
              <w:rPr>
                <w:rFonts w:eastAsia="Times New Roman" w:cs="Times New Roman"/>
                <w:b/>
                <w:bCs/>
                <w:color w:val="000000"/>
                <w:sz w:val="20"/>
                <w:szCs w:val="20"/>
                <w:lang w:eastAsia="en-AU"/>
              </w:rPr>
              <w:t>eople</w:t>
            </w:r>
          </w:p>
        </w:tc>
      </w:tr>
      <w:tr w:rsidR="00CE59BC" w:rsidRPr="00EC02CA" w14:paraId="599CF129" w14:textId="77777777" w:rsidTr="00A920EC">
        <w:trPr>
          <w:trHeight w:val="285"/>
        </w:trPr>
        <w:tc>
          <w:tcPr>
            <w:tcW w:w="4678" w:type="dxa"/>
            <w:noWrap/>
            <w:hideMark/>
          </w:tcPr>
          <w:p w14:paraId="172F9823" w14:textId="732647E0" w:rsidR="00CE59BC"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Assault with indecent intent</w:t>
            </w:r>
          </w:p>
        </w:tc>
        <w:tc>
          <w:tcPr>
            <w:tcW w:w="1916" w:type="dxa"/>
            <w:noWrap/>
            <w:hideMark/>
          </w:tcPr>
          <w:p w14:paraId="17EC26E6" w14:textId="77777777" w:rsidR="00CE59BC" w:rsidRPr="00EC02CA" w:rsidRDefault="00CE59B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10</w:t>
            </w:r>
          </w:p>
        </w:tc>
      </w:tr>
      <w:tr w:rsidR="00CE59BC" w:rsidRPr="00EC02CA" w14:paraId="1EB5807D" w14:textId="77777777" w:rsidTr="00A920EC">
        <w:trPr>
          <w:trHeight w:val="285"/>
        </w:trPr>
        <w:tc>
          <w:tcPr>
            <w:tcW w:w="4678" w:type="dxa"/>
            <w:noWrap/>
            <w:hideMark/>
          </w:tcPr>
          <w:p w14:paraId="50058DA3" w14:textId="77777777" w:rsidR="00CE59BC"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Child abuse material offences</w:t>
            </w:r>
          </w:p>
        </w:tc>
        <w:tc>
          <w:tcPr>
            <w:tcW w:w="1916" w:type="dxa"/>
            <w:noWrap/>
            <w:hideMark/>
          </w:tcPr>
          <w:p w14:paraId="00177378" w14:textId="77777777" w:rsidR="00CE59BC" w:rsidRPr="00EC02CA" w:rsidRDefault="00CE59B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10</w:t>
            </w:r>
          </w:p>
        </w:tc>
      </w:tr>
      <w:tr w:rsidR="00CE59BC" w:rsidRPr="00EC02CA" w14:paraId="2F9F29C9" w14:textId="77777777" w:rsidTr="00A920EC">
        <w:trPr>
          <w:trHeight w:val="285"/>
        </w:trPr>
        <w:tc>
          <w:tcPr>
            <w:tcW w:w="4678" w:type="dxa"/>
            <w:noWrap/>
            <w:hideMark/>
          </w:tcPr>
          <w:p w14:paraId="3C231772" w14:textId="77777777" w:rsidR="00CE59BC"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Indecent Assault</w:t>
            </w:r>
          </w:p>
        </w:tc>
        <w:tc>
          <w:tcPr>
            <w:tcW w:w="1916" w:type="dxa"/>
            <w:noWrap/>
            <w:hideMark/>
          </w:tcPr>
          <w:p w14:paraId="29474E9A" w14:textId="77777777" w:rsidR="00CE59BC" w:rsidRPr="00EC02CA" w:rsidRDefault="00CE59B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17</w:t>
            </w:r>
          </w:p>
        </w:tc>
      </w:tr>
      <w:tr w:rsidR="00CE59BC" w:rsidRPr="00EC02CA" w14:paraId="4F3C97C1" w14:textId="77777777" w:rsidTr="00A920EC">
        <w:trPr>
          <w:trHeight w:val="285"/>
        </w:trPr>
        <w:tc>
          <w:tcPr>
            <w:tcW w:w="4678" w:type="dxa"/>
            <w:noWrap/>
            <w:hideMark/>
          </w:tcPr>
          <w:p w14:paraId="5571A2A1" w14:textId="77777777" w:rsidR="00CE59BC"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Rape</w:t>
            </w:r>
          </w:p>
        </w:tc>
        <w:tc>
          <w:tcPr>
            <w:tcW w:w="1916" w:type="dxa"/>
            <w:noWrap/>
            <w:hideMark/>
          </w:tcPr>
          <w:p w14:paraId="0378E02C" w14:textId="77777777" w:rsidR="00CE59BC" w:rsidRPr="00EC02CA" w:rsidRDefault="00CE59B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11</w:t>
            </w:r>
          </w:p>
        </w:tc>
      </w:tr>
      <w:tr w:rsidR="00CE59BC" w:rsidRPr="00EC02CA" w14:paraId="245B81FD" w14:textId="77777777" w:rsidTr="00A920EC">
        <w:trPr>
          <w:trHeight w:val="285"/>
        </w:trPr>
        <w:tc>
          <w:tcPr>
            <w:tcW w:w="4678" w:type="dxa"/>
            <w:noWrap/>
            <w:hideMark/>
          </w:tcPr>
          <w:p w14:paraId="47C08147" w14:textId="77777777" w:rsidR="00CE59BC"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Sexual assault of a child</w:t>
            </w:r>
          </w:p>
        </w:tc>
        <w:tc>
          <w:tcPr>
            <w:tcW w:w="1916" w:type="dxa"/>
            <w:noWrap/>
            <w:hideMark/>
          </w:tcPr>
          <w:p w14:paraId="3F2C5F94" w14:textId="77777777" w:rsidR="00CE59BC" w:rsidRPr="00EC02CA" w:rsidRDefault="00CE59B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14</w:t>
            </w:r>
          </w:p>
        </w:tc>
      </w:tr>
      <w:tr w:rsidR="00CE59BC" w:rsidRPr="00EC02CA" w14:paraId="527414CE" w14:textId="77777777" w:rsidTr="00A920EC">
        <w:trPr>
          <w:trHeight w:val="285"/>
        </w:trPr>
        <w:tc>
          <w:tcPr>
            <w:tcW w:w="4678" w:type="dxa"/>
            <w:noWrap/>
            <w:hideMark/>
          </w:tcPr>
          <w:p w14:paraId="5E0C3E25" w14:textId="77777777" w:rsidR="00CE59BC" w:rsidRPr="00EC02CA" w:rsidRDefault="00CE59BC"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Other sexual offences</w:t>
            </w:r>
          </w:p>
        </w:tc>
        <w:tc>
          <w:tcPr>
            <w:tcW w:w="1916" w:type="dxa"/>
            <w:noWrap/>
            <w:hideMark/>
          </w:tcPr>
          <w:p w14:paraId="16B90150" w14:textId="77777777" w:rsidR="00CE59BC" w:rsidRPr="00EC02CA" w:rsidRDefault="00CE59B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17</w:t>
            </w:r>
          </w:p>
        </w:tc>
      </w:tr>
      <w:tr w:rsidR="00CE59BC" w:rsidRPr="00EC02CA" w14:paraId="0BB77D28" w14:textId="77777777" w:rsidTr="00A920EC">
        <w:trPr>
          <w:trHeight w:val="285"/>
        </w:trPr>
        <w:tc>
          <w:tcPr>
            <w:tcW w:w="4678" w:type="dxa"/>
            <w:noWrap/>
            <w:hideMark/>
          </w:tcPr>
          <w:p w14:paraId="55962F9E" w14:textId="1EA04354" w:rsidR="00CE59BC" w:rsidRPr="00EC02CA" w:rsidRDefault="00CE59BC" w:rsidP="00A920EC">
            <w:pPr>
              <w:keepNext/>
              <w:keepLines/>
              <w:spacing w:before="60" w:after="60"/>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Total</w:t>
            </w:r>
          </w:p>
        </w:tc>
        <w:tc>
          <w:tcPr>
            <w:tcW w:w="1916" w:type="dxa"/>
            <w:noWrap/>
            <w:hideMark/>
          </w:tcPr>
          <w:p w14:paraId="7DADB2F6" w14:textId="77777777" w:rsidR="00CE59BC" w:rsidRPr="00EC02CA" w:rsidRDefault="00CE59BC" w:rsidP="00A920EC">
            <w:pPr>
              <w:keepNext/>
              <w:keepLines/>
              <w:spacing w:before="60" w:after="60"/>
              <w:jc w:val="right"/>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66</w:t>
            </w:r>
          </w:p>
        </w:tc>
      </w:tr>
    </w:tbl>
    <w:p w14:paraId="65895B2C" w14:textId="77777777" w:rsidR="00695636" w:rsidRPr="00EC02CA" w:rsidRDefault="00695636" w:rsidP="00A920EC">
      <w:pPr>
        <w:keepNext/>
        <w:keepLines/>
        <w:spacing w:before="120" w:after="60"/>
        <w:rPr>
          <w:i/>
          <w:iCs/>
        </w:rPr>
      </w:pPr>
      <w:r w:rsidRPr="00EC02CA">
        <w:rPr>
          <w:i/>
          <w:iCs/>
        </w:rPr>
        <w:t>Source: Unpublished data provided by DECYP</w:t>
      </w:r>
    </w:p>
    <w:p w14:paraId="617B9008" w14:textId="207A567D" w:rsidR="00695636" w:rsidRPr="00EC02CA" w:rsidRDefault="00695636" w:rsidP="002F0007">
      <w:pPr>
        <w:pStyle w:val="NormalNumberedTextTLRI"/>
      </w:pPr>
      <w:r w:rsidRPr="00EC02CA">
        <w:t>An independent evaluation of a therapeutic program for young Tasmanians exhibiting harmful sexual behaviours, called</w:t>
      </w:r>
      <w:r w:rsidR="00795B79" w:rsidRPr="00EC02CA">
        <w:t xml:space="preserve"> the Prevention Assessment Support Treatment Program (or</w:t>
      </w:r>
      <w:r w:rsidRPr="00EC02CA">
        <w:t xml:space="preserve"> PAST</w:t>
      </w:r>
      <w:r w:rsidR="00795B79" w:rsidRPr="00EC02CA">
        <w:t>)</w:t>
      </w:r>
      <w:r w:rsidRPr="00EC02CA">
        <w:t>,</w:t>
      </w:r>
      <w:r w:rsidRPr="00EC02CA">
        <w:rPr>
          <w:rStyle w:val="FootnoteReference"/>
        </w:rPr>
        <w:footnoteReference w:id="148"/>
      </w:r>
      <w:r w:rsidR="005B264F" w:rsidRPr="00EC02CA">
        <w:t xml:space="preserve"> </w:t>
      </w:r>
      <w:r w:rsidRPr="00EC02CA">
        <w:t>was published in 2023.</w:t>
      </w:r>
      <w:r w:rsidRPr="00EC02CA">
        <w:rPr>
          <w:rStyle w:val="FootnoteReference"/>
        </w:rPr>
        <w:footnoteReference w:id="149"/>
      </w:r>
      <w:r w:rsidRPr="00EC02CA">
        <w:t xml:space="preserve"> Using the classification of sexual behaviour on the continuum from developmentally </w:t>
      </w:r>
      <w:r w:rsidR="002B2F2B" w:rsidRPr="00EC02CA">
        <w:t xml:space="preserve">typical </w:t>
      </w:r>
      <w:r w:rsidRPr="00EC02CA">
        <w:t xml:space="preserve">to abusive or violence sexual behaviour (see </w:t>
      </w:r>
      <w:r w:rsidR="00687434" w:rsidRPr="00EC02CA">
        <w:t>[</w:t>
      </w:r>
      <w:r w:rsidR="00CA443E" w:rsidRPr="00EC02CA">
        <w:fldChar w:fldCharType="begin"/>
      </w:r>
      <w:r w:rsidR="00CA443E" w:rsidRPr="00EC02CA">
        <w:instrText xml:space="preserve"> REF _Ref218252859 \r \h </w:instrText>
      </w:r>
      <w:r w:rsidR="00CA443E" w:rsidRPr="00EC02CA">
        <w:fldChar w:fldCharType="separate"/>
      </w:r>
      <w:r w:rsidR="007D7830">
        <w:t>2.2</w:t>
      </w:r>
      <w:r w:rsidR="00CA443E" w:rsidRPr="00EC02CA">
        <w:fldChar w:fldCharType="end"/>
      </w:r>
      <w:r w:rsidR="00687434" w:rsidRPr="00EC02CA">
        <w:t>]</w:t>
      </w:r>
      <w:r w:rsidRPr="00EC02CA">
        <w:t>), therapeutic case files of 209 young people who accessed the program were analysed. This analysis indicated that:</w:t>
      </w:r>
    </w:p>
    <w:p w14:paraId="5C517612" w14:textId="77FD5A85" w:rsidR="00695636" w:rsidRPr="00EC02CA" w:rsidRDefault="00695636" w:rsidP="00695636">
      <w:pPr>
        <w:pStyle w:val="DotPointTLRI"/>
      </w:pPr>
      <w:r w:rsidRPr="00EC02CA">
        <w:t xml:space="preserve">16% engaged in sexual behaviour that was classified as </w:t>
      </w:r>
      <w:r w:rsidR="00306675" w:rsidRPr="00EC02CA">
        <w:t>typical</w:t>
      </w:r>
      <w:r w:rsidR="00687434" w:rsidRPr="00EC02CA">
        <w:t>;</w:t>
      </w:r>
    </w:p>
    <w:p w14:paraId="3C2B7159" w14:textId="0DFECCD2" w:rsidR="00695636" w:rsidRPr="00EC02CA" w:rsidRDefault="00695636" w:rsidP="00695636">
      <w:pPr>
        <w:pStyle w:val="DotPointTLRI"/>
      </w:pPr>
      <w:r w:rsidRPr="00EC02CA">
        <w:t>38% engaged in sexual behaviour that was classified as inappropriate sexual behaviour</w:t>
      </w:r>
      <w:r w:rsidR="00687434" w:rsidRPr="00EC02CA">
        <w:t>;</w:t>
      </w:r>
    </w:p>
    <w:p w14:paraId="69A830E1" w14:textId="15492D6C" w:rsidR="00695636" w:rsidRPr="00EC02CA" w:rsidRDefault="00695636" w:rsidP="00695636">
      <w:pPr>
        <w:pStyle w:val="DotPointTLRI"/>
      </w:pPr>
      <w:r w:rsidRPr="00EC02CA">
        <w:t>25% engaged in sexual behaviour that was classified as problematic</w:t>
      </w:r>
      <w:r w:rsidR="00687434" w:rsidRPr="00EC02CA">
        <w:t>;</w:t>
      </w:r>
      <w:r w:rsidRPr="00EC02CA">
        <w:t xml:space="preserve"> and</w:t>
      </w:r>
    </w:p>
    <w:p w14:paraId="746827DD" w14:textId="77777777" w:rsidR="00695636" w:rsidRPr="00EC02CA" w:rsidRDefault="00695636" w:rsidP="00695636">
      <w:pPr>
        <w:pStyle w:val="DotPointTLRI"/>
      </w:pPr>
      <w:r w:rsidRPr="00EC02CA">
        <w:t>21% engaged in sexual behaviour that was classified as abusive or violent sexual behaviour.</w:t>
      </w:r>
    </w:p>
    <w:p w14:paraId="5ACE3A5A" w14:textId="77777777" w:rsidR="00695636" w:rsidRPr="00EC02CA" w:rsidRDefault="00695636" w:rsidP="00695636">
      <w:pPr>
        <w:pStyle w:val="NumberedHeadingTLRI"/>
      </w:pPr>
      <w:bookmarkStart w:id="109" w:name="_Toc211849368"/>
      <w:bookmarkStart w:id="110" w:name="_Toc218157264"/>
      <w:r w:rsidRPr="00EC02CA">
        <w:t>TLRI interviewees’ views on the prevalence of sexual offending by young people</w:t>
      </w:r>
      <w:bookmarkEnd w:id="109"/>
      <w:bookmarkEnd w:id="110"/>
    </w:p>
    <w:p w14:paraId="34A16C48" w14:textId="11F017FA" w:rsidR="00695636" w:rsidRPr="00EC02CA" w:rsidRDefault="00695636" w:rsidP="00A920EC">
      <w:pPr>
        <w:pStyle w:val="NormalNumberedTextTLRI"/>
      </w:pPr>
      <w:r w:rsidRPr="00EC02CA">
        <w:t xml:space="preserve">While low numbers of young people appear in recorded crime data in Tasmania for sexual matters, qualitative data from the interviews conducted by the TLRI suggest that </w:t>
      </w:r>
      <w:r w:rsidR="00687434" w:rsidRPr="00EC02CA">
        <w:t xml:space="preserve">the </w:t>
      </w:r>
      <w:r w:rsidRPr="00EC02CA">
        <w:t xml:space="preserve">frequency of offending is </w:t>
      </w:r>
      <w:r w:rsidR="00687434" w:rsidRPr="00EC02CA">
        <w:t>higher,</w:t>
      </w:r>
      <w:r w:rsidRPr="00EC02CA">
        <w:t xml:space="preserve"> echoing Warner</w:t>
      </w:r>
      <w:r w:rsidRPr="00EC02CA">
        <w:rPr>
          <w:color w:val="215E99" w:themeColor="text2" w:themeTint="BF"/>
        </w:rPr>
        <w:t xml:space="preserve"> </w:t>
      </w:r>
      <w:r w:rsidRPr="00EC02CA">
        <w:t>and Bartels’ suggestion that many offences are not being reported</w:t>
      </w:r>
      <w:r w:rsidRPr="00EC02CA">
        <w:fldChar w:fldCharType="begin"/>
      </w:r>
      <w:r w:rsidRPr="00EC02CA">
        <w:instrText xml:space="preserve"> ADDIN EN.CITE &lt;EndNote&gt;&lt;Cite&gt;&lt;Author&gt;Warner&lt;/Author&gt;&lt;Year&gt;2015&lt;/Year&gt;&lt;RecNum&gt;31642&lt;/RecNum&gt;&lt;record&gt;&lt;rec-number&gt;31642&lt;/rec-number&gt;&lt;foreign-keys&gt;&lt;key app="EN" db-id="92twpawtxsdzaae5zwevdsw799fderxv2d52" timestamp="1692931112"&gt;31642&lt;/key&gt;&lt;/foreign-keys&gt;&lt;ref-type name="Journal Article"&gt;17&lt;/ref-type&gt;&lt;contributors&gt;&lt;authors&gt;&lt;author&gt;Warner, Kate&lt;/author&gt;&lt;author&gt;Bartels, Lorana&lt;/author&gt;&lt;/authors&gt;&lt;/contributors&gt;&lt;titles&gt;&lt;title&gt;Juvenile sex offending: Its prevalence and the criminal justice response&lt;/title&gt;&lt;secondary-title&gt;UNSW Law Journal&lt;/secondary-title&gt;&lt;/titles&gt;&lt;periodical&gt;&lt;full-title&gt;UNSW Law Journal&lt;/full-title&gt;&lt;/periodical&gt;&lt;pages&gt;48-76&lt;/pages&gt;&lt;volume&gt;38&lt;/volume&gt;&lt;number&gt;1&lt;/number&gt;&lt;dates&gt;&lt;year&gt;2015&lt;/year&gt;&lt;/dates&gt;&lt;urls&gt;&lt;/urls&gt;&lt;/record&gt;&lt;/Cite&gt;&lt;/EndNote&gt;</w:instrText>
      </w:r>
      <w:r w:rsidRPr="00EC02CA">
        <w:fldChar w:fldCharType="separate"/>
      </w:r>
      <w:r w:rsidRPr="00EC02CA">
        <w:fldChar w:fldCharType="end"/>
      </w:r>
      <w:r w:rsidRPr="00EC02CA">
        <w:t>.</w:t>
      </w:r>
      <w:r w:rsidRPr="00EC02CA">
        <w:rPr>
          <w:rStyle w:val="FootnoteReference"/>
          <w:sz w:val="24"/>
          <w:szCs w:val="24"/>
        </w:rPr>
        <w:footnoteReference w:id="150"/>
      </w:r>
      <w:r w:rsidRPr="00EC02CA">
        <w:t xml:space="preserve"> Many </w:t>
      </w:r>
      <w:r w:rsidR="000A5517" w:rsidRPr="00EC02CA">
        <w:t xml:space="preserve">interview </w:t>
      </w:r>
      <w:r w:rsidRPr="00EC02CA">
        <w:t>participants expressed the view that there has been an increase in sexual offending by young people.</w:t>
      </w:r>
      <w:r w:rsidRPr="00EC02CA">
        <w:rPr>
          <w:rStyle w:val="FootnoteReference"/>
        </w:rPr>
        <w:footnoteReference w:id="151"/>
      </w:r>
      <w:r w:rsidRPr="00EC02CA">
        <w:t xml:space="preserve"> One participant stated that, ‘it’s far more common than I think many people [think] or … what we hear about in the general public. It’s incredibly common’.</w:t>
      </w:r>
      <w:r w:rsidRPr="00EC02CA">
        <w:rPr>
          <w:rStyle w:val="FootnoteReference"/>
        </w:rPr>
        <w:footnoteReference w:id="152"/>
      </w:r>
      <w:r w:rsidRPr="00EC02CA">
        <w:t xml:space="preserve"> Another said that ‘I always have the view that perhaps that we’re only seeing the tip of the iceberg’.</w:t>
      </w:r>
      <w:r w:rsidRPr="00EC02CA">
        <w:rPr>
          <w:rStyle w:val="FootnoteReference"/>
        </w:rPr>
        <w:footnoteReference w:id="153"/>
      </w:r>
      <w:r w:rsidRPr="00EC02CA">
        <w:t xml:space="preserve"> One person working with young people in the education sector indicated that there were a minimum of two to three incidents per week in their region</w:t>
      </w:r>
      <w:r w:rsidR="000A5517" w:rsidRPr="00EC02CA">
        <w:t>,</w:t>
      </w:r>
      <w:r w:rsidRPr="00EC02CA">
        <w:t xml:space="preserve"> involving young people’s harmful sexual behaviour.</w:t>
      </w:r>
      <w:r w:rsidRPr="00EC02CA">
        <w:rPr>
          <w:rStyle w:val="FootnoteReference"/>
        </w:rPr>
        <w:footnoteReference w:id="154"/>
      </w:r>
      <w:r w:rsidR="424A2E52" w:rsidRPr="00EC02CA">
        <w:t xml:space="preserve"> </w:t>
      </w:r>
      <w:r w:rsidRPr="00EC02CA">
        <w:t>This view was expressed particularly in relation to online sexual offending, which was described as ‘very prevalent’.</w:t>
      </w:r>
      <w:r w:rsidRPr="00EC02CA">
        <w:rPr>
          <w:rStyle w:val="FootnoteReference"/>
        </w:rPr>
        <w:footnoteReference w:id="155"/>
      </w:r>
      <w:r w:rsidRPr="00EC02CA">
        <w:t xml:space="preserve"> In addition, the types of offences and behaviours </w:t>
      </w:r>
      <w:r w:rsidR="00986544" w:rsidRPr="00EC02CA">
        <w:t>were</w:t>
      </w:r>
      <w:r w:rsidRPr="00EC02CA">
        <w:t xml:space="preserve"> seen to be becoming more complex.</w:t>
      </w:r>
      <w:r w:rsidRPr="00EC02CA">
        <w:rPr>
          <w:rStyle w:val="FootnoteReference"/>
        </w:rPr>
        <w:footnoteReference w:id="156"/>
      </w:r>
      <w:r w:rsidRPr="00EC02CA">
        <w:t xml:space="preserve"> For example, it was observed </w:t>
      </w:r>
      <w:r w:rsidR="00572D5A" w:rsidRPr="00EC02CA">
        <w:t xml:space="preserve">by </w:t>
      </w:r>
      <w:r w:rsidRPr="00EC02CA">
        <w:t>one interviewee that ‘there has been a rise in sexual behaviours and the behaviours appear to be starting younger’.</w:t>
      </w:r>
      <w:r w:rsidRPr="00EC02CA">
        <w:rPr>
          <w:rStyle w:val="FootnoteReference"/>
        </w:rPr>
        <w:footnoteReference w:id="157"/>
      </w:r>
      <w:r w:rsidRPr="00EC02CA">
        <w:t xml:space="preserve"> Another indicated that there was rise in grooming and controlling behaviours by young people.</w:t>
      </w:r>
      <w:r w:rsidRPr="00EC02CA">
        <w:rPr>
          <w:rStyle w:val="FootnoteReference"/>
        </w:rPr>
        <w:footnoteReference w:id="158"/>
      </w:r>
    </w:p>
    <w:p w14:paraId="2FC3DAFA" w14:textId="77777777" w:rsidR="00695636" w:rsidRPr="00EC02CA" w:rsidRDefault="00695636" w:rsidP="002F0007">
      <w:pPr>
        <w:pStyle w:val="NormalNumberedTextTLRI"/>
      </w:pPr>
      <w:r w:rsidRPr="00EC02CA">
        <w:t>A majority of participants recognised that sexual offending is quite complex, and occurs on a continuum of sexualised behaviour. One interviewee stated:</w:t>
      </w:r>
    </w:p>
    <w:p w14:paraId="07B473FA" w14:textId="77777777" w:rsidR="00695636" w:rsidRPr="00EC02CA" w:rsidRDefault="00695636" w:rsidP="00695636">
      <w:pPr>
        <w:pStyle w:val="Indentedquote"/>
      </w:pPr>
      <w:r w:rsidRPr="00EC02CA">
        <w:t>We certainly see a bit of harmful sexual behaviour happening within adolescent relationships and things like that. And certainly, that’s over the threshold of criminal responsibility, obviously. And then some of that is quite nuanced, in that they are in relationships and they’re kind of fumbling through trying to figure out what is okay and what’s not.</w:t>
      </w:r>
      <w:r w:rsidRPr="00EC02CA">
        <w:rPr>
          <w:rStyle w:val="FootnoteReference"/>
        </w:rPr>
        <w:footnoteReference w:id="159"/>
      </w:r>
    </w:p>
    <w:p w14:paraId="30D1F86A" w14:textId="77777777" w:rsidR="00695636" w:rsidRPr="00EC02CA" w:rsidRDefault="00695636" w:rsidP="002F0007">
      <w:pPr>
        <w:pStyle w:val="NormalNumberedTextTLRI"/>
      </w:pPr>
      <w:r w:rsidRPr="00EC02CA">
        <w:t>Two participants specifically referenced Hackett’s continuum of harmful sexual behaviour. Interviewees discussed physical offending.</w:t>
      </w:r>
      <w:r w:rsidRPr="00EC02CA">
        <w:rPr>
          <w:rStyle w:val="FootnoteReference"/>
        </w:rPr>
        <w:footnoteReference w:id="160"/>
      </w:r>
      <w:r w:rsidRPr="00EC02CA">
        <w:t xml:space="preserve"> Many participants recognised the range of behaviours from non-contact image-based abuse to contact physical assaults, highlighting concerns about child sexual exploitation.</w:t>
      </w:r>
      <w:r w:rsidRPr="00EC02CA">
        <w:rPr>
          <w:rStyle w:val="FootnoteReference"/>
        </w:rPr>
        <w:footnoteReference w:id="161"/>
      </w:r>
      <w:r w:rsidRPr="00EC02CA">
        <w:t xml:space="preserve"> The distribution of self-produced CSEM was noted as an example by a number of participants.</w:t>
      </w:r>
      <w:r w:rsidRPr="00EC02CA">
        <w:rPr>
          <w:rStyle w:val="FootnoteReference"/>
        </w:rPr>
        <w:footnoteReference w:id="162"/>
      </w:r>
      <w:r w:rsidRPr="00EC02CA">
        <w:t xml:space="preserve"> One interviewee gave a broad description:</w:t>
      </w:r>
    </w:p>
    <w:p w14:paraId="0233D600" w14:textId="42D48931" w:rsidR="00695636" w:rsidRPr="00EC02CA" w:rsidRDefault="00BF1E78" w:rsidP="00695636">
      <w:pPr>
        <w:pStyle w:val="Indentedquote"/>
      </w:pPr>
      <w:r w:rsidRPr="00EC02CA">
        <w:t>[I]</w:t>
      </w:r>
      <w:r w:rsidR="00695636" w:rsidRPr="00EC02CA">
        <w:t>t quite often starts with students who might be in a relationship, who are sending explicit images of themselves to each other in what you would call a consensual way, even though it’s illegal. And then when that relationship breaks down those images become either currency for sextortion, or they become more public and sent more broadly and more widely. And then there’s these elements of sort of deep fake content as well that students are taking facial images o</w:t>
      </w:r>
      <w:r w:rsidR="00572D5A" w:rsidRPr="00EC02CA">
        <w:t>r</w:t>
      </w:r>
      <w:r w:rsidR="00695636" w:rsidRPr="00EC02CA">
        <w:t xml:space="preserve"> cutting and pasting a facial image of someone and posting it on a porn video and then sharing that.</w:t>
      </w:r>
      <w:r w:rsidR="00695636" w:rsidRPr="00EC02CA">
        <w:rPr>
          <w:rStyle w:val="FootnoteReference"/>
        </w:rPr>
        <w:footnoteReference w:id="163"/>
      </w:r>
      <w:r w:rsidR="00695636" w:rsidRPr="00EC02CA">
        <w:t xml:space="preserve"> </w:t>
      </w:r>
    </w:p>
    <w:p w14:paraId="19A56929" w14:textId="77777777" w:rsidR="00695636" w:rsidRPr="00EC02CA" w:rsidRDefault="00695636" w:rsidP="00A920EC">
      <w:pPr>
        <w:pStyle w:val="NormalNumberedTextTLRI"/>
      </w:pPr>
      <w:r w:rsidRPr="00EC02CA">
        <w:t>Another interviewee commented on the frequency of online harmful sexual behaviour as something that is ‘happening quite frequently’.</w:t>
      </w:r>
      <w:r w:rsidRPr="00EC02CA">
        <w:rPr>
          <w:rStyle w:val="FootnoteReference"/>
        </w:rPr>
        <w:footnoteReference w:id="164"/>
      </w:r>
    </w:p>
    <w:p w14:paraId="79C01559" w14:textId="7B221381" w:rsidR="00695636" w:rsidRPr="00EC02CA" w:rsidRDefault="00695636" w:rsidP="002F0007">
      <w:pPr>
        <w:pStyle w:val="NormalNumberedTextTLRI"/>
      </w:pPr>
      <w:r w:rsidRPr="00EC02CA">
        <w:t xml:space="preserve"> Participants also discussed the harms caused by sexual offending for the </w:t>
      </w:r>
      <w:r w:rsidR="00886B70" w:rsidRPr="00EC02CA">
        <w:t>victim-survivor</w:t>
      </w:r>
      <w:r w:rsidRPr="00EC02CA">
        <w:t>,</w:t>
      </w:r>
      <w:r w:rsidRPr="00EC02CA">
        <w:rPr>
          <w:rStyle w:val="FootnoteReference"/>
        </w:rPr>
        <w:footnoteReference w:id="165"/>
      </w:r>
      <w:r w:rsidRPr="00EC02CA">
        <w:t xml:space="preserve"> as well as the shame and stigma for both the </w:t>
      </w:r>
      <w:r w:rsidR="00886B70" w:rsidRPr="00EC02CA">
        <w:t>victim-survivor</w:t>
      </w:r>
      <w:r w:rsidR="00B27616" w:rsidRPr="00EC02CA">
        <w:t xml:space="preserve"> and </w:t>
      </w:r>
      <w:r w:rsidRPr="00EC02CA">
        <w:t>the offender. For example, it was said by one participant that ‘once a child is labelled as a sexual offender, whether that’s true or not about the child, within that school, that’s like an unshakable label until they leave, which I think really does not help anybody’.</w:t>
      </w:r>
      <w:r w:rsidRPr="00EC02CA">
        <w:rPr>
          <w:rStyle w:val="FootnoteReference"/>
        </w:rPr>
        <w:footnoteReference w:id="166"/>
      </w:r>
      <w:r w:rsidR="37D8CE61" w:rsidRPr="00EC02CA">
        <w:t xml:space="preserve"> </w:t>
      </w:r>
      <w:r w:rsidRPr="00EC02CA">
        <w:t xml:space="preserve">Participants also outlined </w:t>
      </w:r>
      <w:r w:rsidR="002E64BA" w:rsidRPr="00EC02CA">
        <w:t xml:space="preserve">a </w:t>
      </w:r>
      <w:r w:rsidRPr="00EC02CA">
        <w:t xml:space="preserve">sense </w:t>
      </w:r>
      <w:r w:rsidR="002E64BA" w:rsidRPr="00EC02CA">
        <w:t xml:space="preserve">that </w:t>
      </w:r>
      <w:r w:rsidRPr="00EC02CA">
        <w:t xml:space="preserve">some girls </w:t>
      </w:r>
      <w:r w:rsidR="009734D5" w:rsidRPr="00EC02CA">
        <w:t xml:space="preserve">considered </w:t>
      </w:r>
      <w:r w:rsidRPr="00EC02CA">
        <w:t xml:space="preserve">sexual abuse </w:t>
      </w:r>
      <w:r w:rsidR="002E64BA" w:rsidRPr="00EC02CA">
        <w:t xml:space="preserve">to be </w:t>
      </w:r>
      <w:r w:rsidRPr="00EC02CA">
        <w:t xml:space="preserve">something that </w:t>
      </w:r>
      <w:r w:rsidR="002E64BA" w:rsidRPr="00EC02CA">
        <w:t>‘</w:t>
      </w:r>
      <w:r w:rsidRPr="00EC02CA">
        <w:t>just happens</w:t>
      </w:r>
      <w:r w:rsidR="002E64BA" w:rsidRPr="00EC02CA">
        <w:t>’</w:t>
      </w:r>
      <w:r w:rsidRPr="00EC02CA">
        <w:t xml:space="preserve">, and that young people </w:t>
      </w:r>
      <w:r w:rsidR="002E64BA" w:rsidRPr="00EC02CA">
        <w:t xml:space="preserve">believed </w:t>
      </w:r>
      <w:r w:rsidRPr="00EC02CA">
        <w:t xml:space="preserve">that there </w:t>
      </w:r>
      <w:r w:rsidR="002E64BA" w:rsidRPr="00EC02CA">
        <w:t>we</w:t>
      </w:r>
      <w:r w:rsidRPr="00EC02CA">
        <w:t>re unlikely to be consequences.</w:t>
      </w:r>
      <w:r w:rsidRPr="00EC02CA">
        <w:rPr>
          <w:rStyle w:val="FootnoteReference"/>
        </w:rPr>
        <w:footnoteReference w:id="167"/>
      </w:r>
    </w:p>
    <w:p w14:paraId="58FFE4CD" w14:textId="655323DD" w:rsidR="00695636" w:rsidRPr="00EC02CA" w:rsidRDefault="00695636" w:rsidP="001B595A">
      <w:pPr>
        <w:pStyle w:val="NumberedHeadingTLRI"/>
      </w:pPr>
      <w:bookmarkStart w:id="111" w:name="_Toc211849369"/>
      <w:bookmarkStart w:id="112" w:name="_Toc218157265"/>
      <w:bookmarkStart w:id="113" w:name="_Ref218252822"/>
      <w:r w:rsidRPr="00EC02CA">
        <w:t xml:space="preserve">Risk and protective factors associated with </w:t>
      </w:r>
      <w:r w:rsidR="004C56DA" w:rsidRPr="00EC02CA">
        <w:t xml:space="preserve">harmful sexual behaviour </w:t>
      </w:r>
      <w:r w:rsidRPr="00EC02CA">
        <w:t>and youth sexual offending</w:t>
      </w:r>
      <w:bookmarkEnd w:id="111"/>
      <w:bookmarkEnd w:id="112"/>
      <w:bookmarkEnd w:id="113"/>
      <w:r w:rsidRPr="00EC02CA">
        <w:t xml:space="preserve"> </w:t>
      </w:r>
    </w:p>
    <w:p w14:paraId="343B307A" w14:textId="5CCA428A" w:rsidR="00695636" w:rsidRPr="00EC02CA" w:rsidRDefault="001F0C47" w:rsidP="002F0007">
      <w:pPr>
        <w:pStyle w:val="NormalNumberedTextTLRI"/>
      </w:pPr>
      <w:r w:rsidRPr="00EC02CA">
        <w:t>T</w:t>
      </w:r>
      <w:r w:rsidR="00695636" w:rsidRPr="00EC02CA">
        <w:t xml:space="preserve">he risk factors </w:t>
      </w:r>
      <w:r w:rsidRPr="00EC02CA">
        <w:t xml:space="preserve">associated with </w:t>
      </w:r>
      <w:r w:rsidR="00695636" w:rsidRPr="00EC02CA">
        <w:t xml:space="preserve">all </w:t>
      </w:r>
      <w:r w:rsidRPr="00EC02CA">
        <w:t xml:space="preserve">types of </w:t>
      </w:r>
      <w:r w:rsidR="00695636" w:rsidRPr="00EC02CA">
        <w:t xml:space="preserve">offending behaviour by young people are well known, with research identifying factors such as family </w:t>
      </w:r>
      <w:r w:rsidRPr="00EC02CA">
        <w:t>circumstances</w:t>
      </w:r>
      <w:r w:rsidR="00695636" w:rsidRPr="00EC02CA">
        <w:t>, disengagement from education, disadvantage and poverty, homelessness, drug and alcohol use, poor mental health and intellectual disability.</w:t>
      </w:r>
      <w:bookmarkStart w:id="114" w:name="_Ref217929806"/>
      <w:r w:rsidR="00695636" w:rsidRPr="00EC02CA">
        <w:rPr>
          <w:rStyle w:val="FootnoteReference"/>
        </w:rPr>
        <w:footnoteReference w:id="168"/>
      </w:r>
      <w:bookmarkEnd w:id="114"/>
      <w:r w:rsidR="00695636" w:rsidRPr="00EC02CA">
        <w:t xml:space="preserve"> The impact of childhood trauma has also been identified as a risk factor, with exposure to adverse childhood experiences, ‘in the absence of protective factors, [being] associated with future criminal behaviour’.</w:t>
      </w:r>
      <w:r w:rsidR="00695636" w:rsidRPr="00EC02CA">
        <w:rPr>
          <w:rStyle w:val="FootnoteReference"/>
        </w:rPr>
        <w:footnoteReference w:id="169"/>
      </w:r>
      <w:r w:rsidR="00695636" w:rsidRPr="00EC02CA">
        <w:t xml:space="preserve"> As noted by </w:t>
      </w:r>
      <w:r w:rsidRPr="00EC02CA">
        <w:t xml:space="preserve">the </w:t>
      </w:r>
      <w:r w:rsidR="008F43FF" w:rsidRPr="00EC02CA">
        <w:t xml:space="preserve">Tasmanian </w:t>
      </w:r>
      <w:r w:rsidR="00695636" w:rsidRPr="00EC02CA">
        <w:t>S</w:t>
      </w:r>
      <w:r w:rsidR="008F43FF" w:rsidRPr="00EC02CA">
        <w:t xml:space="preserve">entencing </w:t>
      </w:r>
      <w:r w:rsidR="00695636" w:rsidRPr="00EC02CA">
        <w:t>A</w:t>
      </w:r>
      <w:r w:rsidR="008F43FF" w:rsidRPr="00EC02CA">
        <w:t xml:space="preserve">dvisory </w:t>
      </w:r>
      <w:r w:rsidR="00695636" w:rsidRPr="00EC02CA">
        <w:t>C</w:t>
      </w:r>
      <w:r w:rsidR="008F43FF" w:rsidRPr="00EC02CA">
        <w:t>ouncil</w:t>
      </w:r>
      <w:r w:rsidR="00695636" w:rsidRPr="00EC02CA">
        <w:t>, these characteristics are not presented as causes of youth offending, but as a way to ‘contextualise and understand both the nature of offending by young people and the response to offending by state agencies’.</w:t>
      </w:r>
      <w:r w:rsidR="00695636" w:rsidRPr="00EC02CA">
        <w:rPr>
          <w:rStyle w:val="FootnoteReference"/>
        </w:rPr>
        <w:footnoteReference w:id="170"/>
      </w:r>
      <w:r w:rsidR="00695636" w:rsidRPr="00EC02CA">
        <w:t xml:space="preserve"> In other words, risk factors are not determinative of offending behaviour</w:t>
      </w:r>
      <w:r w:rsidRPr="00EC02CA">
        <w:t>.</w:t>
      </w:r>
      <w:r w:rsidR="00695636" w:rsidRPr="00EC02CA">
        <w:t xml:space="preserve"> </w:t>
      </w:r>
      <w:r w:rsidRPr="00EC02CA">
        <w:t>E</w:t>
      </w:r>
      <w:r w:rsidR="00695636" w:rsidRPr="00EC02CA">
        <w:t>qually</w:t>
      </w:r>
      <w:r w:rsidRPr="00EC02CA">
        <w:t>,</w:t>
      </w:r>
      <w:r w:rsidR="00695636" w:rsidRPr="00EC02CA">
        <w:t xml:space="preserve"> the presence of multiple protective factors in a young person’s life does not prevent them from committing offences.</w:t>
      </w:r>
    </w:p>
    <w:p w14:paraId="5DBF827F" w14:textId="5E01597E" w:rsidR="00695636" w:rsidRPr="00EC02CA" w:rsidRDefault="00695636" w:rsidP="00A920EC">
      <w:pPr>
        <w:pStyle w:val="NormalNumberedTextTLRI"/>
      </w:pPr>
      <w:r w:rsidRPr="00EC02CA">
        <w:t>Many of these characteristics are also associated with sexual offending and harmful sexual behaviour. Literature from Australia, as well as internationally, suggests that ‘children’s harmful sexual behaviours are more likely to result from their context or situation, as distinct from personal motivations’.</w:t>
      </w:r>
      <w:r w:rsidRPr="00EC02CA">
        <w:rPr>
          <w:rStyle w:val="FootnoteReference"/>
        </w:rPr>
        <w:footnoteReference w:id="171"/>
      </w:r>
      <w:r w:rsidRPr="00EC02CA">
        <w:t xml:space="preserve"> In its research, the Royal Commission identified several adverse childhood experiences as contributing to the risk that children will engage in harmful sexual behaviour, including ‘prior sexual or physical abuse, exposure to family violence, interpersonal difficulties, and other influences, such as exposure to and consumption of pornography’.</w:t>
      </w:r>
      <w:r w:rsidRPr="00EC02CA">
        <w:rPr>
          <w:rStyle w:val="FootnoteReference"/>
        </w:rPr>
        <w:footnoteReference w:id="172"/>
      </w:r>
      <w:r w:rsidRPr="00EC02CA">
        <w:t xml:space="preserve"> In relation to youth sexual offending specifically, sexual curiosity and the onset of puberty are often recognised as high</w:t>
      </w:r>
      <w:r w:rsidR="00933D08" w:rsidRPr="00EC02CA">
        <w:t>-</w:t>
      </w:r>
      <w:r w:rsidRPr="00EC02CA">
        <w:t>risk periods, especially among young people who have engaged in delinquent behaviour.</w:t>
      </w:r>
    </w:p>
    <w:p w14:paraId="21477BE1" w14:textId="69BD8C02" w:rsidR="0075791C" w:rsidRPr="00EC02CA" w:rsidRDefault="0075791C" w:rsidP="002F0007">
      <w:pPr>
        <w:pStyle w:val="NormalNumberedTextTLRI"/>
      </w:pPr>
      <w:r w:rsidRPr="00EC02CA">
        <w:t xml:space="preserve">Further, a recent scoping review </w:t>
      </w:r>
      <w:r w:rsidR="00C017F5" w:rsidRPr="00EC02CA">
        <w:t xml:space="preserve">examining harmful sexual behaviour </w:t>
      </w:r>
      <w:r w:rsidRPr="00EC02CA">
        <w:t>identified ten pathways that may contribute to the onset of harmful sexual behaviour including factors such as experience of abusive behaviours in childhood, disruptions to attachment systems, poor sexual boundaries/education</w:t>
      </w:r>
      <w:r w:rsidR="004A28B9" w:rsidRPr="00EC02CA">
        <w:t>,</w:t>
      </w:r>
      <w:r w:rsidRPr="00EC02CA">
        <w:t xml:space="preserve"> and exposure to pornography or antisocial contexts. Existing literature has also shown that young people who commit sexual offences have often experienced higher rates of childhood maltreatment</w:t>
      </w:r>
      <w:r w:rsidR="004A28B9" w:rsidRPr="00EC02CA">
        <w:t xml:space="preserve"> –</w:t>
      </w:r>
      <w:r w:rsidRPr="00EC02CA">
        <w:t xml:space="preserve"> including physical and psychological neglect and abuse</w:t>
      </w:r>
      <w:r w:rsidR="004A28B9" w:rsidRPr="00EC02CA">
        <w:t>,</w:t>
      </w:r>
      <w:r w:rsidRPr="00EC02CA">
        <w:t xml:space="preserve"> and sexual abuse</w:t>
      </w:r>
      <w:r w:rsidRPr="00EC02CA">
        <w:fldChar w:fldCharType="begin">
          <w:fldData xml:space="preserve">PEVuZE5vdGU+PENpdGU+PEF1dGhvcj5CYXJyYTwvQXV0aG9yPjxZZWFyPjIwMTg8L1llYXI+PFJl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</w:fldData>
        </w:fldChar>
      </w:r>
      <w:r w:rsidRPr="00EC02CA">
        <w:instrText xml:space="preserve"> ADDIN EN.CITE </w:instrText>
      </w:r>
      <w:r w:rsidRPr="00EC02CA">
        <w:fldChar w:fldCharType="begin">
          <w:fldData xml:space="preserve">PEVuZE5vdGU+PENpdGU+PEF1dGhvcj5CYXJyYTwvQXV0aG9yPjxZZWFyPjIwMTg8L1llYXI+PFJl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</w:fldData>
        </w:fldChar>
      </w:r>
      <w:r w:rsidRPr="00EC02CA">
        <w:instrText xml:space="preserve"> ADDIN EN.CITE.DATA </w:instrText>
      </w:r>
      <w:r w:rsidRPr="00EC02CA">
        <w:fldChar w:fldCharType="end"/>
      </w:r>
      <w:r w:rsidRPr="00EC02CA">
        <w:fldChar w:fldCharType="separate"/>
      </w:r>
      <w:r w:rsidRPr="00EC02CA">
        <w:fldChar w:fldCharType="end"/>
      </w:r>
      <w:r w:rsidRPr="00EC02CA">
        <w:rPr>
          <w:vertAlign w:val="superscript"/>
        </w:rPr>
        <w:footnoteReference w:id="173"/>
      </w:r>
      <w:r w:rsidRPr="00EC02CA">
        <w:t xml:space="preserve"> </w:t>
      </w:r>
      <w:r w:rsidR="004A28B9" w:rsidRPr="00EC02CA">
        <w:t xml:space="preserve">– </w:t>
      </w:r>
      <w:r w:rsidRPr="00EC02CA">
        <w:t>than young people who do not engage in sexual offending. These adverse experiences can also include intrafamilial violence, contact with child protection agencies, difficulties at school (for example, absenteeism and disruptive behaviour) and the use of alcohol or illicit substances</w:t>
      </w:r>
      <w:r w:rsidRPr="00EC02CA">
        <w:fldChar w:fldCharType="begin">
          <w:fldData xml:space="preserve">PEVuZE5vdGU+PENpdGU+PEF1dGhvcj5BZWJpPC9BdXRob3I+PFllYXI+MjAxNTwvWWVhcj48UmVj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</w:fldData>
        </w:fldChar>
      </w:r>
      <w:r w:rsidRPr="00EC02CA">
        <w:instrText xml:space="preserve"> ADDIN EN.CITE </w:instrText>
      </w:r>
      <w:r w:rsidRPr="00EC02CA">
        <w:fldChar w:fldCharType="begin">
          <w:fldData xml:space="preserve">PEVuZE5vdGU+PENpdGU+PEF1dGhvcj5BZWJpPC9BdXRob3I+PFllYXI+MjAxNTwvWWVhcj48UmVj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</w:fldData>
        </w:fldChar>
      </w:r>
      <w:r w:rsidRPr="00EC02CA">
        <w:instrText xml:space="preserve"> ADDIN EN.CITE.DATA </w:instrText>
      </w:r>
      <w:r w:rsidRPr="00EC02CA">
        <w:fldChar w:fldCharType="end"/>
      </w:r>
      <w:r w:rsidRPr="00EC02CA">
        <w:fldChar w:fldCharType="separate"/>
      </w:r>
      <w:r w:rsidRPr="00EC02CA">
        <w:fldChar w:fldCharType="end"/>
      </w:r>
      <w:r w:rsidRPr="00EC02CA">
        <w:t>.</w:t>
      </w:r>
      <w:r w:rsidRPr="00EC02CA">
        <w:rPr>
          <w:vertAlign w:val="superscript"/>
        </w:rPr>
        <w:footnoteReference w:id="174"/>
      </w:r>
    </w:p>
    <w:p w14:paraId="16FE3B99" w14:textId="27B12ABB" w:rsidR="00695636" w:rsidRPr="00EC02CA" w:rsidRDefault="00695636" w:rsidP="00A920EC">
      <w:pPr>
        <w:pStyle w:val="NormalNumberedTextTLRI"/>
      </w:pPr>
      <w:r w:rsidRPr="00EC02CA">
        <w:t xml:space="preserve">In addition, young people who have committed sexual offences are more likely to have witnessed others engage in sexual acts or </w:t>
      </w:r>
      <w:r w:rsidR="004A28B9" w:rsidRPr="00EC02CA">
        <w:t xml:space="preserve">to </w:t>
      </w:r>
      <w:r w:rsidRPr="00EC02CA">
        <w:t>have explored their own sexual desires and experimented with pornography and consensual non-harmful sexual behaviours</w:t>
      </w:r>
      <w:r w:rsidR="004A28B9" w:rsidRPr="00EC02CA">
        <w:t>,</w:t>
      </w:r>
      <w:r w:rsidRPr="00EC02CA">
        <w:t xml:space="preserve"> prior to their offence.</w:t>
      </w:r>
      <w:r w:rsidRPr="00EC02CA">
        <w:rPr>
          <w:rStyle w:val="FootnoteReference"/>
          <w:sz w:val="24"/>
        </w:rPr>
        <w:t xml:space="preserve"> </w:t>
      </w:r>
      <w:r w:rsidRPr="00EC02CA">
        <w:rPr>
          <w:rStyle w:val="FootnoteReference"/>
        </w:rPr>
        <w:footnoteReference w:id="175"/>
      </w:r>
      <w:r w:rsidRPr="00EC02CA">
        <w:t xml:space="preserve"> Studies have also shown, however, that this pornography is more often considered ‘hard’ than ‘soft’, which may feed into deviant sexual fantasies of some young people.</w:t>
      </w:r>
      <w:bookmarkStart w:id="115" w:name="_Ref217930840"/>
      <w:r w:rsidRPr="00EC02CA">
        <w:rPr>
          <w:rStyle w:val="FootnoteReference"/>
        </w:rPr>
        <w:footnoteReference w:id="176"/>
      </w:r>
      <w:bookmarkEnd w:id="115"/>
      <w:r w:rsidRPr="00EC02CA">
        <w:t xml:space="preserve"> Research shows that:</w:t>
      </w:r>
    </w:p>
    <w:p w14:paraId="324120EB" w14:textId="5151531E" w:rsidR="00695636" w:rsidRPr="00EC02CA" w:rsidRDefault="004A28B9" w:rsidP="00695636">
      <w:pPr>
        <w:pStyle w:val="Indentedquote"/>
      </w:pPr>
      <w:r w:rsidRPr="00EC02CA">
        <w:t>[C]</w:t>
      </w:r>
      <w:r w:rsidR="00695636" w:rsidRPr="00EC02CA">
        <w:t>hildren and young people today are accessing pornography and sexually explicit material at increasing rates and that, with the proliferation of high-speed internet and smart phones, pornography is readily available. … There are indications that the proliferation of violent pornographic material is negatively affecting children’s sexual attitudes and behaviour. … consumers of violent, sexually explicit pornography are almost six times more likely to display sexually aggressive behaviour than those who do not consume such material. … Frequent viewing of pornography has also been linked to sexually coercive behaviour by boys in intimate relationships.</w:t>
      </w:r>
      <w:r w:rsidR="00695636" w:rsidRPr="00EC02CA">
        <w:rPr>
          <w:rStyle w:val="FootnoteReference"/>
        </w:rPr>
        <w:t xml:space="preserve"> </w:t>
      </w:r>
      <w:r w:rsidR="00695636" w:rsidRPr="00EC02CA">
        <w:rPr>
          <w:rStyle w:val="FootnoteReference"/>
        </w:rPr>
        <w:footnoteReference w:id="177"/>
      </w:r>
    </w:p>
    <w:p w14:paraId="0798A407" w14:textId="72F96B31" w:rsidR="00695636" w:rsidRPr="00EC02CA" w:rsidRDefault="00695636" w:rsidP="002F0007">
      <w:pPr>
        <w:pStyle w:val="NormalNumberedTextTLRI"/>
        <w:rPr>
          <w:color w:val="215E99" w:themeColor="text2" w:themeTint="BF"/>
        </w:rPr>
      </w:pPr>
      <w:r w:rsidRPr="00EC02CA">
        <w:t>Importantly, Australian research has found that 75% of young people have encountered internet pornography, which is consistent with international research that has shown that most young people have encountered internet pornography.</w:t>
      </w:r>
      <w:r w:rsidRPr="00EC02CA">
        <w:rPr>
          <w:rStyle w:val="FootnoteReference"/>
        </w:rPr>
        <w:footnoteReference w:id="178"/>
      </w:r>
      <w:r w:rsidRPr="00EC02CA">
        <w:t xml:space="preserve"> Data from eSafety’s survey of the online experiences of young people in Australia (</w:t>
      </w:r>
      <w:r w:rsidR="00001212" w:rsidRPr="00EC02CA">
        <w:t>N</w:t>
      </w:r>
      <w:r w:rsidRPr="00EC02CA">
        <w:t>=</w:t>
      </w:r>
      <w:r w:rsidR="007C5F74" w:rsidRPr="00EC02CA">
        <w:t>2</w:t>
      </w:r>
      <w:r w:rsidR="004A28B9" w:rsidRPr="00EC02CA">
        <w:t>,</w:t>
      </w:r>
      <w:r w:rsidR="007C5F74" w:rsidRPr="00EC02CA">
        <w:t>629</w:t>
      </w:r>
      <w:r w:rsidRPr="00EC02CA">
        <w:t xml:space="preserve">) found that </w:t>
      </w:r>
      <w:r w:rsidR="007C5F74" w:rsidRPr="00EC02CA">
        <w:t>26</w:t>
      </w:r>
      <w:r w:rsidRPr="00EC02CA">
        <w:t xml:space="preserve">% of children had seen sexual images or videos online, and </w:t>
      </w:r>
      <w:r w:rsidR="007C5F74" w:rsidRPr="00EC02CA">
        <w:t>9</w:t>
      </w:r>
      <w:r w:rsidRPr="00EC02CA">
        <w:t>% ha</w:t>
      </w:r>
      <w:r w:rsidR="004A28B9" w:rsidRPr="00EC02CA">
        <w:t>d</w:t>
      </w:r>
      <w:r w:rsidRPr="00EC02CA">
        <w:t xml:space="preserve"> seen violent sexual images or videos online.</w:t>
      </w:r>
      <w:r w:rsidRPr="00EC02CA">
        <w:rPr>
          <w:rStyle w:val="FootnoteReference"/>
        </w:rPr>
        <w:footnoteReference w:id="179"/>
      </w:r>
    </w:p>
    <w:p w14:paraId="7C6DC183" w14:textId="3471DD41" w:rsidR="00695636" w:rsidRPr="00EC02CA" w:rsidRDefault="00695636" w:rsidP="002F0007">
      <w:pPr>
        <w:pStyle w:val="NormalNumberedTextTLRI"/>
      </w:pPr>
      <w:r w:rsidRPr="00EC02CA">
        <w:t>While research has identified that individual factors (such as these) may escalate risk on a pathway or may provide a ‘tipping point’ for harmful sexual behaviour,</w:t>
      </w:r>
      <w:r w:rsidRPr="00EC02CA">
        <w:rPr>
          <w:rStyle w:val="FootnoteReference"/>
        </w:rPr>
        <w:footnoteReference w:id="180"/>
      </w:r>
      <w:r w:rsidRPr="00EC02CA">
        <w:t xml:space="preserve"> understanding </w:t>
      </w:r>
      <w:r w:rsidR="002277EC" w:rsidRPr="00EC02CA">
        <w:t>harmful sexual behaviour</w:t>
      </w:r>
      <w:r w:rsidRPr="00EC02CA">
        <w:t xml:space="preserve"> is more complex. It is the unique contributions and interactions of vulnerability factors, triggering factors, maintaining </w:t>
      </w:r>
      <w:r w:rsidR="004A28B9" w:rsidRPr="00EC02CA">
        <w:t xml:space="preserve">factors </w:t>
      </w:r>
      <w:r w:rsidRPr="00EC02CA">
        <w:t xml:space="preserve">and protective factors that appear to differentiate between those youths who engage in developmentally appropriate versus harmful sexual behaviour (as shown in Table </w:t>
      </w:r>
      <w:r w:rsidR="002277EC" w:rsidRPr="00EC02CA">
        <w:t>2.7</w:t>
      </w:r>
      <w:r w:rsidRPr="00EC02CA">
        <w:t>).</w:t>
      </w:r>
    </w:p>
    <w:p w14:paraId="19A5BDF8" w14:textId="1B91E64E" w:rsidR="00695636" w:rsidRPr="00EC02CA" w:rsidRDefault="00695636" w:rsidP="00A920EC">
      <w:pPr>
        <w:keepNext/>
        <w:keepLines/>
      </w:pPr>
      <w:r w:rsidRPr="00EC02CA">
        <w:rPr>
          <w:b/>
          <w:bCs/>
        </w:rPr>
        <w:t xml:space="preserve">Table </w:t>
      </w:r>
      <w:r w:rsidR="002277EC" w:rsidRPr="00EC02CA">
        <w:rPr>
          <w:b/>
          <w:bCs/>
        </w:rPr>
        <w:t>2.7</w:t>
      </w:r>
      <w:r w:rsidRPr="00EC02CA">
        <w:t xml:space="preserve">: Key factors that correlate with development of </w:t>
      </w:r>
      <w:r w:rsidR="002277EC" w:rsidRPr="00EC02CA">
        <w:t>harmful sexual behaviour</w:t>
      </w:r>
    </w:p>
    <w:tbl>
      <w:tblPr>
        <w:tblStyle w:val="TableGrid"/>
        <w:tblW w:w="0" w:type="auto"/>
        <w:tblLook w:val="04A0" w:firstRow="1" w:lastRow="0" w:firstColumn="1" w:lastColumn="0" w:noHBand="0" w:noVBand="1"/>
      </w:tblPr>
      <w:tblGrid>
        <w:gridCol w:w="2254"/>
        <w:gridCol w:w="2254"/>
        <w:gridCol w:w="2254"/>
        <w:gridCol w:w="2254"/>
      </w:tblGrid>
      <w:tr w:rsidR="00695636" w:rsidRPr="00EC02CA" w14:paraId="707FCAF7" w14:textId="77777777" w:rsidTr="00A920EC">
        <w:trPr>
          <w:trHeight w:val="300"/>
        </w:trPr>
        <w:tc>
          <w:tcPr>
            <w:tcW w:w="2254" w:type="dxa"/>
          </w:tcPr>
          <w:p w14:paraId="0675A4D8" w14:textId="77777777" w:rsidR="00695636" w:rsidRPr="00EC02CA" w:rsidRDefault="00695636" w:rsidP="00A920EC">
            <w:pPr>
              <w:keepNext/>
              <w:keepLines/>
              <w:spacing w:before="60" w:after="60"/>
              <w:rPr>
                <w:b/>
                <w:bCs/>
                <w:sz w:val="20"/>
              </w:rPr>
            </w:pPr>
            <w:r w:rsidRPr="00EC02CA">
              <w:rPr>
                <w:b/>
                <w:bCs/>
                <w:sz w:val="20"/>
                <w:szCs w:val="20"/>
              </w:rPr>
              <w:t>Vulnerability Factors</w:t>
            </w:r>
          </w:p>
        </w:tc>
        <w:tc>
          <w:tcPr>
            <w:tcW w:w="2254" w:type="dxa"/>
          </w:tcPr>
          <w:p w14:paraId="6A41AC76" w14:textId="77777777" w:rsidR="00695636" w:rsidRPr="00EC02CA" w:rsidRDefault="00695636" w:rsidP="00A920EC">
            <w:pPr>
              <w:keepNext/>
              <w:keepLines/>
              <w:spacing w:before="60" w:after="60"/>
              <w:rPr>
                <w:b/>
                <w:bCs/>
                <w:sz w:val="20"/>
              </w:rPr>
            </w:pPr>
            <w:r w:rsidRPr="00EC02CA">
              <w:rPr>
                <w:b/>
                <w:bCs/>
                <w:sz w:val="20"/>
                <w:szCs w:val="20"/>
              </w:rPr>
              <w:t>Triggering Factors</w:t>
            </w:r>
          </w:p>
        </w:tc>
        <w:tc>
          <w:tcPr>
            <w:tcW w:w="2254" w:type="dxa"/>
          </w:tcPr>
          <w:p w14:paraId="74821B55" w14:textId="77777777" w:rsidR="00695636" w:rsidRPr="00EC02CA" w:rsidRDefault="00695636" w:rsidP="00A920EC">
            <w:pPr>
              <w:keepNext/>
              <w:keepLines/>
              <w:spacing w:before="60" w:after="60"/>
              <w:rPr>
                <w:b/>
                <w:bCs/>
                <w:sz w:val="20"/>
              </w:rPr>
            </w:pPr>
            <w:r w:rsidRPr="00EC02CA">
              <w:rPr>
                <w:b/>
                <w:bCs/>
                <w:sz w:val="20"/>
                <w:szCs w:val="20"/>
              </w:rPr>
              <w:t xml:space="preserve">Maintaining Factors </w:t>
            </w:r>
          </w:p>
        </w:tc>
        <w:tc>
          <w:tcPr>
            <w:tcW w:w="2254" w:type="dxa"/>
          </w:tcPr>
          <w:p w14:paraId="3E5F7E5F" w14:textId="77777777" w:rsidR="00695636" w:rsidRPr="00EC02CA" w:rsidRDefault="00695636" w:rsidP="00A920EC">
            <w:pPr>
              <w:keepNext/>
              <w:keepLines/>
              <w:spacing w:before="60" w:after="60"/>
              <w:rPr>
                <w:b/>
                <w:bCs/>
                <w:sz w:val="20"/>
              </w:rPr>
            </w:pPr>
            <w:r w:rsidRPr="00EC02CA">
              <w:rPr>
                <w:b/>
                <w:bCs/>
                <w:sz w:val="20"/>
                <w:szCs w:val="20"/>
              </w:rPr>
              <w:t>Protective Factors</w:t>
            </w:r>
          </w:p>
        </w:tc>
      </w:tr>
      <w:tr w:rsidR="00695636" w:rsidRPr="00EC02CA" w14:paraId="181EA486" w14:textId="77777777" w:rsidTr="00A920EC">
        <w:trPr>
          <w:trHeight w:val="300"/>
        </w:trPr>
        <w:tc>
          <w:tcPr>
            <w:tcW w:w="2254" w:type="dxa"/>
          </w:tcPr>
          <w:p w14:paraId="719A585E" w14:textId="46521C2D" w:rsidR="00695636" w:rsidRPr="00EC02CA" w:rsidRDefault="00886B70" w:rsidP="00A920EC">
            <w:pPr>
              <w:keepNext/>
              <w:keepLines/>
              <w:spacing w:before="60" w:after="60"/>
              <w:jc w:val="left"/>
              <w:rPr>
                <w:sz w:val="20"/>
              </w:rPr>
            </w:pPr>
            <w:r w:rsidRPr="00EC02CA">
              <w:rPr>
                <w:sz w:val="20"/>
                <w:szCs w:val="20"/>
              </w:rPr>
              <w:t>Victim-survivor</w:t>
            </w:r>
            <w:r w:rsidR="00695636" w:rsidRPr="00EC02CA">
              <w:rPr>
                <w:sz w:val="20"/>
                <w:szCs w:val="20"/>
              </w:rPr>
              <w:t xml:space="preserve"> of physical, psychological and sexual abuse/violence, as well as neglect, particularly when this occurs:</w:t>
            </w:r>
          </w:p>
          <w:p w14:paraId="493D0B0E" w14:textId="77777777" w:rsidR="00695636" w:rsidRPr="00EC02CA" w:rsidRDefault="00695636" w:rsidP="00A920EC">
            <w:pPr>
              <w:keepNext/>
              <w:keepLines/>
              <w:spacing w:before="60" w:after="60"/>
              <w:jc w:val="left"/>
              <w:rPr>
                <w:sz w:val="20"/>
              </w:rPr>
            </w:pPr>
            <w:r w:rsidRPr="00EC02CA">
              <w:rPr>
                <w:sz w:val="20"/>
                <w:szCs w:val="20"/>
              </w:rPr>
              <w:t xml:space="preserve">At a younger age </w:t>
            </w:r>
          </w:p>
          <w:p w14:paraId="45DDEA22" w14:textId="77777777" w:rsidR="00695636" w:rsidRPr="00EC02CA" w:rsidRDefault="00695636" w:rsidP="00A920EC">
            <w:pPr>
              <w:keepNext/>
              <w:keepLines/>
              <w:spacing w:before="60" w:after="60"/>
              <w:jc w:val="left"/>
              <w:rPr>
                <w:sz w:val="20"/>
              </w:rPr>
            </w:pPr>
            <w:r w:rsidRPr="00EC02CA">
              <w:rPr>
                <w:sz w:val="20"/>
                <w:szCs w:val="20"/>
              </w:rPr>
              <w:t>Over and longer periods of time</w:t>
            </w:r>
          </w:p>
          <w:p w14:paraId="6D6BF038" w14:textId="77777777" w:rsidR="00695636" w:rsidRPr="00EC02CA" w:rsidRDefault="00695636" w:rsidP="00A920EC">
            <w:pPr>
              <w:keepNext/>
              <w:keepLines/>
              <w:spacing w:before="60" w:after="60"/>
              <w:jc w:val="left"/>
              <w:rPr>
                <w:sz w:val="20"/>
              </w:rPr>
            </w:pPr>
            <w:r w:rsidRPr="00EC02CA">
              <w:rPr>
                <w:sz w:val="20"/>
                <w:szCs w:val="20"/>
              </w:rPr>
              <w:t>A greater number of incidents</w:t>
            </w:r>
          </w:p>
          <w:p w14:paraId="60EB7453" w14:textId="77777777" w:rsidR="00695636" w:rsidRPr="00EC02CA" w:rsidRDefault="00695636" w:rsidP="00A920EC">
            <w:pPr>
              <w:keepNext/>
              <w:keepLines/>
              <w:spacing w:before="60" w:after="60"/>
              <w:jc w:val="left"/>
              <w:rPr>
                <w:sz w:val="20"/>
              </w:rPr>
            </w:pPr>
            <w:r w:rsidRPr="00EC02CA">
              <w:rPr>
                <w:sz w:val="20"/>
                <w:szCs w:val="20"/>
              </w:rPr>
              <w:t>Lower perceived family support</w:t>
            </w:r>
          </w:p>
          <w:p w14:paraId="43DA8837" w14:textId="77777777" w:rsidR="00695636" w:rsidRPr="00EC02CA" w:rsidRDefault="00695636" w:rsidP="00A920EC">
            <w:pPr>
              <w:keepNext/>
              <w:keepLines/>
              <w:spacing w:before="60" w:after="60"/>
              <w:jc w:val="left"/>
              <w:rPr>
                <w:sz w:val="20"/>
              </w:rPr>
            </w:pPr>
            <w:r w:rsidRPr="00EC02CA">
              <w:rPr>
                <w:sz w:val="20"/>
                <w:szCs w:val="20"/>
              </w:rPr>
              <w:t xml:space="preserve">Longer periods of time before disclosure </w:t>
            </w:r>
          </w:p>
          <w:p w14:paraId="31A88DAF" w14:textId="77777777" w:rsidR="00695636" w:rsidRPr="00EC02CA" w:rsidRDefault="00695636" w:rsidP="00A920EC">
            <w:pPr>
              <w:keepNext/>
              <w:keepLines/>
              <w:spacing w:before="60" w:after="60"/>
              <w:jc w:val="left"/>
              <w:rPr>
                <w:sz w:val="20"/>
              </w:rPr>
            </w:pPr>
            <w:r w:rsidRPr="00EC02CA">
              <w:rPr>
                <w:sz w:val="20"/>
                <w:szCs w:val="20"/>
              </w:rPr>
              <w:t>Emotion regulation difficulties</w:t>
            </w:r>
          </w:p>
          <w:p w14:paraId="2A50350A" w14:textId="77777777" w:rsidR="00695636" w:rsidRPr="00EC02CA" w:rsidRDefault="00695636" w:rsidP="00A920EC">
            <w:pPr>
              <w:keepNext/>
              <w:keepLines/>
              <w:spacing w:before="60" w:after="60"/>
              <w:jc w:val="left"/>
              <w:rPr>
                <w:sz w:val="20"/>
              </w:rPr>
            </w:pPr>
            <w:r w:rsidRPr="00EC02CA">
              <w:rPr>
                <w:sz w:val="20"/>
                <w:szCs w:val="20"/>
              </w:rPr>
              <w:t>Maladaptive family dynamics</w:t>
            </w:r>
          </w:p>
          <w:p w14:paraId="620F7887" w14:textId="77777777" w:rsidR="00695636" w:rsidRPr="00EC02CA" w:rsidRDefault="00695636" w:rsidP="00A920EC">
            <w:pPr>
              <w:keepNext/>
              <w:keepLines/>
              <w:spacing w:before="60" w:after="60"/>
              <w:jc w:val="left"/>
              <w:rPr>
                <w:sz w:val="20"/>
              </w:rPr>
            </w:pPr>
            <w:r w:rsidRPr="00EC02CA">
              <w:rPr>
                <w:sz w:val="20"/>
                <w:szCs w:val="20"/>
              </w:rPr>
              <w:t>Low self-esteem</w:t>
            </w:r>
          </w:p>
          <w:p w14:paraId="068FC038" w14:textId="77777777" w:rsidR="00695636" w:rsidRPr="00EC02CA" w:rsidRDefault="00695636" w:rsidP="00A920EC">
            <w:pPr>
              <w:keepNext/>
              <w:keepLines/>
              <w:spacing w:before="60" w:after="60"/>
              <w:jc w:val="left"/>
              <w:rPr>
                <w:sz w:val="20"/>
              </w:rPr>
            </w:pPr>
            <w:r w:rsidRPr="00EC02CA">
              <w:rPr>
                <w:sz w:val="20"/>
                <w:szCs w:val="20"/>
              </w:rPr>
              <w:t>Social isolation</w:t>
            </w:r>
          </w:p>
        </w:tc>
        <w:tc>
          <w:tcPr>
            <w:tcW w:w="2254" w:type="dxa"/>
          </w:tcPr>
          <w:p w14:paraId="53CDCA68" w14:textId="77777777" w:rsidR="00695636" w:rsidRPr="00EC02CA" w:rsidRDefault="00695636" w:rsidP="00A920EC">
            <w:pPr>
              <w:keepNext/>
              <w:keepLines/>
              <w:spacing w:before="60" w:after="60"/>
              <w:jc w:val="left"/>
              <w:rPr>
                <w:sz w:val="20"/>
              </w:rPr>
            </w:pPr>
            <w:r w:rsidRPr="00EC02CA">
              <w:rPr>
                <w:sz w:val="20"/>
                <w:szCs w:val="20"/>
              </w:rPr>
              <w:t>Stress</w:t>
            </w:r>
          </w:p>
          <w:p w14:paraId="18DADC1D" w14:textId="77777777" w:rsidR="00695636" w:rsidRPr="00EC02CA" w:rsidRDefault="00695636" w:rsidP="00A920EC">
            <w:pPr>
              <w:keepNext/>
              <w:keepLines/>
              <w:spacing w:before="60" w:after="60"/>
              <w:jc w:val="left"/>
              <w:rPr>
                <w:sz w:val="20"/>
              </w:rPr>
            </w:pPr>
            <w:r w:rsidRPr="00EC02CA">
              <w:rPr>
                <w:sz w:val="20"/>
                <w:szCs w:val="20"/>
              </w:rPr>
              <w:t>Curiosity</w:t>
            </w:r>
          </w:p>
          <w:p w14:paraId="1F3B0055" w14:textId="77777777" w:rsidR="00695636" w:rsidRPr="00EC02CA" w:rsidRDefault="00695636" w:rsidP="00A920EC">
            <w:pPr>
              <w:keepNext/>
              <w:keepLines/>
              <w:spacing w:before="60" w:after="60"/>
              <w:jc w:val="left"/>
              <w:rPr>
                <w:sz w:val="20"/>
              </w:rPr>
            </w:pPr>
            <w:r w:rsidRPr="00EC02CA">
              <w:rPr>
                <w:sz w:val="20"/>
                <w:szCs w:val="20"/>
              </w:rPr>
              <w:t>Impulsivity</w:t>
            </w:r>
          </w:p>
          <w:p w14:paraId="35886E68" w14:textId="77777777" w:rsidR="00695636" w:rsidRPr="00EC02CA" w:rsidRDefault="00695636" w:rsidP="00A920EC">
            <w:pPr>
              <w:keepNext/>
              <w:keepLines/>
              <w:spacing w:before="60" w:after="60"/>
              <w:jc w:val="left"/>
              <w:rPr>
                <w:sz w:val="20"/>
              </w:rPr>
            </w:pPr>
            <w:r w:rsidRPr="00EC02CA">
              <w:rPr>
                <w:sz w:val="20"/>
                <w:szCs w:val="20"/>
              </w:rPr>
              <w:t>Disinhibition due to factors such as substance or alcohol use</w:t>
            </w:r>
          </w:p>
          <w:p w14:paraId="4E006818" w14:textId="77777777" w:rsidR="00695636" w:rsidRPr="00EC02CA" w:rsidRDefault="00695636" w:rsidP="00A920EC">
            <w:pPr>
              <w:keepNext/>
              <w:keepLines/>
              <w:spacing w:before="60" w:after="60"/>
              <w:jc w:val="left"/>
              <w:rPr>
                <w:sz w:val="20"/>
              </w:rPr>
            </w:pPr>
            <w:r w:rsidRPr="00EC02CA">
              <w:rPr>
                <w:sz w:val="20"/>
                <w:szCs w:val="20"/>
              </w:rPr>
              <w:t>Exacerbation of existing mental health difficulties</w:t>
            </w:r>
          </w:p>
          <w:p w14:paraId="00A6322C" w14:textId="77777777" w:rsidR="00695636" w:rsidRPr="00EC02CA" w:rsidRDefault="00695636" w:rsidP="00A920EC">
            <w:pPr>
              <w:keepNext/>
              <w:keepLines/>
              <w:spacing w:before="60" w:after="60"/>
              <w:jc w:val="left"/>
              <w:rPr>
                <w:sz w:val="20"/>
              </w:rPr>
            </w:pPr>
            <w:r w:rsidRPr="00EC02CA">
              <w:rPr>
                <w:sz w:val="20"/>
                <w:szCs w:val="20"/>
              </w:rPr>
              <w:t xml:space="preserve">Early exposure to non-violent and violent pornography </w:t>
            </w:r>
          </w:p>
        </w:tc>
        <w:tc>
          <w:tcPr>
            <w:tcW w:w="2254" w:type="dxa"/>
          </w:tcPr>
          <w:p w14:paraId="02DF601C" w14:textId="77777777" w:rsidR="00695636" w:rsidRPr="00EC02CA" w:rsidRDefault="00695636" w:rsidP="00A920EC">
            <w:pPr>
              <w:keepNext/>
              <w:keepLines/>
              <w:spacing w:before="60" w:after="60"/>
              <w:jc w:val="left"/>
              <w:rPr>
                <w:sz w:val="20"/>
              </w:rPr>
            </w:pPr>
            <w:r w:rsidRPr="00EC02CA">
              <w:rPr>
                <w:sz w:val="20"/>
                <w:szCs w:val="20"/>
              </w:rPr>
              <w:t>Lack of detection of acts of harmful sexual behaviour</w:t>
            </w:r>
          </w:p>
          <w:p w14:paraId="4E76C666" w14:textId="0F41CC4D" w:rsidR="00695636" w:rsidRPr="00EC02CA" w:rsidRDefault="00695636" w:rsidP="00A920EC">
            <w:pPr>
              <w:keepNext/>
              <w:keepLines/>
              <w:spacing w:before="60" w:after="60"/>
              <w:jc w:val="left"/>
              <w:rPr>
                <w:sz w:val="20"/>
              </w:rPr>
            </w:pPr>
            <w:r w:rsidRPr="00EC02CA">
              <w:rPr>
                <w:sz w:val="20"/>
                <w:szCs w:val="20"/>
              </w:rPr>
              <w:t>Antisocial peer group, who may also engage in harmful sexual behaviours</w:t>
            </w:r>
          </w:p>
          <w:p w14:paraId="3DA60D2F" w14:textId="77777777" w:rsidR="00695636" w:rsidRPr="00EC02CA" w:rsidRDefault="00695636" w:rsidP="00A920EC">
            <w:pPr>
              <w:keepNext/>
              <w:keepLines/>
              <w:spacing w:before="60" w:after="60"/>
              <w:jc w:val="left"/>
              <w:rPr>
                <w:sz w:val="20"/>
              </w:rPr>
            </w:pPr>
            <w:r w:rsidRPr="00EC02CA">
              <w:rPr>
                <w:sz w:val="20"/>
                <w:szCs w:val="20"/>
              </w:rPr>
              <w:t>Interacting with people who share similar inappropriate attitudes regarding harmful sexual behaviours</w:t>
            </w:r>
          </w:p>
          <w:p w14:paraId="2654924D" w14:textId="77777777" w:rsidR="00695636" w:rsidRPr="00EC02CA" w:rsidRDefault="00695636" w:rsidP="00A920EC">
            <w:pPr>
              <w:keepNext/>
              <w:keepLines/>
              <w:spacing w:before="60" w:after="60"/>
              <w:jc w:val="left"/>
              <w:rPr>
                <w:sz w:val="20"/>
              </w:rPr>
            </w:pPr>
            <w:r w:rsidRPr="00EC02CA">
              <w:rPr>
                <w:sz w:val="20"/>
                <w:szCs w:val="20"/>
              </w:rPr>
              <w:t>Delayed or absent intervention</w:t>
            </w:r>
          </w:p>
        </w:tc>
        <w:tc>
          <w:tcPr>
            <w:tcW w:w="2254" w:type="dxa"/>
          </w:tcPr>
          <w:p w14:paraId="157D5FBA" w14:textId="77777777" w:rsidR="00695636" w:rsidRPr="00EC02CA" w:rsidRDefault="00695636" w:rsidP="00A920EC">
            <w:pPr>
              <w:keepNext/>
              <w:keepLines/>
              <w:spacing w:before="60" w:after="60"/>
              <w:jc w:val="left"/>
              <w:rPr>
                <w:sz w:val="20"/>
              </w:rPr>
            </w:pPr>
            <w:r w:rsidRPr="00EC02CA">
              <w:rPr>
                <w:sz w:val="20"/>
                <w:szCs w:val="20"/>
              </w:rPr>
              <w:t>Family support</w:t>
            </w:r>
          </w:p>
          <w:p w14:paraId="05CE2E8D" w14:textId="77777777" w:rsidR="00695636" w:rsidRPr="00EC02CA" w:rsidRDefault="00695636" w:rsidP="00A920EC">
            <w:pPr>
              <w:keepNext/>
              <w:keepLines/>
              <w:spacing w:before="60" w:after="60"/>
              <w:jc w:val="left"/>
              <w:rPr>
                <w:sz w:val="20"/>
              </w:rPr>
            </w:pPr>
            <w:r w:rsidRPr="00EC02CA">
              <w:rPr>
                <w:sz w:val="20"/>
                <w:szCs w:val="20"/>
              </w:rPr>
              <w:t>Early disclosure of sexual abuse or victimisation experiences</w:t>
            </w:r>
          </w:p>
          <w:p w14:paraId="51DC91BE" w14:textId="77777777" w:rsidR="00695636" w:rsidRPr="00EC02CA" w:rsidRDefault="00695636" w:rsidP="00A920EC">
            <w:pPr>
              <w:keepNext/>
              <w:keepLines/>
              <w:spacing w:before="60" w:after="60"/>
              <w:jc w:val="left"/>
              <w:rPr>
                <w:sz w:val="20"/>
              </w:rPr>
            </w:pPr>
            <w:r w:rsidRPr="00EC02CA">
              <w:rPr>
                <w:sz w:val="20"/>
                <w:szCs w:val="20"/>
              </w:rPr>
              <w:t xml:space="preserve">Early disclosure of harmful sexual behaviours </w:t>
            </w:r>
          </w:p>
          <w:p w14:paraId="15CFFA8C" w14:textId="77777777" w:rsidR="00695636" w:rsidRPr="00EC02CA" w:rsidRDefault="00695636" w:rsidP="00A920EC">
            <w:pPr>
              <w:keepNext/>
              <w:keepLines/>
              <w:spacing w:before="60" w:after="60"/>
              <w:jc w:val="left"/>
              <w:rPr>
                <w:sz w:val="20"/>
              </w:rPr>
            </w:pPr>
            <w:r w:rsidRPr="00EC02CA">
              <w:rPr>
                <w:sz w:val="20"/>
                <w:szCs w:val="20"/>
              </w:rPr>
              <w:t>Adaptive family dynamics</w:t>
            </w:r>
          </w:p>
          <w:p w14:paraId="66CB7C23" w14:textId="77777777" w:rsidR="00695636" w:rsidRPr="00EC02CA" w:rsidRDefault="00695636" w:rsidP="00A920EC">
            <w:pPr>
              <w:keepNext/>
              <w:keepLines/>
              <w:spacing w:before="60" w:after="60"/>
              <w:jc w:val="left"/>
              <w:rPr>
                <w:sz w:val="20"/>
              </w:rPr>
            </w:pPr>
            <w:r w:rsidRPr="00EC02CA">
              <w:rPr>
                <w:sz w:val="20"/>
                <w:szCs w:val="20"/>
              </w:rPr>
              <w:t>Prosocial attitudes</w:t>
            </w:r>
          </w:p>
          <w:p w14:paraId="27663C28" w14:textId="77777777" w:rsidR="00695636" w:rsidRPr="00EC02CA" w:rsidRDefault="00695636" w:rsidP="00A920EC">
            <w:pPr>
              <w:keepNext/>
              <w:keepLines/>
              <w:spacing w:before="60" w:after="60"/>
              <w:jc w:val="left"/>
              <w:rPr>
                <w:sz w:val="20"/>
              </w:rPr>
            </w:pPr>
            <w:r w:rsidRPr="00EC02CA">
              <w:rPr>
                <w:sz w:val="20"/>
                <w:szCs w:val="20"/>
              </w:rPr>
              <w:t>Early intervention</w:t>
            </w:r>
          </w:p>
        </w:tc>
      </w:tr>
    </w:tbl>
    <w:p w14:paraId="6A9A61EC" w14:textId="4DD2275D" w:rsidR="00695636" w:rsidRPr="00EC02CA" w:rsidRDefault="00695636" w:rsidP="002F0007">
      <w:pPr>
        <w:pStyle w:val="NormalNumberedTextTLRI"/>
      </w:pPr>
      <w:r w:rsidRPr="00EC02CA">
        <w:t>Accordingly</w:t>
      </w:r>
      <w:r w:rsidR="004A28B9" w:rsidRPr="00EC02CA">
        <w:t>,</w:t>
      </w:r>
      <w:r w:rsidRPr="00EC02CA">
        <w:t xml:space="preserve"> integrated theories of sexual offending</w:t>
      </w:r>
      <w:r w:rsidR="00B517CB" w:rsidRPr="00EC02CA">
        <w:t>,</w:t>
      </w:r>
      <w:r w:rsidRPr="00EC02CA">
        <w:t xml:space="preserve"> and more recent theoretical frameworks</w:t>
      </w:r>
      <w:r w:rsidR="00B517CB" w:rsidRPr="00EC02CA">
        <w:t>,</w:t>
      </w:r>
      <w:r w:rsidRPr="00EC02CA">
        <w:t xml:space="preserve"> emphasise the nexus between ecosystem </w:t>
      </w:r>
      <w:r w:rsidR="00B517CB" w:rsidRPr="00EC02CA">
        <w:t xml:space="preserve">factors </w:t>
      </w:r>
      <w:r w:rsidRPr="00EC02CA">
        <w:t>(for example, familia</w:t>
      </w:r>
      <w:r w:rsidR="00B517CB" w:rsidRPr="00EC02CA">
        <w:t>l</w:t>
      </w:r>
      <w:r w:rsidRPr="00EC02CA">
        <w:t xml:space="preserve"> antisocial attitudes, socioeconomic disadvantage, poor school engagement) and motivation</w:t>
      </w:r>
      <w:r w:rsidR="00B517CB" w:rsidRPr="00EC02CA">
        <w:t>,</w:t>
      </w:r>
      <w:r w:rsidRPr="00EC02CA">
        <w:t xml:space="preserve"> in youth sexual offending. Further, situational factors (for example, substance use, co-offending, location, coercion and/or force) may best explain how individual offending manifests in time and place.</w:t>
      </w:r>
      <w:r w:rsidRPr="00EC02CA">
        <w:rPr>
          <w:vertAlign w:val="superscript"/>
        </w:rPr>
        <w:footnoteReference w:id="181"/>
      </w:r>
    </w:p>
    <w:p w14:paraId="3FAB923F" w14:textId="1DC3B7C2" w:rsidR="00695636" w:rsidRPr="00EC02CA" w:rsidRDefault="00695636" w:rsidP="002F0007">
      <w:pPr>
        <w:pStyle w:val="NormalNumberedTextTLRI"/>
      </w:pPr>
      <w:r w:rsidRPr="00EC02CA">
        <w:t xml:space="preserve">A recognition of this broader systemic context of harmful sexual behaviour in </w:t>
      </w:r>
      <w:r w:rsidR="00451D05" w:rsidRPr="00EC02CA">
        <w:t xml:space="preserve">young people </w:t>
      </w:r>
      <w:r w:rsidRPr="00EC02CA">
        <w:t xml:space="preserve">is key to the development of effective interventions, as </w:t>
      </w:r>
      <w:r w:rsidR="00B517CB" w:rsidRPr="00EC02CA">
        <w:t xml:space="preserve">it </w:t>
      </w:r>
      <w:r w:rsidRPr="00EC02CA">
        <w:t xml:space="preserve">highlights the </w:t>
      </w:r>
      <w:r w:rsidR="00B517CB" w:rsidRPr="00EC02CA">
        <w:t>need to</w:t>
      </w:r>
      <w:r w:rsidRPr="00EC02CA">
        <w:t xml:space="preserve"> address familial/social dynamics in intervention strategies, whenever appropriate and safe to do so.</w:t>
      </w:r>
      <w:bookmarkStart w:id="116" w:name="_Ref217980275"/>
      <w:r w:rsidRPr="00EC02CA">
        <w:rPr>
          <w:rStyle w:val="FootnoteReference"/>
        </w:rPr>
        <w:footnoteReference w:id="182"/>
      </w:r>
      <w:bookmarkEnd w:id="116"/>
      <w:r w:rsidRPr="00EC02CA">
        <w:t xml:space="preserve"> As discussed at </w:t>
      </w:r>
      <w:r w:rsidR="00451D05" w:rsidRPr="00EC02CA">
        <w:t>[</w:t>
      </w:r>
      <w:r w:rsidR="00CA443E" w:rsidRPr="00EC02CA">
        <w:fldChar w:fldCharType="begin"/>
      </w:r>
      <w:r w:rsidR="00CA443E" w:rsidRPr="00EC02CA">
        <w:instrText xml:space="preserve"> REF _Ref218253353 \r \h </w:instrText>
      </w:r>
      <w:r w:rsidR="00CA443E" w:rsidRPr="00EC02CA">
        <w:fldChar w:fldCharType="separate"/>
      </w:r>
      <w:r w:rsidR="007D7830">
        <w:t>3.5</w:t>
      </w:r>
      <w:r w:rsidR="00CA443E" w:rsidRPr="00EC02CA">
        <w:fldChar w:fldCharType="end"/>
      </w:r>
      <w:r w:rsidR="00451D05" w:rsidRPr="00EC02CA">
        <w:t>]</w:t>
      </w:r>
      <w:r w:rsidRPr="00EC02CA">
        <w:t>, treatment interventions have been shown to be most effective when they include family members</w:t>
      </w:r>
      <w:r w:rsidR="00B517CB" w:rsidRPr="00EC02CA">
        <w:t xml:space="preserve">, </w:t>
      </w:r>
      <w:r w:rsidRPr="00EC02CA">
        <w:t>caregivers</w:t>
      </w:r>
      <w:r w:rsidR="00B517CB" w:rsidRPr="00EC02CA">
        <w:t xml:space="preserve"> and </w:t>
      </w:r>
      <w:r w:rsidRPr="00EC02CA">
        <w:t>social support networks</w:t>
      </w:r>
      <w:r w:rsidR="00451D05" w:rsidRPr="00EC02CA">
        <w:t>.</w:t>
      </w:r>
      <w:r w:rsidR="00451D05" w:rsidRPr="00EC02CA">
        <w:rPr>
          <w:rStyle w:val="FootnoteReference"/>
        </w:rPr>
        <w:footnoteReference w:id="183"/>
      </w:r>
    </w:p>
    <w:p w14:paraId="341649DD" w14:textId="6CE987EA" w:rsidR="00695636" w:rsidRPr="00EC02CA" w:rsidRDefault="00695636" w:rsidP="002F0007">
      <w:pPr>
        <w:pStyle w:val="NormalNumberedTextTLRI"/>
      </w:pPr>
      <w:r w:rsidRPr="00EC02CA">
        <w:t>Other research that has attempted to categorise youth sexual offending types and severity, and link this to offending trajectories and treatment approaches, has gained more empirical momentum in recent years.</w:t>
      </w:r>
      <w:r w:rsidRPr="00EC02CA">
        <w:rPr>
          <w:rStyle w:val="FootnoteReference"/>
        </w:rPr>
        <w:footnoteReference w:id="184"/>
      </w:r>
      <w:r w:rsidRPr="00EC02CA">
        <w:t xml:space="preserve"> Common features suggest that age of onset, prior offending history, impulsivity, opportunity</w:t>
      </w:r>
      <w:r w:rsidR="00B517CB" w:rsidRPr="00EC02CA">
        <w:t>,</w:t>
      </w:r>
      <w:r w:rsidRPr="00EC02CA">
        <w:t xml:space="preserve"> and environmental and social factors are important variables </w:t>
      </w:r>
      <w:r w:rsidR="00B517CB" w:rsidRPr="00EC02CA">
        <w:t>associated with</w:t>
      </w:r>
      <w:r w:rsidRPr="00EC02CA">
        <w:t xml:space="preserve"> higher rates of recidivism.</w:t>
      </w:r>
      <w:r w:rsidRPr="00EC02CA">
        <w:rPr>
          <w:rStyle w:val="FootnoteReference"/>
        </w:rPr>
        <w:footnoteReference w:id="185"/>
      </w:r>
      <w:r w:rsidRPr="00EC02CA">
        <w:t xml:space="preserve"> Yet, from the available literature, there does not appear to be a universally accepted categorisation of the differing typologies of young people who </w:t>
      </w:r>
      <w:r w:rsidR="009C6DC3" w:rsidRPr="00EC02CA">
        <w:t xml:space="preserve">commit </w:t>
      </w:r>
      <w:r w:rsidRPr="00EC02CA">
        <w:t xml:space="preserve">sexual offences. Additionally, it is not yet known whether young people engaging in online </w:t>
      </w:r>
      <w:r w:rsidR="00B517CB" w:rsidRPr="00EC02CA">
        <w:t xml:space="preserve">harmful sexual </w:t>
      </w:r>
      <w:r w:rsidRPr="00EC02CA">
        <w:t xml:space="preserve">behaviour would be captured within the existing offender typologies or whether the increased ease of </w:t>
      </w:r>
      <w:r w:rsidR="009C6DC3" w:rsidRPr="00EC02CA">
        <w:t xml:space="preserve">offending </w:t>
      </w:r>
      <w:r w:rsidRPr="00EC02CA">
        <w:t>through online technology requires a unique classification.</w:t>
      </w:r>
    </w:p>
    <w:p w14:paraId="1ACE6AC5" w14:textId="077882E6" w:rsidR="00695636" w:rsidRPr="00EC02CA" w:rsidRDefault="004D1739" w:rsidP="00A920EC">
      <w:pPr>
        <w:pStyle w:val="NumberedHeadingTLRI"/>
      </w:pPr>
      <w:bookmarkStart w:id="117" w:name="_Toc211849370"/>
      <w:bookmarkStart w:id="118" w:name="_Toc218157266"/>
      <w:bookmarkStart w:id="119" w:name="_Ref218241170"/>
      <w:r w:rsidRPr="00EC02CA">
        <w:t>Prevention Assessment Support Treatment (</w:t>
      </w:r>
      <w:r w:rsidR="00695636" w:rsidRPr="00EC02CA">
        <w:t>PAST</w:t>
      </w:r>
      <w:r w:rsidRPr="00EC02CA">
        <w:t>)</w:t>
      </w:r>
      <w:r w:rsidR="00695636" w:rsidRPr="00EC02CA">
        <w:t xml:space="preserve"> Program Review</w:t>
      </w:r>
      <w:bookmarkEnd w:id="117"/>
      <w:bookmarkEnd w:id="118"/>
      <w:bookmarkEnd w:id="119"/>
    </w:p>
    <w:p w14:paraId="7BE2C5D4" w14:textId="17648ABC" w:rsidR="00695636" w:rsidRPr="00EC02CA" w:rsidRDefault="00695636" w:rsidP="002F0007">
      <w:pPr>
        <w:pStyle w:val="NormalNumberedTextTLRI"/>
      </w:pPr>
      <w:r w:rsidRPr="00EC02CA">
        <w:t>As noted, Tasmania’s PAST program, which provides services for young people exhibiting harmful sexual behaviour</w:t>
      </w:r>
      <w:r w:rsidR="004C56DA" w:rsidRPr="00EC02CA">
        <w:t xml:space="preserve"> (HSB)</w:t>
      </w:r>
      <w:r w:rsidRPr="00EC02CA">
        <w:t>, was evaluated in 2023. Data obtained from an analysis of therapeutic case files from participants in the PAST program provides some information about the characteristics of children and young people who received therapeutic support in Tasmania. It shows that most clients were male (78%) and the most common age for referral was 13. The ages of clients (at the time of referrals) ranged from four to 18, with over half of the clients being aged under 12 at the time of referral (59.6%). A majority of clients:</w:t>
      </w:r>
    </w:p>
    <w:p w14:paraId="45CC540C" w14:textId="072B0E70" w:rsidR="00695636" w:rsidRPr="00EC02CA" w:rsidRDefault="00695636" w:rsidP="00695636">
      <w:pPr>
        <w:pStyle w:val="DotPointTLRI"/>
      </w:pPr>
      <w:r w:rsidRPr="00EC02CA">
        <w:t>had a disability (58.2%)</w:t>
      </w:r>
    </w:p>
    <w:p w14:paraId="4AC117EA" w14:textId="77777777" w:rsidR="00695636" w:rsidRPr="00EC02CA" w:rsidRDefault="00695636" w:rsidP="00695636">
      <w:pPr>
        <w:pStyle w:val="DotPointTLRI"/>
      </w:pPr>
      <w:r w:rsidRPr="00EC02CA">
        <w:t>lived with either one or both of their parents (77%)</w:t>
      </w:r>
    </w:p>
    <w:p w14:paraId="6CBF57C1" w14:textId="77777777" w:rsidR="00695636" w:rsidRPr="00EC02CA" w:rsidRDefault="00695636" w:rsidP="00695636">
      <w:pPr>
        <w:pStyle w:val="DotPointTLRI"/>
      </w:pPr>
      <w:r w:rsidRPr="00EC02CA">
        <w:t>lived with other young people (65%)</w:t>
      </w:r>
    </w:p>
    <w:p w14:paraId="03966899" w14:textId="77777777" w:rsidR="00695636" w:rsidRPr="00EC02CA" w:rsidRDefault="00695636" w:rsidP="00695636">
      <w:pPr>
        <w:pStyle w:val="DotPointTLRI"/>
      </w:pPr>
      <w:r w:rsidRPr="00EC02CA">
        <w:t>did not identify as Aboriginal or Torres Strait Islander (85.6%).</w:t>
      </w:r>
      <w:r w:rsidRPr="00EC02CA">
        <w:rPr>
          <w:rStyle w:val="FootnoteReference"/>
        </w:rPr>
        <w:footnoteReference w:id="186"/>
      </w:r>
    </w:p>
    <w:p w14:paraId="3C377532" w14:textId="77777777" w:rsidR="00695636" w:rsidRPr="00EC02CA" w:rsidRDefault="00695636" w:rsidP="002F0007">
      <w:pPr>
        <w:pStyle w:val="NormalNumberedTextTLRI"/>
      </w:pPr>
      <w:r w:rsidRPr="00EC02CA">
        <w:t>The data showed that:</w:t>
      </w:r>
    </w:p>
    <w:p w14:paraId="3697E12C" w14:textId="4A34B10B" w:rsidR="00695636" w:rsidRPr="00EC02CA" w:rsidRDefault="00E75FBD" w:rsidP="00695636">
      <w:pPr>
        <w:pStyle w:val="Indentedquote"/>
      </w:pPr>
      <w:r w:rsidRPr="00EC02CA">
        <w:t>[T]</w:t>
      </w:r>
      <w:r w:rsidR="00695636" w:rsidRPr="00EC02CA">
        <w:t xml:space="preserve">he majority of all children and young people attending therapy with the PAST </w:t>
      </w:r>
      <w:r w:rsidR="00A24CA3">
        <w:t>p</w:t>
      </w:r>
      <w:r w:rsidR="00695636" w:rsidRPr="00EC02CA">
        <w:t>rogram had been exposed to multiple adverse childhood experiences including parental separation or divorce, mental illness or addiction, domestic violence, physical abuse, sexual abuse, emotional abuse, neglect, bullying, parental imprisonment or the death of a parent.</w:t>
      </w:r>
      <w:r w:rsidR="00695636" w:rsidRPr="00EC02CA">
        <w:rPr>
          <w:rStyle w:val="FootnoteReference"/>
        </w:rPr>
        <w:footnoteReference w:id="187"/>
      </w:r>
    </w:p>
    <w:p w14:paraId="7BA61EEF" w14:textId="1D32809E" w:rsidR="00695636" w:rsidRPr="00EC02CA" w:rsidRDefault="00695636" w:rsidP="002F0007">
      <w:pPr>
        <w:pStyle w:val="NormalNumberedTextTLRI"/>
      </w:pPr>
      <w:r w:rsidRPr="00EC02CA">
        <w:t xml:space="preserve">PAST data showed that 37.8% of children </w:t>
      </w:r>
      <w:r w:rsidR="00443598" w:rsidRPr="00EC02CA">
        <w:t xml:space="preserve">attending the program </w:t>
      </w:r>
      <w:r w:rsidRPr="00EC02CA">
        <w:t>had witnessed domestic and family violence, and this was ‘consistently identified by staff from stakeholder agencies responding to HSB as a common feature in the lives of children and young people displaying HSB’.</w:t>
      </w:r>
      <w:r w:rsidRPr="00EC02CA">
        <w:rPr>
          <w:rStyle w:val="FootnoteReference"/>
        </w:rPr>
        <w:footnoteReference w:id="188"/>
      </w:r>
    </w:p>
    <w:p w14:paraId="2EFDC1BE" w14:textId="77777777" w:rsidR="00695636" w:rsidRPr="00EC02CA" w:rsidRDefault="00695636" w:rsidP="00A920EC">
      <w:pPr>
        <w:pStyle w:val="NumberedHeadingTLRI"/>
      </w:pPr>
      <w:bookmarkStart w:id="120" w:name="_Toc211849371"/>
      <w:bookmarkStart w:id="121" w:name="_Toc218157267"/>
      <w:r w:rsidRPr="00EC02CA">
        <w:t>TLRI interviewees’ views on the nature of sexual offending by young people</w:t>
      </w:r>
      <w:bookmarkEnd w:id="120"/>
      <w:bookmarkEnd w:id="121"/>
    </w:p>
    <w:p w14:paraId="57FE66DF" w14:textId="186BB917" w:rsidR="00695636" w:rsidRPr="00EC02CA" w:rsidRDefault="00695636" w:rsidP="002F0007">
      <w:pPr>
        <w:pStyle w:val="NormalNumberedTextTLRI"/>
      </w:pPr>
      <w:r w:rsidRPr="00EC02CA">
        <w:t xml:space="preserve">Participants in the interviews conducted by the TLRI also expressed their views about factors associated with sexual offending by young people. The nature of the professional expertise of some of the participants interviewed by the TLRI meant that they mainly had contact with complex cases. Others saw a spectrum in the seriousness of sexual matters involving young people. It was recognised across the interviews that youth sexual offending was complex. These complexities were discussed in 31 interviews, </w:t>
      </w:r>
      <w:r w:rsidR="001E09ED" w:rsidRPr="00EC02CA">
        <w:t xml:space="preserve">and </w:t>
      </w:r>
      <w:r w:rsidRPr="00EC02CA">
        <w:t>includ</w:t>
      </w:r>
      <w:r w:rsidR="001E09ED" w:rsidRPr="00EC02CA">
        <w:t>ed:</w:t>
      </w:r>
      <w:r w:rsidRPr="00EC02CA">
        <w:t xml:space="preserve"> the impacts and reactivity stemming from adverse childhood experiences</w:t>
      </w:r>
      <w:r w:rsidR="001E09ED" w:rsidRPr="00EC02CA">
        <w:t>;</w:t>
      </w:r>
      <w:r w:rsidRPr="00EC02CA">
        <w:t xml:space="preserve"> parenting issues that may enable offending behaviour</w:t>
      </w:r>
      <w:r w:rsidR="001E09ED" w:rsidRPr="00EC02CA">
        <w:t>;</w:t>
      </w:r>
      <w:r w:rsidRPr="00EC02CA">
        <w:t xml:space="preserve"> cognitive or intellectual disabilities</w:t>
      </w:r>
      <w:r w:rsidR="001E09ED" w:rsidRPr="00EC02CA">
        <w:t>,</w:t>
      </w:r>
      <w:r w:rsidRPr="00EC02CA">
        <w:t xml:space="preserve"> such as intellectual disability, attention deficit hyperactivity disorder (ADHD) and autism spectrum disorders</w:t>
      </w:r>
      <w:r w:rsidR="00451D05" w:rsidRPr="00EC02CA">
        <w:t xml:space="preserve"> (ASD)</w:t>
      </w:r>
      <w:r w:rsidR="001E09ED" w:rsidRPr="00EC02CA">
        <w:t>;</w:t>
      </w:r>
      <w:r w:rsidRPr="00EC02CA">
        <w:t xml:space="preserve"> lack of understanding of what constitutes offending behaviour</w:t>
      </w:r>
      <w:r w:rsidR="001E09ED" w:rsidRPr="00EC02CA">
        <w:t>;</w:t>
      </w:r>
      <w:r w:rsidRPr="00EC02CA">
        <w:t xml:space="preserve"> and lack of understanding about consent.</w:t>
      </w:r>
    </w:p>
    <w:p w14:paraId="55BD527A" w14:textId="7135C688" w:rsidR="00695636" w:rsidRPr="00EC02CA" w:rsidRDefault="00695636" w:rsidP="002F0007">
      <w:pPr>
        <w:pStyle w:val="NormalNumberedTextTLRI"/>
      </w:pPr>
      <w:r w:rsidRPr="00EC02CA">
        <w:t>Adverse childhood experiences were noted in 1</w:t>
      </w:r>
      <w:r w:rsidR="00747C2F" w:rsidRPr="00EC02CA">
        <w:t>3</w:t>
      </w:r>
      <w:r w:rsidRPr="00EC02CA">
        <w:t xml:space="preserve"> interviews, and included</w:t>
      </w:r>
      <w:r w:rsidR="001E09ED" w:rsidRPr="00EC02CA">
        <w:t>:</w:t>
      </w:r>
      <w:r w:rsidRPr="00EC02CA">
        <w:t xml:space="preserve"> experienc</w:t>
      </w:r>
      <w:r w:rsidR="001E09ED" w:rsidRPr="00EC02CA">
        <w:t>es of</w:t>
      </w:r>
      <w:r w:rsidRPr="00EC02CA">
        <w:t xml:space="preserve"> domestic violence incidents in the home</w:t>
      </w:r>
      <w:r w:rsidR="001E09ED" w:rsidRPr="00EC02CA">
        <w:t>;</w:t>
      </w:r>
      <w:r w:rsidRPr="00EC02CA">
        <w:t xml:space="preserve"> growing up in out</w:t>
      </w:r>
      <w:r w:rsidR="00B567A3" w:rsidRPr="00EC02CA">
        <w:t>-</w:t>
      </w:r>
      <w:r w:rsidRPr="00EC02CA">
        <w:t>of</w:t>
      </w:r>
      <w:r w:rsidR="00B567A3" w:rsidRPr="00EC02CA">
        <w:t>-</w:t>
      </w:r>
      <w:r w:rsidRPr="00EC02CA">
        <w:t>home care</w:t>
      </w:r>
      <w:r w:rsidR="001E09ED" w:rsidRPr="00EC02CA">
        <w:t>;</w:t>
      </w:r>
      <w:r w:rsidRPr="00EC02CA">
        <w:t xml:space="preserve"> exposure to alcohol and substance misuse</w:t>
      </w:r>
      <w:r w:rsidR="001E09ED" w:rsidRPr="00EC02CA">
        <w:t>;</w:t>
      </w:r>
      <w:r w:rsidRPr="00EC02CA">
        <w:t xml:space="preserve"> </w:t>
      </w:r>
      <w:r w:rsidR="00C75551" w:rsidRPr="00EC02CA">
        <w:t xml:space="preserve">witnessing </w:t>
      </w:r>
      <w:r w:rsidRPr="00EC02CA">
        <w:t>inappropriate sexual behaviour and content from others</w:t>
      </w:r>
      <w:r w:rsidR="00C75551" w:rsidRPr="00EC02CA">
        <w:t>;</w:t>
      </w:r>
      <w:r w:rsidRPr="00EC02CA">
        <w:t xml:space="preserve"> and experiences of sexual abuse. One interviewee noted, ‘sadly, most of our experience is that when we do dig deeper a child's been offended against themselves, or at least exposed to age-inappropriate sexual activity’</w:t>
      </w:r>
      <w:r w:rsidR="00492834" w:rsidRPr="00EC02CA">
        <w:t>.</w:t>
      </w:r>
      <w:r w:rsidRPr="00EC02CA">
        <w:rPr>
          <w:rStyle w:val="FootnoteReference"/>
        </w:rPr>
        <w:footnoteReference w:id="189"/>
      </w:r>
      <w:r w:rsidRPr="00EC02CA">
        <w:t xml:space="preserve"> Another observed:</w:t>
      </w:r>
    </w:p>
    <w:p w14:paraId="5B11E783" w14:textId="385664C5" w:rsidR="00695636" w:rsidRPr="00EC02CA" w:rsidRDefault="001560EC" w:rsidP="00695636">
      <w:pPr>
        <w:pStyle w:val="Indentedquote"/>
      </w:pPr>
      <w:r w:rsidRPr="00EC02CA">
        <w:t>[W]</w:t>
      </w:r>
      <w:r w:rsidR="00695636" w:rsidRPr="00EC02CA">
        <w:t xml:space="preserve">hen you actually meet these children, there’s always reasons as to why they have offended, so, they're very much victims themselves. When you start to look beneath the veneer, it's pretty much universal that these children have a wide variety of presentations, whether it's exposure to pornography, family violence at home, poverty, </w:t>
      </w:r>
      <w:r w:rsidRPr="00EC02CA">
        <w:t xml:space="preserve">[or they] </w:t>
      </w:r>
      <w:r w:rsidR="00695636" w:rsidRPr="00EC02CA">
        <w:t>have been sexually abused themselves.</w:t>
      </w:r>
      <w:r w:rsidR="00695636" w:rsidRPr="00EC02CA">
        <w:rPr>
          <w:rStyle w:val="FootnoteReference"/>
        </w:rPr>
        <w:footnoteReference w:id="190"/>
      </w:r>
    </w:p>
    <w:p w14:paraId="58EB7A95" w14:textId="63CA885F" w:rsidR="00695636" w:rsidRPr="00EC02CA" w:rsidRDefault="00695636" w:rsidP="002F0007">
      <w:pPr>
        <w:pStyle w:val="NormalNumberedTextTLRI"/>
      </w:pPr>
      <w:r w:rsidRPr="00EC02CA">
        <w:t>Extending this, parenting issues were explicitly noted in 1</w:t>
      </w:r>
      <w:r w:rsidR="00747C2F" w:rsidRPr="00EC02CA">
        <w:t>3</w:t>
      </w:r>
      <w:r w:rsidRPr="00EC02CA">
        <w:t xml:space="preserve"> interviews in relation to youth sexual offending. One interviewee stated</w:t>
      </w:r>
      <w:r w:rsidR="008C0F2A" w:rsidRPr="00EC02CA">
        <w:t>,</w:t>
      </w:r>
      <w:r w:rsidRPr="00EC02CA">
        <w:t xml:space="preserve"> ‘It’s been interesting. I find it depends on the family. Some families are quite gung-ho and very, very vocal, very intense, whereas other families completely hide what's happened, or won't speak about it with their children either’</w:t>
      </w:r>
      <w:r w:rsidR="00492834" w:rsidRPr="00EC02CA">
        <w:t>.</w:t>
      </w:r>
      <w:r w:rsidRPr="00EC02CA">
        <w:rPr>
          <w:rStyle w:val="FootnoteReference"/>
        </w:rPr>
        <w:footnoteReference w:id="191"/>
      </w:r>
      <w:r w:rsidRPr="00EC02CA">
        <w:t xml:space="preserve"> Another interviewee said:</w:t>
      </w:r>
    </w:p>
    <w:p w14:paraId="5CCA98D8" w14:textId="77777777" w:rsidR="00695636" w:rsidRPr="00EC02CA" w:rsidRDefault="00695636" w:rsidP="00695636">
      <w:pPr>
        <w:pStyle w:val="Indentedquote"/>
      </w:pPr>
      <w:r w:rsidRPr="00EC02CA">
        <w:t>The youth that don't have a strong support network, whether it be family and friends or those sort of things, that have been exposed to less than premium parenting, they will have no chance of understanding what is right and wrong in that space, because they grow up and they see what mum and dad do and they think that's normal life.</w:t>
      </w:r>
      <w:r w:rsidRPr="00EC02CA">
        <w:rPr>
          <w:rStyle w:val="FootnoteReference"/>
        </w:rPr>
        <w:footnoteReference w:id="192"/>
      </w:r>
    </w:p>
    <w:p w14:paraId="06A6724C" w14:textId="6BDEA264" w:rsidR="00695636" w:rsidRPr="00EC02CA" w:rsidRDefault="00695636" w:rsidP="002F0007">
      <w:pPr>
        <w:pStyle w:val="NormalNumberedTextTLRI"/>
      </w:pPr>
      <w:r w:rsidRPr="00EC02CA">
        <w:t xml:space="preserve">Cognitive and intellectual disabilities were noted in </w:t>
      </w:r>
      <w:r w:rsidR="0039290F" w:rsidRPr="00EC02CA">
        <w:t>21</w:t>
      </w:r>
      <w:r w:rsidRPr="00EC02CA">
        <w:t xml:space="preserve"> interviews, and primarily included reference to diagnoses of ADHD and </w:t>
      </w:r>
      <w:r w:rsidR="001560EC" w:rsidRPr="00EC02CA">
        <w:t>ASD</w:t>
      </w:r>
      <w:r w:rsidRPr="00EC02CA">
        <w:t>, which were reported to impact on a young person’s ability to understand their behaviour, social and personal boundaries</w:t>
      </w:r>
      <w:r w:rsidR="001560EC" w:rsidRPr="00EC02CA">
        <w:t>,</w:t>
      </w:r>
      <w:r w:rsidRPr="00EC02CA">
        <w:t xml:space="preserve"> and impulsivity. One interviewee noted:</w:t>
      </w:r>
    </w:p>
    <w:p w14:paraId="3A7B7EC3" w14:textId="008ABE8E" w:rsidR="00695636" w:rsidRPr="00EC02CA" w:rsidRDefault="00695636" w:rsidP="00695636">
      <w:pPr>
        <w:pStyle w:val="Indentedquote"/>
      </w:pPr>
      <w:r w:rsidRPr="00EC02CA">
        <w:t>[</w:t>
      </w:r>
      <w:r w:rsidR="00BE3422" w:rsidRPr="00EC02CA">
        <w:t>I</w:t>
      </w:r>
      <w:r w:rsidRPr="00EC02CA">
        <w:t xml:space="preserve">n] our program, [we’re] seeing a fair few kids who have ASD or </w:t>
      </w:r>
      <w:r w:rsidR="001560EC" w:rsidRPr="00EC02CA">
        <w:t xml:space="preserve">[are] </w:t>
      </w:r>
      <w:r w:rsidRPr="00EC02CA">
        <w:t xml:space="preserve">somewhere on the spectrum or have the diagnosis of ADHD. So, there's some impulsive behaviours going on and all those things are having some sort of impact on their behaviours and maybe </w:t>
      </w:r>
      <w:r w:rsidR="001560EC" w:rsidRPr="00EC02CA">
        <w:t xml:space="preserve">their </w:t>
      </w:r>
      <w:r w:rsidRPr="00EC02CA">
        <w:t xml:space="preserve">inability to have insight into </w:t>
      </w:r>
      <w:r w:rsidR="001560EC" w:rsidRPr="00EC02CA">
        <w:t>…</w:t>
      </w:r>
      <w:r w:rsidRPr="00EC02CA">
        <w:t xml:space="preserve"> how their behaviours might be harming someone else. And therefore, that is impacting the intent behind their behaviours.</w:t>
      </w:r>
      <w:r w:rsidRPr="00EC02CA">
        <w:rPr>
          <w:rStyle w:val="FootnoteReference"/>
        </w:rPr>
        <w:footnoteReference w:id="193"/>
      </w:r>
    </w:p>
    <w:p w14:paraId="2EBADEAD" w14:textId="209660B3" w:rsidR="00695636" w:rsidRPr="00EC02CA" w:rsidRDefault="00695636" w:rsidP="002F0007">
      <w:pPr>
        <w:pStyle w:val="NormalNumberedTextTLRI"/>
      </w:pPr>
      <w:r w:rsidRPr="00EC02CA">
        <w:t xml:space="preserve">Thirteen interviewees observed </w:t>
      </w:r>
      <w:r w:rsidR="001560EC" w:rsidRPr="00EC02CA">
        <w:t xml:space="preserve">that </w:t>
      </w:r>
      <w:r w:rsidRPr="00EC02CA">
        <w:t xml:space="preserve">many young people had a lack of understanding of what behaviours are considered sexual offending. This largely centred around the creation and distribution of self-produced </w:t>
      </w:r>
      <w:r w:rsidR="005D11BF" w:rsidRPr="00EC02CA">
        <w:t>CSA</w:t>
      </w:r>
      <w:r w:rsidRPr="00EC02CA">
        <w:t xml:space="preserve"> material and image-based abuse, but also included behaviour in intimate and peer relationships. One interviewee noted:</w:t>
      </w:r>
    </w:p>
    <w:p w14:paraId="51FD5289" w14:textId="77777777" w:rsidR="00695636" w:rsidRPr="00EC02CA" w:rsidRDefault="00695636" w:rsidP="00695636">
      <w:pPr>
        <w:pStyle w:val="Indentedquote"/>
      </w:pPr>
      <w:r w:rsidRPr="00EC02CA">
        <w:t>I think there might be a lack of knowledge across Tasmanian youth generally that, for example, if they send naked images of themselves, they're actually transmitting child sexual abuse images. I don't think there's a great understanding both within youth and the wider community, that that is the case. Just because somebody's under 18 doesn't mean that they're free to send naked pictures of themselves to someone else who's under 18.</w:t>
      </w:r>
      <w:r w:rsidRPr="00EC02CA">
        <w:rPr>
          <w:rStyle w:val="FootnoteReference"/>
        </w:rPr>
        <w:footnoteReference w:id="194"/>
      </w:r>
      <w:r w:rsidRPr="00EC02CA">
        <w:t xml:space="preserve"> </w:t>
      </w:r>
    </w:p>
    <w:p w14:paraId="2BF034C1" w14:textId="4408872C" w:rsidR="001439ED" w:rsidRPr="00EC02CA" w:rsidRDefault="00695636" w:rsidP="00A920EC">
      <w:pPr>
        <w:pStyle w:val="NormalNumberedTextTLRI"/>
      </w:pPr>
      <w:r w:rsidRPr="00EC02CA">
        <w:t>Another interviewee similarly stated, ‘if their friend sends them a photo of them, a nude photo of themselves, they're committing an offence by having that image’</w:t>
      </w:r>
      <w:r w:rsidR="00492834" w:rsidRPr="00EC02CA">
        <w:t>.</w:t>
      </w:r>
      <w:r w:rsidRPr="00EC02CA">
        <w:rPr>
          <w:rStyle w:val="FootnoteReference"/>
        </w:rPr>
        <w:footnoteReference w:id="195"/>
      </w:r>
    </w:p>
    <w:p w14:paraId="005E7739" w14:textId="16367C27" w:rsidR="00695636" w:rsidRPr="00EC02CA" w:rsidRDefault="00695636" w:rsidP="002F0007">
      <w:pPr>
        <w:pStyle w:val="NormalNumberedTextTLRI"/>
      </w:pPr>
      <w:r w:rsidRPr="00EC02CA">
        <w:t xml:space="preserve">The lack of understanding of sexual offending also extended specifically into a lack of understanding of consent. This was discussed in 13 interviews. </w:t>
      </w:r>
      <w:r w:rsidR="001439ED" w:rsidRPr="00EC02CA">
        <w:t>Additionally, one interviewee reported, ‘I still think there's a lot of rape myths, even amongst young people, about what constitutes an offence and what they might perceive as being romantic’</w:t>
      </w:r>
      <w:r w:rsidR="00492834" w:rsidRPr="00EC02CA">
        <w:t>.</w:t>
      </w:r>
      <w:r w:rsidR="001439ED" w:rsidRPr="00EC02CA">
        <w:rPr>
          <w:rStyle w:val="FootnoteReference"/>
        </w:rPr>
        <w:footnoteReference w:id="196"/>
      </w:r>
      <w:r w:rsidR="001439ED" w:rsidRPr="00EC02CA">
        <w:t>Another</w:t>
      </w:r>
      <w:r w:rsidRPr="00EC02CA">
        <w:t xml:space="preserve"> interviewee stated:</w:t>
      </w:r>
    </w:p>
    <w:p w14:paraId="43108446" w14:textId="43459D7D" w:rsidR="00695636" w:rsidRPr="00EC02CA" w:rsidRDefault="00695636" w:rsidP="00695636">
      <w:pPr>
        <w:pStyle w:val="Indentedquote"/>
      </w:pPr>
      <w:r w:rsidRPr="00EC02CA">
        <w:t xml:space="preserve">There's certainly a lack of understanding about what consent looks like and how one positively consents to an act, or how someone withdraws from that. And I think especially young people don't fully grasp boundaries, and don’t understand </w:t>
      </w:r>
      <w:r w:rsidR="007C0DBC" w:rsidRPr="00EC02CA">
        <w:t xml:space="preserve">… </w:t>
      </w:r>
      <w:r w:rsidRPr="00EC02CA">
        <w:t xml:space="preserve">boundaries and </w:t>
      </w:r>
      <w:r w:rsidR="007C0DBC" w:rsidRPr="00EC02CA">
        <w:t xml:space="preserve">[what is] </w:t>
      </w:r>
      <w:r w:rsidRPr="00EC02CA">
        <w:t>overstepping boundaries in the height of passion, they don't really care. They just keep going.</w:t>
      </w:r>
      <w:r w:rsidRPr="00EC02CA">
        <w:rPr>
          <w:rStyle w:val="FootnoteReference"/>
        </w:rPr>
        <w:footnoteReference w:id="197"/>
      </w:r>
    </w:p>
    <w:p w14:paraId="3D01ABFB" w14:textId="60B79C86" w:rsidR="00695636" w:rsidRPr="00EC02CA" w:rsidRDefault="00695636" w:rsidP="002F0007">
      <w:pPr>
        <w:pStyle w:val="NormalNumberedTextTLRI"/>
      </w:pPr>
      <w:r w:rsidRPr="00EC02CA">
        <w:t>There was a shared concern about the role of technology in youth-perpetrated sexual offending. This was discussed in 2</w:t>
      </w:r>
      <w:r w:rsidR="004740B5" w:rsidRPr="00EC02CA">
        <w:t>6</w:t>
      </w:r>
      <w:r w:rsidRPr="00EC02CA">
        <w:t xml:space="preserve"> interviews, particularly in relation to facilitating image-based abuse. As one interviewee noted, ‘So bang, it just goes out to any student who's got their AirDrop on their phone, </w:t>
      </w:r>
      <w:r w:rsidR="007C0DBC" w:rsidRPr="00EC02CA">
        <w:t xml:space="preserve">[they receive] </w:t>
      </w:r>
      <w:r w:rsidRPr="00EC02CA">
        <w:t>it suddenly on the phone in a school setting, and I just think the harm and the shame and the embarrassment that must come from that is just, how do you measure that, really?’.</w:t>
      </w:r>
      <w:r w:rsidRPr="00EC02CA">
        <w:rPr>
          <w:rStyle w:val="FootnoteReference"/>
        </w:rPr>
        <w:footnoteReference w:id="198"/>
      </w:r>
      <w:r w:rsidRPr="00EC02CA">
        <w:t xml:space="preserve"> Another interviewee noted:</w:t>
      </w:r>
    </w:p>
    <w:p w14:paraId="042F96C7" w14:textId="504A1E56" w:rsidR="00695636" w:rsidRPr="00EC02CA" w:rsidRDefault="00695636" w:rsidP="00695636">
      <w:pPr>
        <w:pStyle w:val="Indentedquote"/>
      </w:pPr>
      <w:r w:rsidRPr="00EC02CA">
        <w:t xml:space="preserve">A big part of what they're doing, particularly in relation to sexual offending, I suppose we would call it the lower level because it's done over social media, but just the sharing of essentially what we classify as </w:t>
      </w:r>
      <w:r w:rsidR="000F6D6F" w:rsidRPr="00EC02CA">
        <w:t>c</w:t>
      </w:r>
      <w:r w:rsidRPr="00EC02CA">
        <w:t xml:space="preserve">hild </w:t>
      </w:r>
      <w:r w:rsidR="000F6D6F" w:rsidRPr="00EC02CA">
        <w:t>e</w:t>
      </w:r>
      <w:r w:rsidRPr="00EC02CA">
        <w:t xml:space="preserve">xploitation </w:t>
      </w:r>
      <w:r w:rsidR="000F6D6F" w:rsidRPr="00EC02CA">
        <w:t>m</w:t>
      </w:r>
      <w:r w:rsidRPr="00EC02CA">
        <w:t>aterial. And that might be a young boy or a young girl sending inappropriate pictures to each other, usually requested by someone else. That seems to be by far the most common of common sexualised offending as far as sexual offending.</w:t>
      </w:r>
      <w:r w:rsidRPr="00EC02CA">
        <w:rPr>
          <w:rStyle w:val="FootnoteReference"/>
        </w:rPr>
        <w:footnoteReference w:id="199"/>
      </w:r>
    </w:p>
    <w:p w14:paraId="30B7F48F" w14:textId="467AA734" w:rsidR="00695636" w:rsidRPr="00EC02CA" w:rsidRDefault="00695636" w:rsidP="00A920EC">
      <w:pPr>
        <w:pStyle w:val="NormalNumberedTextTLRI"/>
      </w:pPr>
      <w:r w:rsidRPr="00EC02CA">
        <w:t>Concern was expressed that young people may not be aware about the boundaries of online sexual offending, with one participant describing the disbelief expressed by one young person that sharing of images was unlawful: ‘As i</w:t>
      </w:r>
      <w:r w:rsidR="00C22E6F" w:rsidRPr="00EC02CA">
        <w:t>f</w:t>
      </w:r>
      <w:r w:rsidRPr="00EC02CA">
        <w:t xml:space="preserve"> that’s illegal’.</w:t>
      </w:r>
      <w:r w:rsidRPr="00EC02CA">
        <w:rPr>
          <w:rStyle w:val="FootnoteReference"/>
        </w:rPr>
        <w:footnoteReference w:id="200"/>
      </w:r>
      <w:r w:rsidRPr="00EC02CA">
        <w:t xml:space="preserve"> Another stated that</w:t>
      </w:r>
      <w:r w:rsidR="007C0DBC" w:rsidRPr="00EC02CA">
        <w:t>,</w:t>
      </w:r>
      <w:r w:rsidRPr="00EC02CA">
        <w:t xml:space="preserve"> ‘it’s so commonly shared amongst peers now it’s almost seen as the norm’.</w:t>
      </w:r>
      <w:r w:rsidRPr="00EC02CA">
        <w:rPr>
          <w:rStyle w:val="FootnoteReference"/>
        </w:rPr>
        <w:footnoteReference w:id="201"/>
      </w:r>
    </w:p>
    <w:p w14:paraId="1C2DE87E" w14:textId="6A6D4730" w:rsidR="00695636" w:rsidRPr="00EC02CA" w:rsidRDefault="00695636" w:rsidP="002F0007">
      <w:pPr>
        <w:pStyle w:val="NormalNumberedTextTLRI"/>
      </w:pPr>
      <w:r w:rsidRPr="00EC02CA">
        <w:t>However, a counter view expressed was that young people did understand what they were doing was wrong, ‘but I think that they don’t think they’re going to get caught or no</w:t>
      </w:r>
      <w:r w:rsidR="00E2715C" w:rsidRPr="00EC02CA">
        <w:t xml:space="preserve"> </w:t>
      </w:r>
      <w:r w:rsidRPr="00EC02CA">
        <w:t>one’s ever going to do anything about it’.</w:t>
      </w:r>
      <w:r w:rsidRPr="00EC02CA">
        <w:rPr>
          <w:rStyle w:val="FootnoteReference"/>
        </w:rPr>
        <w:footnoteReference w:id="202"/>
      </w:r>
      <w:r w:rsidRPr="00EC02CA">
        <w:t xml:space="preserve"> Similarly, another participant sated that</w:t>
      </w:r>
      <w:r w:rsidR="007C0DBC" w:rsidRPr="00EC02CA">
        <w:t>,</w:t>
      </w:r>
      <w:r w:rsidRPr="00EC02CA">
        <w:t xml:space="preserve"> ‘I would suggest that there’s probably a more sophisticated group that aren’t getting caught’.</w:t>
      </w:r>
      <w:r w:rsidRPr="00EC02CA">
        <w:rPr>
          <w:rStyle w:val="FootnoteReference"/>
        </w:rPr>
        <w:footnoteReference w:id="203"/>
      </w:r>
    </w:p>
    <w:p w14:paraId="283CFBBF" w14:textId="7D50D958" w:rsidR="00695636" w:rsidRPr="00EC02CA" w:rsidRDefault="00695636" w:rsidP="002F0007">
      <w:pPr>
        <w:pStyle w:val="NormalNumberedTextTLRI"/>
      </w:pPr>
      <w:r w:rsidRPr="00EC02CA">
        <w:t xml:space="preserve">In addition to enabling perpetration, technology was also seen </w:t>
      </w:r>
      <w:r w:rsidR="007C0DBC" w:rsidRPr="00EC02CA">
        <w:t xml:space="preserve">as </w:t>
      </w:r>
      <w:r w:rsidRPr="00EC02CA">
        <w:t>fuel</w:t>
      </w:r>
      <w:r w:rsidR="007C0DBC" w:rsidRPr="00EC02CA">
        <w:t>ling</w:t>
      </w:r>
      <w:r w:rsidRPr="00EC02CA">
        <w:t xml:space="preserve"> victimisation and exploitation. One interviewee stated:</w:t>
      </w:r>
    </w:p>
    <w:p w14:paraId="46929D49" w14:textId="77777777" w:rsidR="00695636" w:rsidRPr="00EC02CA" w:rsidRDefault="00695636" w:rsidP="00695636">
      <w:pPr>
        <w:pStyle w:val="Indentedquote"/>
      </w:pPr>
      <w:r w:rsidRPr="00EC02CA">
        <w:t>The part that I have the issue with is the exploitation of young people through pornography to get money, and they might be getting money, they might be getting groomed. So, because of social media, that's much more accessible than ever before. And I think that's a real risk for our young people in that it's not just them trying to find out about sex and stuff like that, it's more than that. It's them being exploited and then not being able to get out of that, which then leads onto young people suiciding and that sort of thing. So, I think that's a real issue.</w:t>
      </w:r>
      <w:r w:rsidRPr="00EC02CA">
        <w:rPr>
          <w:rStyle w:val="FootnoteReference"/>
        </w:rPr>
        <w:footnoteReference w:id="204"/>
      </w:r>
    </w:p>
    <w:p w14:paraId="01A8DDA1" w14:textId="2C469071" w:rsidR="00695636" w:rsidRPr="00EC02CA" w:rsidRDefault="00695636" w:rsidP="002F0007">
      <w:pPr>
        <w:pStyle w:val="NormalNumberedTextTLRI"/>
        <w:rPr>
          <w:rFonts w:eastAsiaTheme="majorEastAsia" w:cstheme="majorBidi"/>
          <w:color w:val="0F4761" w:themeColor="accent1" w:themeShade="BF"/>
        </w:rPr>
      </w:pPr>
      <w:r w:rsidRPr="00EC02CA">
        <w:t>In 20 interviews, pornography was discussed as a negative influence on young people and their perceptions of healthy intimate relationships. One interviewer said:</w:t>
      </w:r>
    </w:p>
    <w:p w14:paraId="464B1060" w14:textId="21AF0E2A" w:rsidR="00695636" w:rsidRPr="00EC02CA" w:rsidRDefault="009E63E8" w:rsidP="00695636">
      <w:pPr>
        <w:pStyle w:val="Indentedquote"/>
      </w:pPr>
      <w:r w:rsidRPr="00EC02CA">
        <w:t>[T]</w:t>
      </w:r>
      <w:r w:rsidR="00695636" w:rsidRPr="00EC02CA">
        <w:t>he things that are normali</w:t>
      </w:r>
      <w:r w:rsidR="00C22E6F" w:rsidRPr="00EC02CA">
        <w:t>s</w:t>
      </w:r>
      <w:r w:rsidR="00695636" w:rsidRPr="00EC02CA">
        <w:t>ed by pornography, the violent sexual behaviours, the degradation of women in particular, I don't think you can underestimate the effect that has on young people.</w:t>
      </w:r>
      <w:r w:rsidR="00695636" w:rsidRPr="00EC02CA">
        <w:rPr>
          <w:rStyle w:val="FootnoteReference"/>
        </w:rPr>
        <w:footnoteReference w:id="205"/>
      </w:r>
    </w:p>
    <w:p w14:paraId="48C01721" w14:textId="77777777" w:rsidR="00695636" w:rsidRPr="00EC02CA" w:rsidRDefault="00695636" w:rsidP="00A920EC">
      <w:pPr>
        <w:pStyle w:val="NormalNumberedTextTLRI"/>
      </w:pPr>
      <w:r w:rsidRPr="00EC02CA">
        <w:t xml:space="preserve">Another interviewee stated: </w:t>
      </w:r>
    </w:p>
    <w:p w14:paraId="0C4433A5" w14:textId="53BF2B36" w:rsidR="00695636" w:rsidRPr="00EC02CA" w:rsidRDefault="009E63E8" w:rsidP="00695636">
      <w:pPr>
        <w:pStyle w:val="Indentedquote"/>
      </w:pPr>
      <w:r w:rsidRPr="00EC02CA">
        <w:t>[I]</w:t>
      </w:r>
      <w:r w:rsidR="00695636" w:rsidRPr="00EC02CA">
        <w:t>t's more and more kids are accessing a lot. It's just so easily found online. They all know, high school kids, they all know about PornHub, whether they're sharing or getting their ideas, it's actually that it just popped into my head that a lot, some of our contact offending with youths is not just a run-of-the-mill sexual intercourse without consent. There's quite often</w:t>
      </w:r>
      <w:r w:rsidR="00772A69" w:rsidRPr="00EC02CA">
        <w:t>,</w:t>
      </w:r>
      <w:r w:rsidR="00695636" w:rsidRPr="00EC02CA">
        <w:t xml:space="preserve"> over the last few years or most recent years, the contact offending would be including, different positions or strangulation or bondage or sex toys and things like that, which I can only assume would come from ideas that are found watching porn.</w:t>
      </w:r>
      <w:r w:rsidR="00695636" w:rsidRPr="00EC02CA">
        <w:rPr>
          <w:rStyle w:val="FootnoteReference"/>
        </w:rPr>
        <w:footnoteReference w:id="206"/>
      </w:r>
    </w:p>
    <w:p w14:paraId="2F7DEE93" w14:textId="4CF60D0C" w:rsidR="00695636" w:rsidRPr="00EC02CA" w:rsidRDefault="00695636" w:rsidP="00A920EC">
      <w:pPr>
        <w:pStyle w:val="NormalNumberedTextTLRI"/>
        <w:rPr>
          <w:rFonts w:eastAsiaTheme="majorEastAsia" w:cstheme="majorBidi"/>
          <w:color w:val="0F4761" w:themeColor="accent1" w:themeShade="BF"/>
        </w:rPr>
      </w:pPr>
      <w:r w:rsidRPr="00EC02CA">
        <w:t>The effect of pornography on the normalisation of sexual abuse, and understanding of consent</w:t>
      </w:r>
      <w:r w:rsidR="00D16DD9" w:rsidRPr="00EC02CA">
        <w:t>,</w:t>
      </w:r>
      <w:r w:rsidRPr="00EC02CA">
        <w:t xml:space="preserve"> was a shared concern among these interviewees.</w:t>
      </w:r>
    </w:p>
    <w:p w14:paraId="0D3648A2" w14:textId="77777777" w:rsidR="00695636" w:rsidRPr="00EC02CA" w:rsidRDefault="00695636" w:rsidP="00695636">
      <w:pPr>
        <w:pStyle w:val="NumberedHeadingTLRI"/>
      </w:pPr>
      <w:bookmarkStart w:id="122" w:name="_Toc211849372"/>
      <w:bookmarkStart w:id="123" w:name="_Toc218157268"/>
      <w:r w:rsidRPr="00EC02CA">
        <w:t>Recidivism rates for youth sexual offending</w:t>
      </w:r>
      <w:bookmarkEnd w:id="122"/>
      <w:bookmarkEnd w:id="123"/>
    </w:p>
    <w:p w14:paraId="768D3069" w14:textId="62A6B8AB" w:rsidR="00695636" w:rsidRPr="00EC02CA" w:rsidRDefault="00695636" w:rsidP="002F0007">
      <w:pPr>
        <w:pStyle w:val="NormalNumberedTextTLRI"/>
      </w:pPr>
      <w:r w:rsidRPr="00EC02CA">
        <w:t>Recidivism is a term used interchangeably with repeat offending or reoffending and is often used as a measure of the effectiveness of criminal justice and/or treatment interventions.</w:t>
      </w:r>
      <w:r w:rsidRPr="00EC02CA">
        <w:rPr>
          <w:rStyle w:val="FootnoteReference"/>
        </w:rPr>
        <w:footnoteReference w:id="207"/>
      </w:r>
      <w:r w:rsidRPr="00EC02CA">
        <w:t xml:space="preserve"> However, using recidivism as an outcome measure is problematic (both for adults and youths) for a range of reasons</w:t>
      </w:r>
      <w:r w:rsidR="00233D74" w:rsidRPr="00EC02CA">
        <w:t>,</w:t>
      </w:r>
      <w:r w:rsidRPr="00EC02CA">
        <w:t xml:space="preserve"> including that: </w:t>
      </w:r>
    </w:p>
    <w:p w14:paraId="218729E0" w14:textId="32D253E0" w:rsidR="00695636" w:rsidRPr="00EC02CA" w:rsidRDefault="00695636" w:rsidP="00695636">
      <w:pPr>
        <w:pStyle w:val="DotPointTLRI"/>
      </w:pPr>
      <w:r w:rsidRPr="00EC02CA">
        <w:t>measures of recidivism rely on the accuracy of officially recorded administrative data</w:t>
      </w:r>
      <w:r w:rsidR="00233D74" w:rsidRPr="00EC02CA">
        <w:t>;</w:t>
      </w:r>
    </w:p>
    <w:p w14:paraId="595E486C" w14:textId="6A84BDDE" w:rsidR="00695636" w:rsidRPr="00EC02CA" w:rsidRDefault="00695636" w:rsidP="00695636">
      <w:pPr>
        <w:pStyle w:val="DotPointTLRI"/>
      </w:pPr>
      <w:r w:rsidRPr="00EC02CA">
        <w:t>official data substantially underestimat</w:t>
      </w:r>
      <w:r w:rsidR="00233D74" w:rsidRPr="00EC02CA">
        <w:t>es</w:t>
      </w:r>
      <w:r w:rsidRPr="00EC02CA">
        <w:t xml:space="preserve"> the true extent of reoffending due to underreporting to police and/or the matter </w:t>
      </w:r>
      <w:r w:rsidR="00233D74" w:rsidRPr="00EC02CA">
        <w:t xml:space="preserve">not </w:t>
      </w:r>
      <w:r w:rsidRPr="00EC02CA">
        <w:t>being proceeded with</w:t>
      </w:r>
      <w:r w:rsidR="00233D74" w:rsidRPr="00EC02CA">
        <w:t>;</w:t>
      </w:r>
    </w:p>
    <w:p w14:paraId="110D2D1B" w14:textId="0174CBEA" w:rsidR="00695636" w:rsidRPr="00EC02CA" w:rsidRDefault="00695636" w:rsidP="00695636">
      <w:pPr>
        <w:pStyle w:val="DotPointTLRI"/>
      </w:pPr>
      <w:r w:rsidRPr="00EC02CA">
        <w:t xml:space="preserve">an accurate picture of recidivism is distorted </w:t>
      </w:r>
      <w:r w:rsidR="00233D74" w:rsidRPr="00EC02CA">
        <w:t xml:space="preserve">when </w:t>
      </w:r>
      <w:r w:rsidRPr="00EC02CA">
        <w:t>proxies such as re-arrest or reconvictions</w:t>
      </w:r>
      <w:r w:rsidR="00233D74" w:rsidRPr="00EC02CA">
        <w:t xml:space="preserve"> are used; and</w:t>
      </w:r>
    </w:p>
    <w:p w14:paraId="41881E6E" w14:textId="77777777" w:rsidR="00695636" w:rsidRPr="00EC02CA" w:rsidRDefault="00695636" w:rsidP="00695636">
      <w:pPr>
        <w:pStyle w:val="DotPointTLRI"/>
      </w:pPr>
      <w:r w:rsidRPr="00EC02CA">
        <w:t>levels of recidivism may indicate changes in criminal justice policy or procedure rather than actual levels of offending.</w:t>
      </w:r>
      <w:r w:rsidRPr="00EC02CA">
        <w:rPr>
          <w:rStyle w:val="FootnoteReference"/>
        </w:rPr>
        <w:footnoteReference w:id="208"/>
      </w:r>
      <w:r w:rsidRPr="00EC02CA">
        <w:t xml:space="preserve"> </w:t>
      </w:r>
    </w:p>
    <w:p w14:paraId="1E042F97" w14:textId="23EC508C" w:rsidR="00695636" w:rsidRPr="00EC02CA" w:rsidRDefault="00695636" w:rsidP="00A920EC">
      <w:pPr>
        <w:pStyle w:val="NormalNumberedTextTLRI"/>
      </w:pPr>
      <w:r w:rsidRPr="00EC02CA">
        <w:t>Daly and colleagues have examined a number of studies, reporting substantial variations in the measurement of recidivism, from re-arrest to re-conviction, adding to the complexities of measuring and understanding youth-perpetrated sexual recidivism rates</w:t>
      </w:r>
      <w:r w:rsidRPr="00EC02CA">
        <w:fldChar w:fldCharType="begin"/>
      </w:r>
      <w:r w:rsidRPr="00EC02CA">
        <w:instrText xml:space="preserve"> ADDIN EN.CITE &lt;EndNote&gt;&lt;Cite&gt;&lt;Author&gt;Daly&lt;/Author&gt;&lt;Year&gt;2013&lt;/Year&gt;&lt;RecNum&gt;466&lt;/RecNum&gt;&lt;record&gt;&lt;rec-number&gt;466&lt;/rec-number&gt;&lt;foreign-keys&gt;&lt;key app="EN" db-id="92twpawtxsdzaae5zwevdsw799fderxv2d52" timestamp="1689652134" guid="599e3e38-1f9c-4785-b593-71526b36bb21"&gt;466&lt;/key&gt;&lt;/foreign-keys&gt;&lt;ref-type name="Journal Article"&gt;17&lt;/ref-type&gt;&lt;contributors&gt;&lt;authors&gt;&lt;author&gt;Daly, Kathleen&lt;/author&gt;&lt;author&gt;Bouhours, Brigitte&lt;/author&gt;&lt;author&gt;Broadhurst, Roderic&lt;/author&gt;&lt;author&gt;Loh, Nini&lt;/author&gt;&lt;/authors&gt;&lt;/contributors&gt;&lt;titles&gt;&lt;title&gt;Youth sex offending, recidivism and restorative justice: Comparing court and conference cases&lt;/title&gt;&lt;secondary-title&gt;Australian and New Zealand Journal of Criminology&lt;/secondary-title&gt;&lt;/titles&gt;&lt;periodical&gt;&lt;full-title&gt;Australian and New Zealand Journal of Criminology&lt;/full-title&gt;&lt;/periodical&gt;&lt;pages&gt;241-267&lt;/pages&gt;&lt;volume&gt;46&lt;/volume&gt;&lt;number&gt;2&lt;/number&gt;&lt;dates&gt;&lt;year&gt;2013&lt;/year&gt;&lt;/dates&gt;&lt;urls&gt;&lt;/urls&gt;&lt;electronic-resource-num&gt;10.1177/0004865812470383&lt;/electronic-resource-num&gt;&lt;/record&gt;&lt;/Cite&gt;&lt;/EndNote&gt;</w:instrText>
      </w:r>
      <w:r w:rsidRPr="00EC02CA">
        <w:fldChar w:fldCharType="separate"/>
      </w:r>
      <w:r w:rsidRPr="00EC02CA">
        <w:fldChar w:fldCharType="end"/>
      </w:r>
      <w:r w:rsidRPr="00EC02CA">
        <w:t>.</w:t>
      </w:r>
      <w:bookmarkStart w:id="124" w:name="_Ref217932366"/>
      <w:r w:rsidRPr="00EC02CA">
        <w:rPr>
          <w:rStyle w:val="FootnoteReference"/>
          <w:sz w:val="24"/>
        </w:rPr>
        <w:footnoteReference w:id="209"/>
      </w:r>
      <w:bookmarkEnd w:id="124"/>
      <w:r w:rsidRPr="00EC02CA">
        <w:t xml:space="preserve"> Relatedly, recidivism as a measure of intervention efficacy is unreliable</w:t>
      </w:r>
      <w:r w:rsidR="00907998" w:rsidRPr="00EC02CA">
        <w:t>,</w:t>
      </w:r>
      <w:r w:rsidRPr="00EC02CA">
        <w:t xml:space="preserve"> as youths may reoffend without detection.</w:t>
      </w:r>
      <w:bookmarkStart w:id="125" w:name="_Ref217979715"/>
      <w:r w:rsidRPr="00EC02CA">
        <w:rPr>
          <w:rStyle w:val="FootnoteReference"/>
        </w:rPr>
        <w:footnoteReference w:id="210"/>
      </w:r>
      <w:bookmarkEnd w:id="125"/>
      <w:r w:rsidRPr="00EC02CA">
        <w:t xml:space="preserve"> This phenomenon, known as ‘criminal learning</w:t>
      </w:r>
      <w:r w:rsidR="00907998" w:rsidRPr="00EC02CA">
        <w:t>’</w:t>
      </w:r>
      <w:r w:rsidRPr="00EC02CA">
        <w:t xml:space="preserve">, involves acquiring skills to evade apprehension, thus diminishing the utility of recidivism as a measure of </w:t>
      </w:r>
      <w:r w:rsidR="00907998" w:rsidRPr="00EC02CA">
        <w:t xml:space="preserve">intervention </w:t>
      </w:r>
      <w:r w:rsidRPr="00EC02CA">
        <w:t xml:space="preserve">effectiveness. </w:t>
      </w:r>
    </w:p>
    <w:p w14:paraId="21A26E3A" w14:textId="77216EDA" w:rsidR="00695636" w:rsidRPr="00EC02CA" w:rsidRDefault="00695636" w:rsidP="002F0007">
      <w:pPr>
        <w:pStyle w:val="NormalNumberedTextTLRI"/>
      </w:pPr>
      <w:r w:rsidRPr="00EC02CA">
        <w:t>Further, as noted by the Tasmanian Sentencing Advisory Council, there are features of children’s involvement in the justice system that make measuring recidivism particularly complicated, ‘including the increased scrutiny that is applied to some young people such as those on bail, those in out-of-home care, those from “criminal families” and those from non-metropolitan areas that means their offences are more likely to be detected and recorded</w:t>
      </w:r>
      <w:r w:rsidR="00907998" w:rsidRPr="00EC02CA">
        <w:t>’</w:t>
      </w:r>
      <w:r w:rsidRPr="00EC02CA">
        <w:t>.</w:t>
      </w:r>
      <w:bookmarkStart w:id="126" w:name="_Ref217931664"/>
      <w:r w:rsidRPr="00EC02CA">
        <w:rPr>
          <w:rStyle w:val="FootnoteReference"/>
        </w:rPr>
        <w:footnoteReference w:id="211"/>
      </w:r>
      <w:bookmarkEnd w:id="126"/>
      <w:r w:rsidRPr="00EC02CA">
        <w:t xml:space="preserve"> Research demonstrates that: </w:t>
      </w:r>
    </w:p>
    <w:p w14:paraId="6F6B6DA6" w14:textId="29004ABE" w:rsidR="00695636" w:rsidRPr="00EC02CA" w:rsidRDefault="00695636" w:rsidP="00695636">
      <w:pPr>
        <w:pStyle w:val="Indentedquote"/>
      </w:pPr>
      <w:r w:rsidRPr="00EC02CA">
        <w:t xml:space="preserve">Some cohorts of young people in trouble with the law </w:t>
      </w:r>
      <w:r w:rsidR="00900F0E" w:rsidRPr="00EC02CA">
        <w:t>–</w:t>
      </w:r>
      <w:r w:rsidRPr="00EC02CA">
        <w:t xml:space="preserve"> principally those known to the criminal justice system and/or related agencies </w:t>
      </w:r>
      <w:r w:rsidR="00900F0E" w:rsidRPr="00EC02CA">
        <w:t xml:space="preserve">– </w:t>
      </w:r>
      <w:r w:rsidRPr="00EC02CA">
        <w:t xml:space="preserve">are subject to a higher level of criminal justice intervention than other young people with similar offending profiles: selection effects at each stage of the youth justice process mean that certain categories of young people </w:t>
      </w:r>
      <w:r w:rsidR="00900F0E" w:rsidRPr="00EC02CA">
        <w:t>–</w:t>
      </w:r>
      <w:r w:rsidRPr="00EC02CA">
        <w:t xml:space="preserve"> “the usual suspects” </w:t>
      </w:r>
      <w:r w:rsidR="00900F0E" w:rsidRPr="00EC02CA">
        <w:t>–</w:t>
      </w:r>
      <w:r w:rsidRPr="00EC02CA">
        <w:t xml:space="preserve"> become propelled into a repeat cycle of referral into the system whereas other equally serious offenders escape the tutelage of agencies altogether.</w:t>
      </w:r>
      <w:r w:rsidRPr="00EC02CA">
        <w:rPr>
          <w:rStyle w:val="FootnoteReference"/>
        </w:rPr>
        <w:footnoteReference w:id="212"/>
      </w:r>
    </w:p>
    <w:p w14:paraId="075A7D8F" w14:textId="77777777" w:rsidR="00695636" w:rsidRPr="00EC02CA" w:rsidRDefault="00695636" w:rsidP="00A920EC">
      <w:pPr>
        <w:pStyle w:val="NormalNumberedTextTLRI"/>
      </w:pPr>
      <w:r w:rsidRPr="00EC02CA">
        <w:t xml:space="preserve">For this reason, Richards and Lee write that: </w:t>
      </w:r>
    </w:p>
    <w:p w14:paraId="358F7AFE" w14:textId="77777777" w:rsidR="00695636" w:rsidRPr="00EC02CA" w:rsidRDefault="00695636" w:rsidP="00695636">
      <w:pPr>
        <w:pStyle w:val="Indentedquote"/>
      </w:pPr>
      <w:r w:rsidRPr="00EC02CA">
        <w:t>Statistics on young people’s patterns of recidivism should therefore not be taken as objective ‘truths’ about young people’s reoffending, but as a reflection of a complex interplay of factors including, but not limited to, the frequency and nature of the young people’s offending … In some instances, young people’s repeat reconvictions may be a reflection of the intensive scrutiny some young people … come under following initial contact with the youth justice system.</w:t>
      </w:r>
      <w:r w:rsidRPr="00EC02CA">
        <w:rPr>
          <w:rStyle w:val="FootnoteReference"/>
        </w:rPr>
        <w:footnoteReference w:id="213"/>
      </w:r>
    </w:p>
    <w:p w14:paraId="5C6E23E9" w14:textId="77777777" w:rsidR="00695636" w:rsidRPr="00EC02CA" w:rsidRDefault="00695636" w:rsidP="00A920EC">
      <w:pPr>
        <w:pStyle w:val="NormalNumberedTextTLRI"/>
      </w:pPr>
      <w:r w:rsidRPr="00EC02CA">
        <w:t>Further, as noted by the Royal Commission, in addition to the methodological challenges of measuring recidivism rates, a focus on recidivism measured by reoffending also fails to ‘capture the rates at which children with problematic sexual behaviours and less severe harmful sexual behaviours [may] continue to exhibit these behaviours’.</w:t>
      </w:r>
      <w:r w:rsidRPr="00EC02CA">
        <w:rPr>
          <w:rStyle w:val="FootnoteReference"/>
        </w:rPr>
        <w:footnoteReference w:id="214"/>
      </w:r>
      <w:r w:rsidRPr="00EC02CA">
        <w:t xml:space="preserve"> </w:t>
      </w:r>
    </w:p>
    <w:p w14:paraId="08647FFC" w14:textId="4BF19BCB" w:rsidR="00695636" w:rsidRPr="00EC02CA" w:rsidRDefault="00695636" w:rsidP="002F0007">
      <w:pPr>
        <w:pStyle w:val="NormalNumberedTextTLRI"/>
      </w:pPr>
      <w:r w:rsidRPr="00EC02CA">
        <w:t xml:space="preserve">In the context of measures to assess outcomes and changes </w:t>
      </w:r>
      <w:r w:rsidR="00F520D6" w:rsidRPr="00EC02CA">
        <w:t>as a result of</w:t>
      </w:r>
      <w:r w:rsidRPr="00EC02CA">
        <w:t xml:space="preserve"> treatment in</w:t>
      </w:r>
      <w:r w:rsidR="00165D33" w:rsidRPr="00EC02CA">
        <w:t>terv</w:t>
      </w:r>
      <w:r w:rsidRPr="00EC02CA">
        <w:t>ention</w:t>
      </w:r>
      <w:r w:rsidR="00F520D6" w:rsidRPr="00EC02CA">
        <w:t>s</w:t>
      </w:r>
      <w:r w:rsidRPr="00EC02CA">
        <w:t xml:space="preserve"> </w:t>
      </w:r>
      <w:r w:rsidR="00F520D6" w:rsidRPr="00EC02CA">
        <w:t xml:space="preserve">by </w:t>
      </w:r>
      <w:r w:rsidRPr="00EC02CA">
        <w:t>the youth justice system, encouragingly, studies have tended to shift away from solely relying on recidivism as an indicator of treatment success. While a traditional measure used by the criminal justice system, this transition reflects a growing recognition that reoffending is not the sole measure of intervention effectiveness. Instead, incorporating assessments of antisocial behaviour, attitudinal changes, and increased internalisation of prosocial values provides a more comprehensive evaluation of intervention outcomes.</w:t>
      </w:r>
      <w:bookmarkStart w:id="127" w:name="_Ref217980524"/>
      <w:r w:rsidRPr="00EC02CA">
        <w:rPr>
          <w:rStyle w:val="FootnoteReference"/>
        </w:rPr>
        <w:footnoteReference w:id="215"/>
      </w:r>
      <w:bookmarkEnd w:id="127"/>
    </w:p>
    <w:p w14:paraId="128E8DF6" w14:textId="77777777" w:rsidR="00695636" w:rsidRPr="00EC02CA" w:rsidRDefault="00695636" w:rsidP="00A920EC">
      <w:pPr>
        <w:pStyle w:val="TLRISubheading"/>
      </w:pPr>
      <w:bookmarkStart w:id="128" w:name="_Toc211849373"/>
      <w:bookmarkStart w:id="129" w:name="_Toc218157269"/>
      <w:r w:rsidRPr="00EC02CA">
        <w:t>Recidivism: international literature</w:t>
      </w:r>
      <w:bookmarkEnd w:id="128"/>
      <w:bookmarkEnd w:id="129"/>
    </w:p>
    <w:p w14:paraId="01E8DEAD" w14:textId="2FF0D3DA" w:rsidR="00695636" w:rsidRPr="00EC02CA" w:rsidRDefault="00695636" w:rsidP="002F0007">
      <w:pPr>
        <w:pStyle w:val="NormalNumberedTextTLRI"/>
      </w:pPr>
      <w:r w:rsidRPr="00EC02CA">
        <w:t xml:space="preserve">International literature has found that, compared with adult sex offenders, young people exhibit lower recidivism rates when provided with developmentally appropriate, evidence-based treatments.  These findings support the assertion that </w:t>
      </w:r>
      <w:r w:rsidR="00910C90" w:rsidRPr="00EC02CA">
        <w:t>young people</w:t>
      </w:r>
      <w:r w:rsidRPr="00EC02CA">
        <w:t xml:space="preserve"> with harmful sexual behaviours can be effectively treated when provided with </w:t>
      </w:r>
      <w:r w:rsidR="001D171E" w:rsidRPr="00EC02CA">
        <w:t xml:space="preserve">an </w:t>
      </w:r>
      <w:r w:rsidRPr="00EC02CA">
        <w:t>evidence-based intervention, which in turn protects the individual themselves and the</w:t>
      </w:r>
      <w:r w:rsidR="001D171E" w:rsidRPr="00EC02CA">
        <w:t>ir</w:t>
      </w:r>
      <w:r w:rsidRPr="00EC02CA">
        <w:t xml:space="preserve"> community. International studies exploring sexual recidivism among young people who commit sexual offences have found varying (but generally low) rates of reoffending. Results have varied from 12% in the Netherlands in 2017</w:t>
      </w:r>
      <w:r w:rsidRPr="00EC02CA">
        <w:fldChar w:fldCharType="begin"/>
      </w:r>
      <w:r w:rsidRPr="00EC02CA">
        <w:instrText xml:space="preserve"> ADDIN EN.CITE &lt;EndNote&gt;&lt;Cite&gt;&lt;Author&gt;van den Berg&lt;/Author&gt;&lt;Year&gt;2017&lt;/Year&gt;&lt;RecNum&gt;31632&lt;/RecNum&gt;&lt;record&gt;&lt;rec-number&gt;31632&lt;/rec-number&gt;&lt;foreign-keys&gt;&lt;key app="EN" db-id="92twpawtxsdzaae5zwevdsw799fderxv2d52" timestamp="1692927656"&gt;31632&lt;/key&gt;&lt;/foreign-keys&gt;&lt;ref-type name="Journal Article"&gt;17&lt;/ref-type&gt;&lt;contributors&gt;&lt;authors&gt;&lt;author&gt;van den Berg, Chantal&lt;/author&gt;&lt;author&gt;Bijleveld, Catrien&lt;/author&gt;&lt;author&gt;Hendriks, Jan&lt;/author&gt;&lt;/authors&gt;&lt;/contributors&gt;&lt;titles&gt;&lt;title&gt;The juvenile sex offender: Criminal careers and life events&lt;/title&gt;&lt;secondary-title&gt;Sexual Abuse: A Journal of Research and Treatment&lt;/secondary-title&gt;&lt;/titles&gt;&lt;periodical&gt;&lt;full-title&gt;Sexual Abuse: A Journal of Research and Treatment&lt;/full-title&gt;&lt;/periodical&gt;&lt;pages&gt;81-101&lt;/pages&gt;&lt;volume&gt;29&lt;/volume&gt;&lt;number&gt;1&lt;/number&gt;&lt;dates&gt;&lt;year&gt;2017&lt;/year&gt;&lt;/dates&gt;&lt;urls&gt;&lt;/urls&gt;&lt;electronic-resource-num&gt;10.1177/1079063215580967&lt;/electronic-resource-num&gt;&lt;/record&gt;&lt;/Cite&gt;&lt;/EndNote&gt;</w:instrText>
      </w:r>
      <w:r w:rsidRPr="00EC02CA">
        <w:fldChar w:fldCharType="separate"/>
      </w:r>
      <w:r w:rsidRPr="00EC02CA">
        <w:fldChar w:fldCharType="end"/>
      </w:r>
      <w:r w:rsidRPr="00EC02CA">
        <w:t>,</w:t>
      </w:r>
      <w:r w:rsidRPr="00EC02CA">
        <w:rPr>
          <w:rStyle w:val="FootnoteReference"/>
          <w:sz w:val="24"/>
        </w:rPr>
        <w:footnoteReference w:id="216"/>
      </w:r>
      <w:r w:rsidRPr="00EC02CA">
        <w:t xml:space="preserve"> 3.4% in Philadelphia in 2017</w:t>
      </w:r>
      <w:r w:rsidRPr="00EC02CA">
        <w:fldChar w:fldCharType="begin"/>
      </w:r>
      <w:r w:rsidRPr="00EC02CA">
        <w:instrText xml:space="preserve"> ADDIN EN.CITE &lt;EndNote&gt;&lt;Cite&gt;&lt;Author&gt;Fanniff&lt;/Author&gt;&lt;Year&gt;2017&lt;/Year&gt;&lt;RecNum&gt;31629&lt;/RecNum&gt;&lt;record&gt;&lt;rec-number&gt;31629&lt;/rec-number&gt;&lt;foreign-keys&gt;&lt;key app="EN" db-id="92twpawtxsdzaae5zwevdsw799fderxv2d52" timestamp="1692927230"&gt;31629&lt;/key&gt;&lt;/foreign-keys&gt;&lt;ref-type name="Journal Article"&gt;17&lt;/ref-type&gt;&lt;contributors&gt;&lt;authors&gt;&lt;author&gt;Fanniff, Amanda M&lt;/author&gt;&lt;author&gt;Schubert, Carol A&lt;/author&gt;&lt;author&gt;Mulvey, Edward P&lt;/author&gt;&lt;author&gt;Iselin, Anne-Marie R&lt;/author&gt;&lt;author&gt;Piquero, Alex R.&lt;/author&gt;&lt;/authors&gt;&lt;/contributors&gt;&lt;titles&gt;&lt;title&gt;Risk and outcomes: Are adolescents charged with sex offenses different from other adolescent offenders?&lt;/title&gt;&lt;secondary-title&gt;Journal of Youth and Adolescence&lt;/secondary-title&gt;&lt;/titles&gt;&lt;periodical&gt;&lt;full-title&gt;Journal of Youth and Adolescence&lt;/full-title&gt;&lt;/periodical&gt;&lt;pages&gt;1394-1423&lt;/pages&gt;&lt;volume&gt;46&lt;/volume&gt;&lt;number&gt;7&lt;/number&gt;&lt;dates&gt;&lt;year&gt;2017&lt;/year&gt;&lt;/dates&gt;&lt;urls&gt;&lt;/urls&gt;&lt;electronic-resource-num&gt;10.1007/s10964-016-0536-9&lt;/electronic-resource-num&gt;&lt;/record&gt;&lt;/Cite&gt;&lt;/EndNote&gt;</w:instrText>
      </w:r>
      <w:r w:rsidRPr="00EC02CA">
        <w:fldChar w:fldCharType="separate"/>
      </w:r>
      <w:r w:rsidRPr="00EC02CA">
        <w:fldChar w:fldCharType="end"/>
      </w:r>
      <w:r w:rsidRPr="00EC02CA">
        <w:t>,</w:t>
      </w:r>
      <w:r w:rsidRPr="00EC02CA">
        <w:rPr>
          <w:rStyle w:val="FootnoteReference"/>
          <w:sz w:val="24"/>
        </w:rPr>
        <w:footnoteReference w:id="217"/>
      </w:r>
      <w:r w:rsidR="001D171E" w:rsidRPr="00EC02CA">
        <w:t xml:space="preserve"> </w:t>
      </w:r>
      <w:r w:rsidRPr="00EC02CA">
        <w:t xml:space="preserve">7% (after </w:t>
      </w:r>
      <w:r w:rsidR="001D171E" w:rsidRPr="00EC02CA">
        <w:t>five</w:t>
      </w:r>
      <w:r w:rsidRPr="00EC02CA">
        <w:t xml:space="preserve"> years) and 13% (after 35 years) in England and Wales in 2013,</w:t>
      </w:r>
      <w:r w:rsidRPr="00EC02CA">
        <w:rPr>
          <w:rStyle w:val="FootnoteReference"/>
        </w:rPr>
        <w:footnoteReference w:id="218"/>
      </w:r>
      <w:r w:rsidRPr="00EC02CA">
        <w:t xml:space="preserve"> 4.7 % in Switzerland in 2014</w:t>
      </w:r>
      <w:r w:rsidRPr="00EC02CA">
        <w:fldChar w:fldCharType="begin"/>
      </w:r>
      <w:r w:rsidRPr="00EC02CA">
        <w:instrText xml:space="preserve"> ADDIN EN.CITE &lt;EndNote&gt;&lt;Cite&gt;&lt;Author&gt;Aebi&lt;/Author&gt;&lt;Year&gt;2014&lt;/Year&gt;&lt;RecNum&gt;31641&lt;/RecNum&gt;&lt;record&gt;&lt;rec-number&gt;31641&lt;/rec-number&gt;&lt;foreign-keys&gt;&lt;key app="EN" db-id="92twpawtxsdzaae5zwevdsw799fderxv2d52" timestamp="1692930817"&gt;31641&lt;/key&gt;&lt;/foreign-keys&gt;&lt;ref-type name="Journal Article"&gt;17&lt;/ref-type&gt;&lt;contributors&gt;&lt;authors&gt;&lt;author&gt;Aebi, Marcel&lt;/author&gt;&lt;author&gt;Plattner, Belinda&lt;/author&gt;&lt;author&gt;Ernest, Melanie&lt;/author&gt;&lt;author&gt;Kaszynski, Katie&lt;/author&gt;&lt;author&gt;Bessler, Cornelia&lt;/author&gt;&lt;/authors&gt;&lt;/contributors&gt;&lt;titles&gt;&lt;title&gt;Criminal history and future offending of juveniles convicted of the possession of child pornography&lt;/title&gt;&lt;secondary-title&gt;Sexual Abuse: A Journal of Research and Treatment&lt;/secondary-title&gt;&lt;/titles&gt;&lt;periodical&gt;&lt;full-title&gt;Sexual Abuse: A Journal of Research and Treatment&lt;/full-title&gt;&lt;/periodical&gt;&lt;pages&gt;375-390&lt;/pages&gt;&lt;volume&gt;26&lt;/volume&gt;&lt;number&gt;4&lt;/number&gt;&lt;dates&gt;&lt;year&gt;2014&lt;/year&gt;&lt;/dates&gt;&lt;urls&gt;&lt;/urls&gt;&lt;electronic-resource-num&gt;10.1177/1079063213492344&lt;/electronic-resource-num&gt;&lt;/record&gt;&lt;/Cite&gt;&lt;/EndNote&gt;</w:instrText>
      </w:r>
      <w:r w:rsidRPr="00EC02CA">
        <w:fldChar w:fldCharType="separate"/>
      </w:r>
      <w:r w:rsidRPr="00EC02CA">
        <w:fldChar w:fldCharType="end"/>
      </w:r>
      <w:r w:rsidRPr="00EC02CA">
        <w:t>,</w:t>
      </w:r>
      <w:r w:rsidRPr="00EC02CA">
        <w:rPr>
          <w:rStyle w:val="FootnoteReference"/>
          <w:sz w:val="24"/>
        </w:rPr>
        <w:footnoteReference w:id="219"/>
      </w:r>
      <w:r w:rsidRPr="00EC02CA">
        <w:t xml:space="preserve"> and 5% in the United States in 2016.</w:t>
      </w:r>
      <w:r w:rsidRPr="00EC02CA">
        <w:rPr>
          <w:rStyle w:val="FootnoteReference"/>
          <w:sz w:val="24"/>
        </w:rPr>
        <w:footnoteReference w:id="220"/>
      </w:r>
      <w:r w:rsidRPr="00EC02CA">
        <w:t xml:space="preserve"> In a system</w:t>
      </w:r>
      <w:r w:rsidR="001D171E" w:rsidRPr="00EC02CA">
        <w:t>at</w:t>
      </w:r>
      <w:r w:rsidRPr="00EC02CA">
        <w:t>ic review and meta-analysis of 158 studies from 1940 to 2019, Lussier and colleagues calculated a sexual recidivism rate of 8%</w:t>
      </w:r>
      <w:r w:rsidR="001D171E" w:rsidRPr="00EC02CA">
        <w:t>,</w:t>
      </w:r>
      <w:r w:rsidRPr="00EC02CA">
        <w:t xml:space="preserve"> </w:t>
      </w:r>
      <w:r w:rsidR="001D171E" w:rsidRPr="00EC02CA">
        <w:t xml:space="preserve">noting that </w:t>
      </w:r>
      <w:r w:rsidRPr="00EC02CA">
        <w:t xml:space="preserve">rates </w:t>
      </w:r>
      <w:r w:rsidR="001D171E" w:rsidRPr="00EC02CA">
        <w:t xml:space="preserve">remained </w:t>
      </w:r>
      <w:r w:rsidRPr="00EC02CA">
        <w:t xml:space="preserve">consistently low over </w:t>
      </w:r>
      <w:r w:rsidR="001D171E" w:rsidRPr="00EC02CA">
        <w:t>time</w:t>
      </w:r>
      <w:r w:rsidRPr="00EC02CA">
        <w:t>, while acknowledging the complexity of sexual offending and cautioning against broad generalisations due to the heterogeneity of young people who commit sexual offences</w:t>
      </w:r>
      <w:r w:rsidRPr="00EC02CA">
        <w:fldChar w:fldCharType="begin"/>
      </w:r>
      <w:r w:rsidRPr="00EC02CA">
        <w:instrText xml:space="preserve"> ADDIN EN.CITE &lt;EndNote&gt;&lt;Cite&gt;&lt;Author&gt;Lussier&lt;/Author&gt;&lt;Year&gt;2023&lt;/Year&gt;&lt;RecNum&gt;31643&lt;/RecNum&gt;&lt;record&gt;&lt;rec-number&gt;31643&lt;/rec-number&gt;&lt;foreign-keys&gt;&lt;key app="EN" db-id="92twpawtxsdzaae5zwevdsw799fderxv2d52" timestamp="1692931246"&gt;31643&lt;/key&gt;&lt;/foreign-keys&gt;&lt;ref-type name="Journal Article"&gt;17&lt;/ref-type&gt;&lt;contributors&gt;&lt;authors&gt;&lt;author&gt;Lussier, Patrick&lt;/author&gt;&lt;author&gt;McCuish, Evan&lt;/author&gt;&lt;author&gt;Chouinard-Thivierge, Stéphanie&lt;/author&gt;&lt;author&gt;Frechette, Julien&lt;/author&gt;&lt;/authors&gt;&lt;/contributors&gt;&lt;titles&gt;&lt;title&gt;A meta-analysis of trends in general, sexual, and violent recidivism among youth with histories of sex offending&lt;/title&gt;&lt;secondary-title&gt;Trauma, Violence &amp;amp; Abuse&lt;/secondary-title&gt;&lt;/titles&gt;&lt;periodical&gt;&lt;full-title&gt;Trauma, Violence &amp;amp; Abuse&lt;/full-title&gt;&lt;/periodical&gt;&lt;pages&gt;1-19&lt;/pages&gt;&lt;volume&gt;0&lt;/volume&gt;&lt;number&gt;0&lt;/number&gt;&lt;dates&gt;&lt;year&gt;2023&lt;/year&gt;&lt;/dates&gt;&lt;urls&gt;&lt;/urls&gt;&lt;electronic-resource-num&gt;10.1177/15248380221137653&lt;/electronic-resource-num&gt;&lt;/record&gt;&lt;/Cite&gt;&lt;/EndNote&gt;</w:instrText>
      </w:r>
      <w:r w:rsidRPr="00EC02CA">
        <w:fldChar w:fldCharType="separate"/>
      </w:r>
      <w:r w:rsidRPr="00EC02CA">
        <w:fldChar w:fldCharType="end"/>
      </w:r>
      <w:r w:rsidRPr="00EC02CA">
        <w:t>.</w:t>
      </w:r>
      <w:r w:rsidRPr="00EC02CA">
        <w:rPr>
          <w:rStyle w:val="FootnoteReference"/>
          <w:sz w:val="24"/>
        </w:rPr>
        <w:footnoteReference w:id="221"/>
      </w:r>
      <w:r w:rsidRPr="00EC02CA">
        <w:t xml:space="preserve"> </w:t>
      </w:r>
    </w:p>
    <w:p w14:paraId="5DB35130" w14:textId="744E1AE6" w:rsidR="00695636" w:rsidRPr="00EC02CA" w:rsidRDefault="00695636" w:rsidP="002F0007">
      <w:pPr>
        <w:pStyle w:val="NormalNumberedTextTLRI"/>
      </w:pPr>
      <w:r w:rsidRPr="00EC02CA">
        <w:t>As with Australian research</w:t>
      </w:r>
      <w:r w:rsidR="003F160A" w:rsidRPr="00EC02CA">
        <w:t xml:space="preserve"> (</w:t>
      </w:r>
      <w:r w:rsidRPr="00EC02CA">
        <w:t>discussed belo</w:t>
      </w:r>
      <w:r w:rsidR="003F160A" w:rsidRPr="00EC02CA">
        <w:t>w)</w:t>
      </w:r>
      <w:r w:rsidR="00012D6A" w:rsidRPr="00EC02CA">
        <w:t>, which</w:t>
      </w:r>
      <w:r w:rsidRPr="00EC02CA">
        <w:t xml:space="preserve"> found that sexual offending by young people is typically limited to adolescence, international research has also found that most young people who engage in sexual offending behaviours desist into adulthood</w:t>
      </w:r>
      <w:r w:rsidRPr="00EC02CA">
        <w:fldChar w:fldCharType="begin">
          <w:fldData xml:space="preserve">PEVuZE5vdGU+PENpdGU+PEF1dGhvcj5NY0N1aXNoPC9BdXRob3I+PFllYXI+MjAxNzwvWWVhcj48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</w:fldData>
        </w:fldChar>
      </w:r>
      <w:r w:rsidRPr="00EC02CA">
        <w:instrText xml:space="preserve"> ADDIN EN.CITE </w:instrText>
      </w:r>
      <w:r w:rsidRPr="00EC02CA">
        <w:fldChar w:fldCharType="begin">
          <w:fldData xml:space="preserve">PEVuZE5vdGU+PENpdGU+PEF1dGhvcj5NY0N1aXNoPC9BdXRob3I+PFllYXI+MjAxNzwvWWVhcj48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</w:fldData>
        </w:fldChar>
      </w:r>
      <w:r w:rsidRPr="00EC02CA">
        <w:instrText xml:space="preserve"> ADDIN EN.CITE.DATA </w:instrText>
      </w:r>
      <w:r w:rsidRPr="00EC02CA">
        <w:fldChar w:fldCharType="end"/>
      </w:r>
      <w:r w:rsidRPr="00EC02CA">
        <w:fldChar w:fldCharType="separate"/>
      </w:r>
      <w:r w:rsidRPr="00EC02CA">
        <w:fldChar w:fldCharType="end"/>
      </w:r>
      <w:r w:rsidRPr="00EC02CA">
        <w:t>.</w:t>
      </w:r>
      <w:bookmarkStart w:id="130" w:name="_Ref217932148"/>
      <w:r w:rsidRPr="00EC02CA">
        <w:rPr>
          <w:rStyle w:val="FootnoteReference"/>
          <w:sz w:val="24"/>
        </w:rPr>
        <w:footnoteReference w:id="222"/>
      </w:r>
      <w:bookmarkEnd w:id="130"/>
      <w:r w:rsidRPr="00EC02CA">
        <w:t xml:space="preserve"> For example, in the Netherlands, </w:t>
      </w:r>
      <w:r w:rsidR="00012D6A" w:rsidRPr="00EC02CA">
        <w:t xml:space="preserve">in a study </w:t>
      </w:r>
      <w:r w:rsidRPr="00EC02CA">
        <w:t xml:space="preserve">following a sample of 87,528 men from adolescence into early adulthood </w:t>
      </w:r>
      <w:r w:rsidR="00012D6A" w:rsidRPr="00EC02CA">
        <w:t>(</w:t>
      </w:r>
      <w:r w:rsidRPr="00EC02CA">
        <w:t>that is, 23 years), Lussier and Blokland</w:t>
      </w:r>
      <w:r w:rsidRPr="00EC02CA">
        <w:fldChar w:fldCharType="begin"/>
      </w:r>
      <w:r w:rsidRPr="00EC02CA">
        <w:instrText xml:space="preserve"> ADDIN EN.CITE &lt;EndNote&gt;&lt;Cite&gt;&lt;Author&gt;Lussier&lt;/Author&gt;&lt;Year&gt;2014&lt;/Year&gt;&lt;RecNum&gt;31611&lt;/RecNum&gt;&lt;record&gt;&lt;rec-number&gt;31611&lt;/rec-number&gt;&lt;foreign-keys&gt;&lt;key app="EN" db-id="92twpawtxsdzaae5zwevdsw799fderxv2d52" timestamp="1692334428"&gt;31611&lt;/key&gt;&lt;/foreign-keys&gt;&lt;ref-type name="Journal Article"&gt;17&lt;/ref-type&gt;&lt;contributors&gt;&lt;authors&gt;&lt;author&gt;Lussier, Patrick&lt;/author&gt;&lt;author&gt;Blokland, Arjan&lt;/author&gt;&lt;/authors&gt;&lt;/contributors&gt;&lt;titles&gt;&lt;title&gt;The adolescence-adulthood transition and Robins&amp;apos;s continuity paradox: Criminal career patterns of juvenile and adult sex offenders in a prospective longitudinal birth cohort study&lt;/title&gt;&lt;secondary-title&gt;Journal of Criminal Justice&lt;/secondary-title&gt;&lt;/titles&gt;&lt;periodical&gt;&lt;full-title&gt;Journal of Criminal Justice&lt;/full-title&gt;&lt;/periodical&gt;&lt;pages&gt;153-163&lt;/pages&gt;&lt;volume&gt;42&lt;/volume&gt;&lt;number&gt;2&lt;/number&gt;&lt;dates&gt;&lt;year&gt;2014&lt;/year&gt;&lt;/dates&gt;&lt;urls&gt;&lt;/urls&gt;&lt;electronic-resource-num&gt;10.1016/j.jcrimjus.2013.07.004&lt;/electronic-resource-num&gt;&lt;/record&gt;&lt;/Cite&gt;&lt;/EndNote&gt;</w:instrText>
      </w:r>
      <w:r w:rsidRPr="00EC02CA">
        <w:fldChar w:fldCharType="separate"/>
      </w:r>
      <w:r w:rsidRPr="00EC02CA">
        <w:fldChar w:fldCharType="end"/>
      </w:r>
      <w:r w:rsidRPr="00EC02CA">
        <w:t xml:space="preserve"> identified that sexual</w:t>
      </w:r>
      <w:r w:rsidR="00256232" w:rsidRPr="00EC02CA">
        <w:t xml:space="preserve"> </w:t>
      </w:r>
      <w:r w:rsidRPr="00EC02CA">
        <w:t>offending appeared to be adolescence-limited in approximately 95% of cases.</w:t>
      </w:r>
      <w:bookmarkStart w:id="131" w:name="_Ref217976705"/>
      <w:r w:rsidRPr="00EC02CA">
        <w:rPr>
          <w:rStyle w:val="FootnoteReference"/>
          <w:sz w:val="24"/>
        </w:rPr>
        <w:footnoteReference w:id="223"/>
      </w:r>
      <w:bookmarkEnd w:id="131"/>
      <w:r w:rsidRPr="00EC02CA">
        <w:t xml:space="preserve"> </w:t>
      </w:r>
    </w:p>
    <w:p w14:paraId="433E7D13" w14:textId="2767D784" w:rsidR="00695636" w:rsidRPr="00EC02CA" w:rsidRDefault="00695636" w:rsidP="002F0007">
      <w:pPr>
        <w:pStyle w:val="NormalNumberedTextTLRI"/>
      </w:pPr>
      <w:r w:rsidRPr="00EC02CA">
        <w:t xml:space="preserve">There has been less examination of recidivism rates for online offending. Studies that have examined the recidivism rates of adult offenders convicted of an online sexual offence found rates of </w:t>
      </w:r>
      <w:r w:rsidR="002E1E01" w:rsidRPr="00EC02CA">
        <w:t xml:space="preserve">from no-reoffending up to </w:t>
      </w:r>
      <w:r w:rsidRPr="00EC02CA">
        <w:t>9%, which was said to be lower than recidivism rates for those who have a history physical/contact sexual offending.</w:t>
      </w:r>
      <w:r w:rsidRPr="00EC02CA">
        <w:rPr>
          <w:rStyle w:val="FootnoteReference"/>
        </w:rPr>
        <w:footnoteReference w:id="224"/>
      </w:r>
      <w:r w:rsidRPr="00EC02CA">
        <w:t xml:space="preserve"> Only a small number of men con</w:t>
      </w:r>
      <w:r w:rsidR="001A10AA" w:rsidRPr="00EC02CA">
        <w:t>v</w:t>
      </w:r>
      <w:r w:rsidRPr="00EC02CA">
        <w:t xml:space="preserve">icted of online sexual offending reoffended online (7.1%) and a </w:t>
      </w:r>
      <w:r w:rsidR="00C61759" w:rsidRPr="00EC02CA">
        <w:t xml:space="preserve">smaller </w:t>
      </w:r>
      <w:r w:rsidRPr="00EC02CA">
        <w:t>proportion escalated to a contact sexual offence (5.4%).</w:t>
      </w:r>
      <w:r w:rsidRPr="00EC02CA">
        <w:rPr>
          <w:rStyle w:val="FootnoteReference"/>
        </w:rPr>
        <w:footnoteReference w:id="225"/>
      </w:r>
    </w:p>
    <w:p w14:paraId="4F511C31" w14:textId="77777777" w:rsidR="00695636" w:rsidRPr="00EC02CA" w:rsidRDefault="00695636" w:rsidP="00A920EC">
      <w:pPr>
        <w:pStyle w:val="TLRISubheading"/>
      </w:pPr>
      <w:bookmarkStart w:id="132" w:name="_Toc211849374"/>
      <w:bookmarkStart w:id="133" w:name="_Toc218157270"/>
      <w:r w:rsidRPr="00EC02CA">
        <w:t>Recidivism: Australian literature</w:t>
      </w:r>
      <w:bookmarkEnd w:id="132"/>
      <w:bookmarkEnd w:id="133"/>
    </w:p>
    <w:p w14:paraId="75B358EB" w14:textId="2BC1DD28" w:rsidR="00695636" w:rsidRPr="00EC02CA" w:rsidRDefault="00695636" w:rsidP="002F0007">
      <w:pPr>
        <w:pStyle w:val="NormalNumberedTextTLRI"/>
      </w:pPr>
      <w:r w:rsidRPr="00EC02CA">
        <w:t xml:space="preserve">Available research examining recidivism </w:t>
      </w:r>
      <w:r w:rsidR="00636A48" w:rsidRPr="00EC02CA">
        <w:t xml:space="preserve">by young people </w:t>
      </w:r>
      <w:r w:rsidRPr="00EC02CA">
        <w:t>in the context of contact or physical sexual offences has found low rates of reoffending. In Australia, using data from the Sexual Assault Archival Study, Daly and colleagues reported a recidivism rate of 9%, with approximately 32 young people charged with a secondary sexual offence</w:t>
      </w:r>
      <w:r w:rsidRPr="00EC02CA">
        <w:fldChar w:fldCharType="begin"/>
      </w:r>
      <w:r w:rsidRPr="00EC02CA">
        <w:instrText xml:space="preserve"> ADDIN EN.CITE &lt;EndNote&gt;&lt;Cite&gt;&lt;Author&gt;Daly&lt;/Author&gt;&lt;Year&gt;2013&lt;/Year&gt;&lt;RecNum&gt;466&lt;/RecNum&gt;&lt;record&gt;&lt;rec-number&gt;466&lt;/rec-number&gt;&lt;foreign-keys&gt;&lt;key app="EN" db-id="92twpawtxsdzaae5zwevdsw799fderxv2d52" timestamp="1689652134" guid="599e3e38-1f9c-4785-b593-71526b36bb21"&gt;466&lt;/key&gt;&lt;/foreign-keys&gt;&lt;ref-type name="Journal Article"&gt;17&lt;/ref-type&gt;&lt;contributors&gt;&lt;authors&gt;&lt;author&gt;Daly, Kathleen&lt;/author&gt;&lt;author&gt;Bouhours, Brigitte&lt;/author&gt;&lt;author&gt;Broadhurst, Roderic&lt;/author&gt;&lt;author&gt;Loh, Nini&lt;/author&gt;&lt;/authors&gt;&lt;/contributors&gt;&lt;titles&gt;&lt;title&gt;Youth sex offending, recidivism and restorative justice: Comparing court and conference cases&lt;/title&gt;&lt;secondary-title&gt;Australian and New Zealand Journal of Criminology&lt;/secondary-title&gt;&lt;/titles&gt;&lt;periodical&gt;&lt;full-title&gt;Australian and New Zealand Journal of Criminology&lt;/full-title&gt;&lt;/periodical&gt;&lt;pages&gt;241-267&lt;/pages&gt;&lt;volume&gt;46&lt;/volume&gt;&lt;number&gt;2&lt;/number&gt;&lt;dates&gt;&lt;year&gt;2013&lt;/year&gt;&lt;/dates&gt;&lt;urls&gt;&lt;/urls&gt;&lt;electronic-resource-num&gt;10.1177/0004865812470383&lt;/electronic-resource-num&gt;&lt;/record&gt;&lt;/Cite&gt;&lt;/EndNote&gt;</w:instrText>
      </w:r>
      <w:r w:rsidRPr="00EC02CA">
        <w:fldChar w:fldCharType="separate"/>
      </w:r>
      <w:r w:rsidRPr="00EC02CA">
        <w:fldChar w:fldCharType="end"/>
      </w:r>
      <w:r w:rsidRPr="00EC02CA">
        <w:t>.</w:t>
      </w:r>
      <w:r w:rsidRPr="00EC02CA">
        <w:rPr>
          <w:rStyle w:val="FootnoteReference"/>
          <w:sz w:val="24"/>
        </w:rPr>
        <w:footnoteReference w:id="226"/>
      </w:r>
      <w:r w:rsidRPr="00EC02CA">
        <w:t xml:space="preserve"> In a 2014 study, Laing and colleagues reported a sexual recidivism rate of 7% based on charges of sexual offences</w:t>
      </w:r>
      <w:r w:rsidR="00B82EBF" w:rsidRPr="00EC02CA">
        <w:t>,</w:t>
      </w:r>
      <w:r w:rsidRPr="00EC02CA">
        <w:t xml:space="preserve"> and 15% based on criminal reports.</w:t>
      </w:r>
      <w:r w:rsidRPr="00EC02CA">
        <w:rPr>
          <w:rStyle w:val="FootnoteReference"/>
        </w:rPr>
        <w:footnoteReference w:id="227"/>
      </w:r>
      <w:r w:rsidRPr="00EC02CA">
        <w:t xml:space="preserve"> These findings </w:t>
      </w:r>
      <w:r w:rsidR="00B82EBF" w:rsidRPr="00EC02CA">
        <w:t xml:space="preserve">mirror </w:t>
      </w:r>
      <w:r w:rsidRPr="00EC02CA">
        <w:t>the findings of broader research examining rate</w:t>
      </w:r>
      <w:r w:rsidR="00636A48" w:rsidRPr="00EC02CA">
        <w:t>s</w:t>
      </w:r>
      <w:r w:rsidRPr="00EC02CA">
        <w:t xml:space="preserve"> of</w:t>
      </w:r>
      <w:r w:rsidR="00636A48" w:rsidRPr="00EC02CA">
        <w:t xml:space="preserve"> r</w:t>
      </w:r>
      <w:r w:rsidRPr="00EC02CA">
        <w:t>eoffending</w:t>
      </w:r>
      <w:r w:rsidR="00636A48" w:rsidRPr="00EC02CA">
        <w:t xml:space="preserve"> by young people</w:t>
      </w:r>
      <w:r w:rsidRPr="00EC02CA">
        <w:t>, which ha</w:t>
      </w:r>
      <w:r w:rsidR="00B82EBF" w:rsidRPr="00EC02CA">
        <w:t>ve</w:t>
      </w:r>
      <w:r w:rsidRPr="00EC02CA">
        <w:t xml:space="preserve"> found that</w:t>
      </w:r>
      <w:r w:rsidR="00126B65" w:rsidRPr="00EC02CA">
        <w:t>,</w:t>
      </w:r>
      <w:r w:rsidRPr="00EC02CA">
        <w:t xml:space="preserve"> ‘most delinquent youth do not progress to serious crime, and in fact appear to desist spontaneously without intervention’.</w:t>
      </w:r>
      <w:r w:rsidRPr="00EC02CA">
        <w:rPr>
          <w:rStyle w:val="FootnoteReference"/>
        </w:rPr>
        <w:footnoteReference w:id="228"/>
      </w:r>
      <w:r w:rsidRPr="00EC02CA">
        <w:t xml:space="preserve">  </w:t>
      </w:r>
    </w:p>
    <w:p w14:paraId="7C671665" w14:textId="445B1E03" w:rsidR="00695636" w:rsidRPr="00EC02CA" w:rsidRDefault="00695636" w:rsidP="002F0007">
      <w:pPr>
        <w:pStyle w:val="NormalNumberedTextTLRI"/>
      </w:pPr>
      <w:r w:rsidRPr="00EC02CA">
        <w:t>The Royal Commission summarised the available data from recidivism studies and stated that</w:t>
      </w:r>
      <w:r w:rsidR="00126B65" w:rsidRPr="00EC02CA">
        <w:t>,</w:t>
      </w:r>
      <w:r w:rsidRPr="00EC02CA">
        <w:t xml:space="preserve"> ‘it challenges the common assumption that children who commit sexual offences, will become adult sex offenders. Recidivism studies indicate many young people who have committed a sexual offence do not continue to sexually offend in adulthood’.</w:t>
      </w:r>
      <w:bookmarkStart w:id="134" w:name="_Ref217976881"/>
      <w:r w:rsidRPr="00EC02CA">
        <w:rPr>
          <w:rStyle w:val="FootnoteReference"/>
        </w:rPr>
        <w:footnoteReference w:id="229"/>
      </w:r>
      <w:bookmarkEnd w:id="134"/>
      <w:r w:rsidRPr="00EC02CA">
        <w:t xml:space="preserve"> Further, as McKillop and colleagues have shown, most adult</w:t>
      </w:r>
      <w:r w:rsidR="00740E89" w:rsidRPr="00EC02CA">
        <w:t xml:space="preserve"> </w:t>
      </w:r>
      <w:r w:rsidRPr="00EC02CA">
        <w:t xml:space="preserve">perpetrators of child sexual offences had not committed offences of a sexual nature </w:t>
      </w:r>
      <w:r w:rsidR="00721A51" w:rsidRPr="00EC02CA">
        <w:t xml:space="preserve">when they were </w:t>
      </w:r>
      <w:r w:rsidR="00126B65" w:rsidRPr="00EC02CA">
        <w:t xml:space="preserve">aged </w:t>
      </w:r>
      <w:r w:rsidR="00721A51" w:rsidRPr="00EC02CA">
        <w:t>under 18</w:t>
      </w:r>
      <w:r w:rsidRPr="00EC02CA">
        <w:t>.</w:t>
      </w:r>
      <w:r w:rsidRPr="00EC02CA">
        <w:rPr>
          <w:rStyle w:val="FootnoteReference"/>
          <w:sz w:val="24"/>
        </w:rPr>
        <w:footnoteReference w:id="230"/>
      </w:r>
      <w:r w:rsidRPr="00EC02CA">
        <w:t xml:space="preserve"> More recently, Molnar and colleagues added supporting evidence to the notion that most young people desist from sexual offending with age in the context of sexual offending</w:t>
      </w:r>
      <w:r w:rsidRPr="00EC02CA">
        <w:fldChar w:fldCharType="begin"/>
      </w:r>
      <w:r w:rsidRPr="00EC02CA">
        <w:instrText xml:space="preserve"> ADDIN EN.CITE &lt;EndNote&gt;&lt;Cite&gt;&lt;Author&gt;Molnar&lt;/Author&gt;&lt;Year&gt;2021&lt;/Year&gt;&lt;RecNum&gt;31640&lt;/RecNum&gt;&lt;record&gt;&lt;rec-number&gt;31640&lt;/rec-number&gt;&lt;foreign-keys&gt;&lt;key app="EN" db-id="92twpawtxsdzaae5zwevdsw799fderxv2d52" timestamp="1692930683"&gt;31640&lt;/key&gt;&lt;/foreign-keys&gt;&lt;ref-type name="Journal Article"&gt;17&lt;/ref-type&gt;&lt;contributors&gt;&lt;authors&gt;&lt;author&gt;Molnar, Timea&lt;/author&gt;&lt;author&gt;McKillop, Nadine&lt;/author&gt;&lt;author&gt;Allard, Troy&lt;/author&gt;&lt;author&gt;Rynne, John&lt;/author&gt;&lt;author&gt;Adams, Dimity&lt;/author&gt;&lt;/authors&gt;&lt;/contributors&gt;&lt;titles&gt;&lt;title&gt;Patterns of rearrest for Aboriginal and/or Torres Stait Islander and non-Indigenous youth who have sexually harmed&lt;/title&gt;&lt;secondary-title&gt;Journal of Sexual Aggression&lt;/secondary-title&gt;&lt;/titles&gt;&lt;periodical&gt;&lt;full-title&gt;Journal of Sexual Aggression&lt;/full-title&gt;&lt;/periodical&gt;&lt;pages&gt;167-184&lt;/pages&gt;&lt;volume&gt;27&lt;/volume&gt;&lt;number&gt;2&lt;/number&gt;&lt;dates&gt;&lt;year&gt;2021&lt;/year&gt;&lt;/dates&gt;&lt;urls&gt;&lt;/urls&gt;&lt;electronic-resource-num&gt;10.1080/13552600.2020.1850894&lt;/electronic-resource-num&gt;&lt;/record&gt;&lt;/Cite&gt;&lt;/EndNote&gt;</w:instrText>
      </w:r>
      <w:r w:rsidRPr="00EC02CA">
        <w:fldChar w:fldCharType="separate"/>
      </w:r>
      <w:r w:rsidRPr="00EC02CA">
        <w:fldChar w:fldCharType="end"/>
      </w:r>
      <w:r w:rsidRPr="00EC02CA">
        <w:t>.</w:t>
      </w:r>
      <w:bookmarkStart w:id="135" w:name="_Ref218017699"/>
      <w:r w:rsidRPr="00EC02CA">
        <w:rPr>
          <w:rStyle w:val="FootnoteReference"/>
          <w:sz w:val="24"/>
        </w:rPr>
        <w:footnoteReference w:id="231"/>
      </w:r>
      <w:bookmarkEnd w:id="135"/>
      <w:r w:rsidRPr="00EC02CA">
        <w:t xml:space="preserve"> Additionally, the authors identified that there were no significant differences in reoffending rates between First Nations and non-Indigenous people, from a sample of 111 (</w:t>
      </w:r>
      <w:r w:rsidR="00573142" w:rsidRPr="00EC02CA">
        <w:t xml:space="preserve">44 </w:t>
      </w:r>
      <w:r w:rsidRPr="00EC02CA">
        <w:t xml:space="preserve">First Nations; </w:t>
      </w:r>
      <w:r w:rsidR="00573142" w:rsidRPr="00EC02CA">
        <w:t xml:space="preserve">67 </w:t>
      </w:r>
      <w:r w:rsidRPr="00EC02CA">
        <w:t xml:space="preserve">non-Indigenous). However, it was noted that First Nations people were arrested at higher rates, indicating the over-policing of First Nations young people, which aligns with existing understanding of the over-representation of First Nations </w:t>
      </w:r>
      <w:r w:rsidR="00E33573" w:rsidRPr="00EC02CA">
        <w:t>p</w:t>
      </w:r>
      <w:r w:rsidRPr="00EC02CA">
        <w:t>eoples in the criminal justice system</w:t>
      </w:r>
      <w:r w:rsidRPr="00EC02CA">
        <w:fldChar w:fldCharType="begin"/>
      </w:r>
      <w:r w:rsidRPr="00EC02CA">
        <w:instrText xml:space="preserve"> ADDIN EN.CITE &lt;EndNote&gt;&lt;Cite&gt;&lt;Author&gt;Cunneen&lt;/Author&gt;&lt;Year&gt;2008&lt;/Year&gt;&lt;RecNum&gt;703&lt;/RecNum&gt;&lt;record&gt;&lt;rec-number&gt;703&lt;/rec-number&gt;&lt;foreign-keys&gt;&lt;key app="EN" db-id="92twpawtxsdzaae5zwevdsw799fderxv2d52" timestamp="1689652141" guid="c73271ca-0b37-47bc-9aa9-39283c6e042b"&gt;703&lt;/key&gt;&lt;/foreign-keys&gt;&lt;ref-type name="Journal Article"&gt;17&lt;/ref-type&gt;&lt;contributors&gt;&lt;authors&gt;&lt;author&gt;Cunneen, Chris&lt;/author&gt;&lt;/authors&gt;&lt;/contributors&gt;&lt;titles&gt;&lt;title&gt;Bringing them home and the contemporary criminalisation of Indigenous young people&lt;/title&gt;&lt;secondary-title&gt;Australian Indigenous Law Review&lt;/secondary-title&gt;&lt;/titles&gt;&lt;periodical&gt;&lt;full-title&gt;Australian Indigenous Law Review&lt;/full-title&gt;&lt;/periodical&gt;&lt;pages&gt;46-54&lt;/pages&gt;&lt;volume&gt;12&lt;/volume&gt;&lt;number&gt;Special Edition&lt;/number&gt;&lt;dates&gt;&lt;year&gt;2008&lt;/year&gt;&lt;/dates&gt;&lt;urls&gt;&lt;/urls&gt;&lt;/record&gt;&lt;/Cite&gt;&lt;/EndNote&gt;</w:instrText>
      </w:r>
      <w:r w:rsidRPr="00EC02CA">
        <w:fldChar w:fldCharType="separate"/>
      </w:r>
      <w:r w:rsidRPr="00EC02CA">
        <w:fldChar w:fldCharType="end"/>
      </w:r>
      <w:r w:rsidRPr="00EC02CA">
        <w:t>.</w:t>
      </w:r>
      <w:r w:rsidRPr="00EC02CA">
        <w:rPr>
          <w:rStyle w:val="FootnoteReference"/>
          <w:sz w:val="24"/>
        </w:rPr>
        <w:footnoteReference w:id="232"/>
      </w:r>
    </w:p>
    <w:p w14:paraId="19D3179B" w14:textId="5B877E8D" w:rsidR="00695636" w:rsidRPr="00EC02CA" w:rsidRDefault="00695636" w:rsidP="002F0007">
      <w:pPr>
        <w:pStyle w:val="NormalNumberedTextTLRI"/>
      </w:pPr>
      <w:r w:rsidRPr="00EC02CA">
        <w:t xml:space="preserve">Evidence also shows that most young people who commit sexual offences are likely to have a history of non-sexual offending and low rates of sexual </w:t>
      </w:r>
      <w:r w:rsidR="00E33573" w:rsidRPr="00EC02CA">
        <w:t xml:space="preserve">offence </w:t>
      </w:r>
      <w:r w:rsidRPr="00EC02CA">
        <w:t>recidivism</w:t>
      </w:r>
      <w:r w:rsidRPr="00EC02CA">
        <w:fldChar w:fldCharType="begin"/>
      </w:r>
      <w:r w:rsidRPr="00EC02CA">
        <w:instrText xml:space="preserve"> ADDIN EN.CITE &lt;EndNote&gt;&lt;Cite&gt;&lt;Author&gt;Zimring&lt;/Author&gt;&lt;Year&gt;2009&lt;/Year&gt;&lt;RecNum&gt;31608&lt;/RecNum&gt;&lt;record&gt;&lt;rec-number&gt;31608&lt;/rec-number&gt;&lt;foreign-keys&gt;&lt;key app="EN" db-id="92twpawtxsdzaae5zwevdsw799fderxv2d52" timestamp="1692334057"&gt;31608&lt;/key&gt;&lt;/foreign-keys&gt;&lt;ref-type name="Journal Article"&gt;17&lt;/ref-type&gt;&lt;contributors&gt;&lt;authors&gt;&lt;author&gt;Zimring, Franklin E&lt;/author&gt;&lt;author&gt;Jennings, Wesley G.&lt;/author&gt;&lt;author&gt;Piquero, Alex R.&lt;/author&gt;&lt;author&gt;Hays, Stephanie&lt;/author&gt;&lt;/authors&gt;&lt;/contributors&gt;&lt;titles&gt;&lt;title&gt;Investigating the continuity of sex offending: Evidence from the second Philadelphia birth cohort&lt;/title&gt;&lt;secondary-title&gt;Justice Quarterly&lt;/secondary-title&gt;&lt;/titles&gt;&lt;periodical&gt;&lt;full-title&gt;Justice Quarterly&lt;/full-title&gt;&lt;/periodical&gt;&lt;pages&gt;58-76&lt;/pages&gt;&lt;volume&gt;26&lt;/volume&gt;&lt;number&gt;1&lt;/number&gt;&lt;dates&gt;&lt;year&gt;2009&lt;/year&gt;&lt;/dates&gt;&lt;urls&gt;&lt;/urls&gt;&lt;electronic-resource-num&gt;10.1080/07418820801989734&lt;/electronic-resource-num&gt;&lt;/record&gt;&lt;/Cite&gt;&lt;Cite&gt;&lt;Author&gt;McKillop&lt;/Author&gt;&lt;Year&gt;2018&lt;/Year&gt;&lt;RecNum&gt;31356&lt;/RecNum&gt;&lt;record&gt;&lt;rec-number&gt;31356&lt;/rec-number&gt;&lt;foreign-keys&gt;&lt;key app="EN" db-id="92twpawtxsdzaae5zwevdsw799fderxv2d52" timestamp="1692248893" guid="e5600cad-48f2-4d59-96d6-4a291afd193d"&gt;31356&lt;/key&gt;&lt;/foreign-keys&gt;&lt;ref-type name="Journal Article"&gt;17&lt;/ref-type&gt;&lt;contributors&gt;&lt;authors&gt;&lt;author&gt;McKillop, Nadine&lt;/author&gt;&lt;author&gt;Rayment-McHugh, Susan&lt;/author&gt;&lt;author&gt;Smallbone, Stephen&lt;/author&gt;&lt;author&gt;Bromham, Zoe&lt;/author&gt;&lt;/authors&gt;&lt;/contributors&gt;&lt;titles&gt;&lt;title&gt;Understanding and preventing the onset of child sexual abuse in adolescence and adulthood&lt;/title&gt;&lt;secondary-title&gt;Trends and Issues in Crime and Criminal Justice&lt;/secondary-title&gt;&lt;/titles&gt;&lt;periodical&gt;&lt;full-title&gt;Trends and Issues in Crime and Criminal Justice&lt;/full-title&gt;&lt;/periodical&gt;&lt;pages&gt;1-13&lt;/pages&gt;&lt;volume&gt;554&lt;/volume&gt;&lt;number&gt;July&lt;/number&gt;&lt;dates&gt;&lt;year&gt;2018&lt;/year&gt;&lt;/dates&gt;&lt;urls&gt;&lt;/urls&gt;&lt;/record&gt;&lt;/Cite&gt;&lt;/EndNote&gt;</w:instrText>
      </w:r>
      <w:r w:rsidRPr="00EC02CA">
        <w:fldChar w:fldCharType="separate"/>
      </w:r>
      <w:r w:rsidRPr="00EC02CA">
        <w:fldChar w:fldCharType="end"/>
      </w:r>
      <w:r w:rsidRPr="00EC02CA">
        <w:t>.</w:t>
      </w:r>
      <w:r w:rsidRPr="00EC02CA">
        <w:rPr>
          <w:rStyle w:val="FootnoteReference"/>
          <w:sz w:val="24"/>
          <w:szCs w:val="24"/>
        </w:rPr>
        <w:footnoteReference w:id="233"/>
      </w:r>
      <w:r w:rsidR="60E4FD3E" w:rsidRPr="00EC02CA">
        <w:t xml:space="preserve"> </w:t>
      </w:r>
      <w:r w:rsidRPr="00EC02CA">
        <w:t xml:space="preserve">These findings </w:t>
      </w:r>
      <w:r w:rsidR="00E33573" w:rsidRPr="00EC02CA">
        <w:t>mirror</w:t>
      </w:r>
      <w:r w:rsidRPr="00EC02CA">
        <w:t xml:space="preserve"> </w:t>
      </w:r>
      <w:r w:rsidR="00E33573" w:rsidRPr="00EC02CA">
        <w:t xml:space="preserve">recidivism </w:t>
      </w:r>
      <w:r w:rsidRPr="00EC02CA">
        <w:t xml:space="preserve">research for adult offenders, which </w:t>
      </w:r>
      <w:r w:rsidR="004215A8" w:rsidRPr="00EC02CA">
        <w:t>shows</w:t>
      </w:r>
      <w:r w:rsidRPr="00EC02CA">
        <w:t xml:space="preserve"> that a majority of </w:t>
      </w:r>
      <w:r w:rsidR="00E33573" w:rsidRPr="00EC02CA">
        <w:t xml:space="preserve">adult </w:t>
      </w:r>
      <w:r w:rsidRPr="00EC02CA">
        <w:t xml:space="preserve">sex offenders </w:t>
      </w:r>
      <w:r w:rsidR="00E33573" w:rsidRPr="00EC02CA">
        <w:t xml:space="preserve">do </w:t>
      </w:r>
      <w:r w:rsidRPr="00EC02CA">
        <w:t>not reoffend.</w:t>
      </w:r>
      <w:r w:rsidRPr="00EC02CA">
        <w:rPr>
          <w:rStyle w:val="FootnoteReference"/>
        </w:rPr>
        <w:footnoteReference w:id="234"/>
      </w:r>
      <w:r w:rsidRPr="00EC02CA">
        <w:t xml:space="preserve"> </w:t>
      </w:r>
    </w:p>
    <w:p w14:paraId="523D52F9" w14:textId="0410CC19" w:rsidR="00695636" w:rsidRPr="00EC02CA" w:rsidRDefault="00695636" w:rsidP="002F0007">
      <w:pPr>
        <w:pStyle w:val="NormalNumberedTextTLRI"/>
      </w:pPr>
      <w:r w:rsidRPr="00EC02CA">
        <w:t xml:space="preserve">Further, research examining the effectiveness of therapeutic treatment for young people </w:t>
      </w:r>
      <w:r w:rsidR="00624D1F" w:rsidRPr="00EC02CA">
        <w:t xml:space="preserve">who engage in </w:t>
      </w:r>
      <w:r w:rsidRPr="00EC02CA">
        <w:t>harmful sexual behaviour has found that Australian ‘studies of children with harmful sexual behaviours who have attended therapeutic treatment show low rates of the behaviours recurring post-intervention’.</w:t>
      </w:r>
      <w:r w:rsidRPr="00EC02CA">
        <w:rPr>
          <w:rStyle w:val="FootnoteReference"/>
        </w:rPr>
        <w:footnoteReference w:id="235"/>
      </w:r>
      <w:r w:rsidRPr="00EC02CA">
        <w:t xml:space="preserve"> The Royal Commission observed that:</w:t>
      </w:r>
    </w:p>
    <w:p w14:paraId="15A5071B" w14:textId="13728066" w:rsidR="00695636" w:rsidRPr="00EC02CA" w:rsidRDefault="00BE3422" w:rsidP="00695636">
      <w:pPr>
        <w:pStyle w:val="Indentedquote"/>
      </w:pPr>
      <w:r w:rsidRPr="00EC02CA">
        <w:t>[I]</w:t>
      </w:r>
      <w:r w:rsidR="00695636" w:rsidRPr="00EC02CA">
        <w:t>f children are provided with an appropriate assessment and, if required, a therapeutic response tailored to their particular needs, background and situation, then the behaviours are more likely to cease and less likely to escalate. In turn, children are less likely to requires a criminal justice intervention.</w:t>
      </w:r>
      <w:r w:rsidR="00695636" w:rsidRPr="00EC02CA">
        <w:rPr>
          <w:rStyle w:val="FootnoteReference"/>
        </w:rPr>
        <w:footnoteReference w:id="236"/>
      </w:r>
    </w:p>
    <w:p w14:paraId="770E58D1" w14:textId="2AB48E11" w:rsidR="00695636" w:rsidRPr="00EC02CA" w:rsidRDefault="00695636" w:rsidP="002F0007">
      <w:pPr>
        <w:pStyle w:val="NormalNumberedTextTLRI"/>
      </w:pPr>
      <w:r w:rsidRPr="00EC02CA">
        <w:t>In the Commission of Inquiry, it was noted that:</w:t>
      </w:r>
    </w:p>
    <w:p w14:paraId="7C724B19" w14:textId="7B4F8611" w:rsidR="00695636" w:rsidRPr="00EC02CA" w:rsidRDefault="00BE3422" w:rsidP="00695636">
      <w:pPr>
        <w:pStyle w:val="Indentedquote"/>
      </w:pPr>
      <w:r w:rsidRPr="00EC02CA">
        <w:t>[R]</w:t>
      </w:r>
      <w:r w:rsidR="00695636" w:rsidRPr="00EC02CA">
        <w:t>esearch about children who have displayed harmful sexual behaviours indicates a low rate of recurrence for these behaviours. This means that adopting stigmatising criminal justice interventions is unlikely to be effective. Professor Ogloff informed us that harmful sexual behaviours displayed by young people are usually highly treatable, with treatment based on gaining cognitive and emotional control, and often there is a strong element of remorse and a desire to change.</w:t>
      </w:r>
      <w:r w:rsidR="00695636" w:rsidRPr="00EC02CA">
        <w:rPr>
          <w:rStyle w:val="FootnoteReference"/>
        </w:rPr>
        <w:footnoteReference w:id="237"/>
      </w:r>
    </w:p>
    <w:p w14:paraId="47B803FB" w14:textId="01D40FC4" w:rsidR="00695636" w:rsidRPr="00EC02CA" w:rsidRDefault="00695636" w:rsidP="002F0007">
      <w:pPr>
        <w:pStyle w:val="NormalNumberedTextTLRI"/>
      </w:pPr>
      <w:r w:rsidRPr="00EC02CA">
        <w:t xml:space="preserve">Less is known about recidivism rates for online sexual offending </w:t>
      </w:r>
      <w:r w:rsidR="003D1AF8" w:rsidRPr="00EC02CA">
        <w:t>by young people</w:t>
      </w:r>
      <w:r w:rsidRPr="00EC02CA">
        <w:t xml:space="preserve">, including whether young people who engage in harmful sexual behaviour </w:t>
      </w:r>
      <w:r w:rsidR="00DE790A" w:rsidRPr="00EC02CA">
        <w:t xml:space="preserve">online </w:t>
      </w:r>
      <w:r w:rsidRPr="00EC02CA">
        <w:t>will continue to offend into adulthood. These are important empirical questions.</w:t>
      </w:r>
      <w:r w:rsidRPr="00EC02CA">
        <w:rPr>
          <w:rFonts w:ascii="Garamond" w:hAnsi="Garamond"/>
        </w:rPr>
        <w:t xml:space="preserve"> </w:t>
      </w:r>
      <w:r w:rsidRPr="00EC02CA">
        <w:t>Little is also currently known about the available interventions and efficacy of treatments for young people engaging in online exploitation, such as non-consensual image-sharing.</w:t>
      </w:r>
      <w:r w:rsidRPr="00EC02CA">
        <w:rPr>
          <w:rStyle w:val="FootnoteReference"/>
        </w:rPr>
        <w:footnoteReference w:id="238"/>
      </w:r>
      <w:r w:rsidRPr="00EC02CA">
        <w:t xml:space="preserve"> There is a general lack of research on </w:t>
      </w:r>
      <w:r w:rsidR="00DE790A" w:rsidRPr="00EC02CA">
        <w:t xml:space="preserve">online </w:t>
      </w:r>
      <w:r w:rsidRPr="00EC02CA">
        <w:t xml:space="preserve">sex offending </w:t>
      </w:r>
      <w:r w:rsidR="003D1AF8" w:rsidRPr="00EC02CA">
        <w:t xml:space="preserve">by young people </w:t>
      </w:r>
      <w:r w:rsidRPr="00EC02CA">
        <w:t xml:space="preserve">and corresponding interventions. This gap underscores that, while </w:t>
      </w:r>
      <w:r w:rsidR="00DE790A" w:rsidRPr="00EC02CA">
        <w:t xml:space="preserve">online </w:t>
      </w:r>
      <w:r w:rsidRPr="00EC02CA">
        <w:t>contexts for abuse are rapidly evolving, effective interventions to address these offences are lagging.</w:t>
      </w:r>
      <w:r w:rsidRPr="00EC02CA">
        <w:rPr>
          <w:rStyle w:val="FootnoteReference"/>
        </w:rPr>
        <w:footnoteReference w:id="239"/>
      </w:r>
      <w:r w:rsidRPr="00EC02CA">
        <w:t xml:space="preserve"> There is then also an urgent need for research investigating treatment efficacy for sexual offending</w:t>
      </w:r>
      <w:r w:rsidR="003D1AF8" w:rsidRPr="00EC02CA">
        <w:t xml:space="preserve"> by young people</w:t>
      </w:r>
      <w:r w:rsidRPr="00EC02CA">
        <w:t xml:space="preserve"> in online contexts, particularly given the digital literacy of contemporary </w:t>
      </w:r>
      <w:r w:rsidR="00831B1A" w:rsidRPr="00EC02CA">
        <w:t>young people</w:t>
      </w:r>
      <w:r w:rsidRPr="00EC02CA">
        <w:t>.</w:t>
      </w:r>
      <w:r w:rsidRPr="00EC02CA">
        <w:rPr>
          <w:rStyle w:val="FootnoteReference"/>
        </w:rPr>
        <w:footnoteReference w:id="240"/>
      </w:r>
      <w:r w:rsidRPr="00EC02CA">
        <w:t xml:space="preserve"> </w:t>
      </w:r>
    </w:p>
    <w:p w14:paraId="797D7E6F" w14:textId="77777777" w:rsidR="00695636" w:rsidRPr="00EC02CA" w:rsidRDefault="00695636" w:rsidP="00A920EC">
      <w:pPr>
        <w:pStyle w:val="TLRISubheading"/>
      </w:pPr>
      <w:bookmarkStart w:id="136" w:name="_Toc211849375"/>
      <w:bookmarkStart w:id="137" w:name="_Toc218157271"/>
      <w:r w:rsidRPr="00EC02CA">
        <w:t>Recidivism: Tasmanian data</w:t>
      </w:r>
      <w:bookmarkEnd w:id="136"/>
      <w:bookmarkEnd w:id="137"/>
    </w:p>
    <w:p w14:paraId="5E6868C0" w14:textId="13FACE68" w:rsidR="00695636" w:rsidRPr="00EC02CA" w:rsidRDefault="00695636" w:rsidP="002F0007">
      <w:pPr>
        <w:pStyle w:val="NormalNumberedTextTLRI"/>
      </w:pPr>
      <w:r w:rsidRPr="00EC02CA">
        <w:t xml:space="preserve">No robust Tasmanian research </w:t>
      </w:r>
      <w:r w:rsidR="008035CC" w:rsidRPr="00EC02CA">
        <w:t xml:space="preserve">exists </w:t>
      </w:r>
      <w:r w:rsidRPr="00EC02CA">
        <w:t>that has considered recidivism rates for young people, including those who commit sexual offences. There is some very limited information about reoffending, but these data sources are not able to be interpreted as measures of recidivism. Data in the Report on Government Services sets out the number of young people returned to sentenced supervisions (defined as the proportion of young people release from sentenced supervision who are aged 10–16 at the time of the</w:t>
      </w:r>
      <w:r w:rsidR="008035CC" w:rsidRPr="00EC02CA">
        <w:t>ir</w:t>
      </w:r>
      <w:r w:rsidRPr="00EC02CA">
        <w:t xml:space="preserve"> release who are returned to sentenced supervision within 12 months). This is extremely limited because it only reports on those whose initial and subsequent sentences are ‘supervision’</w:t>
      </w:r>
      <w:r w:rsidR="008035CC" w:rsidRPr="00EC02CA">
        <w:t>,</w:t>
      </w:r>
      <w:r w:rsidRPr="00EC02CA">
        <w:t xml:space="preserve"> and so excludes those where the matter is proceeded with by way of caution or those where the sentence imposed by the court was not supervision (either </w:t>
      </w:r>
      <w:r w:rsidR="008035CC" w:rsidRPr="00EC02CA">
        <w:t xml:space="preserve">for </w:t>
      </w:r>
      <w:r w:rsidRPr="00EC02CA">
        <w:t>the initial or subsequent matter)</w:t>
      </w:r>
      <w:r w:rsidR="00200456" w:rsidRPr="00EC02CA">
        <w:t xml:space="preserve">. </w:t>
      </w:r>
      <w:r w:rsidRPr="00EC02CA">
        <w:t>It does not include matters not reported to police or not proceeded with by police. It is also noted that return to sentenced supervision may be for breach of an order rather than a new offence. In addition, the</w:t>
      </w:r>
      <w:r w:rsidR="008035CC" w:rsidRPr="00EC02CA">
        <w:t xml:space="preserve"> data relates to </w:t>
      </w:r>
      <w:r w:rsidRPr="00EC02CA">
        <w:t xml:space="preserve">small numbers of young people and </w:t>
      </w:r>
      <w:r w:rsidR="008035CC" w:rsidRPr="00EC02CA">
        <w:t xml:space="preserve">so </w:t>
      </w:r>
      <w:r w:rsidRPr="00EC02CA">
        <w:t xml:space="preserve">caution is </w:t>
      </w:r>
      <w:r w:rsidR="008035CC" w:rsidRPr="00EC02CA">
        <w:t>required when drawing conclusions</w:t>
      </w:r>
      <w:r w:rsidRPr="00EC02CA">
        <w:t xml:space="preserve"> about any trends.</w:t>
      </w:r>
    </w:p>
    <w:p w14:paraId="6687747A" w14:textId="416CA575" w:rsidR="00695636" w:rsidRPr="00EC02CA" w:rsidRDefault="00695636" w:rsidP="00A920EC">
      <w:r w:rsidRPr="00EC02CA">
        <w:rPr>
          <w:b/>
          <w:bCs/>
        </w:rPr>
        <w:t xml:space="preserve">Table </w:t>
      </w:r>
      <w:r w:rsidR="003D1AF8" w:rsidRPr="00EC02CA">
        <w:rPr>
          <w:b/>
          <w:bCs/>
        </w:rPr>
        <w:t>2</w:t>
      </w:r>
      <w:r w:rsidRPr="00EC02CA">
        <w:rPr>
          <w:b/>
          <w:bCs/>
        </w:rPr>
        <w:t>.</w:t>
      </w:r>
      <w:r w:rsidR="003D1AF8" w:rsidRPr="00EC02CA">
        <w:rPr>
          <w:b/>
          <w:bCs/>
        </w:rPr>
        <w:t>8</w:t>
      </w:r>
      <w:r w:rsidRPr="00EC02CA">
        <w:t xml:space="preserve"> Proportion of young people released from sentenced supervision, aged 10–16 at time of release, who returned to sentenced supervision within 12 months</w:t>
      </w:r>
      <w:r w:rsidR="002E4CBC" w:rsidRPr="00EC02CA">
        <w:t>, 2014–15 to 2021–22</w:t>
      </w:r>
    </w:p>
    <w:tbl>
      <w:tblPr>
        <w:tblStyle w:val="TableGrid"/>
        <w:tblW w:w="0" w:type="auto"/>
        <w:tblInd w:w="-5" w:type="dxa"/>
        <w:tblLook w:val="04A0" w:firstRow="1" w:lastRow="0" w:firstColumn="1" w:lastColumn="0" w:noHBand="0" w:noVBand="1"/>
      </w:tblPr>
      <w:tblGrid>
        <w:gridCol w:w="4024"/>
        <w:gridCol w:w="1161"/>
      </w:tblGrid>
      <w:tr w:rsidR="00695636" w:rsidRPr="00EC02CA" w14:paraId="4C7B1C80" w14:textId="77777777" w:rsidTr="00A920EC">
        <w:tc>
          <w:tcPr>
            <w:tcW w:w="4024" w:type="dxa"/>
          </w:tcPr>
          <w:p w14:paraId="758C4748" w14:textId="77777777" w:rsidR="00695636" w:rsidRPr="00EC02CA" w:rsidRDefault="00695636" w:rsidP="005445E3">
            <w:pPr>
              <w:spacing w:before="40" w:after="40"/>
              <w:rPr>
                <w:b/>
                <w:bCs/>
                <w:sz w:val="20"/>
              </w:rPr>
            </w:pPr>
            <w:r w:rsidRPr="00EC02CA">
              <w:rPr>
                <w:rFonts w:cs="Times New Roman"/>
                <w:b/>
                <w:bCs/>
                <w:sz w:val="20"/>
                <w:szCs w:val="20"/>
              </w:rPr>
              <w:t>Year of release from sentenced supervision</w:t>
            </w:r>
          </w:p>
        </w:tc>
        <w:tc>
          <w:tcPr>
            <w:tcW w:w="0" w:type="auto"/>
          </w:tcPr>
          <w:p w14:paraId="219782A1" w14:textId="77777777" w:rsidR="00695636" w:rsidRPr="00EC02CA" w:rsidRDefault="00695636" w:rsidP="005445E3">
            <w:pPr>
              <w:spacing w:before="40" w:after="40"/>
              <w:rPr>
                <w:b/>
                <w:bCs/>
                <w:sz w:val="20"/>
              </w:rPr>
            </w:pPr>
            <w:r w:rsidRPr="00EC02CA">
              <w:rPr>
                <w:rFonts w:cs="Times New Roman"/>
                <w:b/>
                <w:bCs/>
                <w:sz w:val="20"/>
                <w:szCs w:val="20"/>
              </w:rPr>
              <w:t>Proportion</w:t>
            </w:r>
          </w:p>
        </w:tc>
      </w:tr>
      <w:tr w:rsidR="002E4CBC" w:rsidRPr="00EC02CA" w14:paraId="316E89F7" w14:textId="77777777" w:rsidTr="00A920EC">
        <w:tc>
          <w:tcPr>
            <w:tcW w:w="4024" w:type="dxa"/>
            <w:vAlign w:val="bottom"/>
          </w:tcPr>
          <w:p w14:paraId="4A28BFCA" w14:textId="0D46138E" w:rsidR="002E4CBC" w:rsidRPr="00EC02CA" w:rsidRDefault="002E4CBC" w:rsidP="005445E3">
            <w:pPr>
              <w:spacing w:before="40" w:after="40"/>
              <w:rPr>
                <w:sz w:val="20"/>
              </w:rPr>
            </w:pPr>
            <w:r w:rsidRPr="00EC02CA">
              <w:rPr>
                <w:rFonts w:cs="Times New Roman"/>
                <w:color w:val="000000"/>
                <w:sz w:val="20"/>
                <w:szCs w:val="20"/>
              </w:rPr>
              <w:t>2014–15</w:t>
            </w:r>
          </w:p>
        </w:tc>
        <w:tc>
          <w:tcPr>
            <w:tcW w:w="0" w:type="auto"/>
            <w:vAlign w:val="bottom"/>
          </w:tcPr>
          <w:p w14:paraId="1852896B" w14:textId="593A7052" w:rsidR="002E4CBC" w:rsidRPr="00EC02CA" w:rsidRDefault="002E4CBC" w:rsidP="005445E3">
            <w:pPr>
              <w:spacing w:before="40" w:after="40"/>
              <w:jc w:val="right"/>
              <w:rPr>
                <w:sz w:val="20"/>
              </w:rPr>
            </w:pPr>
            <w:r w:rsidRPr="00EC02CA">
              <w:rPr>
                <w:rFonts w:cs="Times New Roman"/>
                <w:color w:val="000000"/>
                <w:sz w:val="20"/>
                <w:szCs w:val="20"/>
              </w:rPr>
              <w:t>54.20%</w:t>
            </w:r>
          </w:p>
        </w:tc>
      </w:tr>
      <w:tr w:rsidR="002E4CBC" w:rsidRPr="00EC02CA" w14:paraId="660651A8" w14:textId="77777777" w:rsidTr="00A920EC">
        <w:tc>
          <w:tcPr>
            <w:tcW w:w="4024" w:type="dxa"/>
            <w:vAlign w:val="bottom"/>
          </w:tcPr>
          <w:p w14:paraId="78AF9621" w14:textId="1028421E" w:rsidR="002E4CBC" w:rsidRPr="00EC02CA" w:rsidRDefault="002E4CBC" w:rsidP="005445E3">
            <w:pPr>
              <w:spacing w:before="40" w:after="40"/>
              <w:rPr>
                <w:sz w:val="20"/>
              </w:rPr>
            </w:pPr>
            <w:r w:rsidRPr="00EC02CA">
              <w:rPr>
                <w:rFonts w:cs="Times New Roman"/>
                <w:color w:val="000000"/>
                <w:sz w:val="20"/>
                <w:szCs w:val="20"/>
              </w:rPr>
              <w:t>2015–16</w:t>
            </w:r>
          </w:p>
        </w:tc>
        <w:tc>
          <w:tcPr>
            <w:tcW w:w="0" w:type="auto"/>
            <w:vAlign w:val="bottom"/>
          </w:tcPr>
          <w:p w14:paraId="031F622F" w14:textId="3B2C4C77" w:rsidR="002E4CBC" w:rsidRPr="00EC02CA" w:rsidRDefault="002E4CBC" w:rsidP="005445E3">
            <w:pPr>
              <w:spacing w:before="40" w:after="40"/>
              <w:jc w:val="right"/>
              <w:rPr>
                <w:sz w:val="20"/>
              </w:rPr>
            </w:pPr>
            <w:r w:rsidRPr="00EC02CA">
              <w:rPr>
                <w:rFonts w:cs="Times New Roman"/>
                <w:color w:val="000000"/>
                <w:sz w:val="20"/>
                <w:szCs w:val="20"/>
              </w:rPr>
              <w:t>57.70%</w:t>
            </w:r>
          </w:p>
        </w:tc>
      </w:tr>
      <w:tr w:rsidR="002E4CBC" w:rsidRPr="00EC02CA" w14:paraId="35B7C3FF" w14:textId="77777777" w:rsidTr="00A920EC">
        <w:tc>
          <w:tcPr>
            <w:tcW w:w="4024" w:type="dxa"/>
            <w:vAlign w:val="bottom"/>
          </w:tcPr>
          <w:p w14:paraId="1B7776CC" w14:textId="67FBF79D" w:rsidR="002E4CBC" w:rsidRPr="00EC02CA" w:rsidRDefault="002E4CBC" w:rsidP="005445E3">
            <w:pPr>
              <w:spacing w:before="40" w:after="40"/>
              <w:rPr>
                <w:sz w:val="20"/>
              </w:rPr>
            </w:pPr>
            <w:r w:rsidRPr="00EC02CA">
              <w:rPr>
                <w:rFonts w:cs="Times New Roman"/>
                <w:color w:val="000000"/>
                <w:sz w:val="20"/>
                <w:szCs w:val="20"/>
              </w:rPr>
              <w:t>2016–17</w:t>
            </w:r>
          </w:p>
        </w:tc>
        <w:tc>
          <w:tcPr>
            <w:tcW w:w="0" w:type="auto"/>
            <w:vAlign w:val="bottom"/>
          </w:tcPr>
          <w:p w14:paraId="511535A4" w14:textId="215E408F" w:rsidR="002E4CBC" w:rsidRPr="00EC02CA" w:rsidRDefault="002E4CBC" w:rsidP="005445E3">
            <w:pPr>
              <w:spacing w:before="40" w:after="40"/>
              <w:jc w:val="right"/>
              <w:rPr>
                <w:sz w:val="20"/>
              </w:rPr>
            </w:pPr>
            <w:r w:rsidRPr="00EC02CA">
              <w:rPr>
                <w:rFonts w:cs="Times New Roman"/>
                <w:color w:val="000000"/>
                <w:sz w:val="20"/>
                <w:szCs w:val="20"/>
              </w:rPr>
              <w:t>51.80%</w:t>
            </w:r>
          </w:p>
        </w:tc>
      </w:tr>
      <w:tr w:rsidR="002E4CBC" w:rsidRPr="00EC02CA" w14:paraId="5F127616" w14:textId="77777777" w:rsidTr="00A920EC">
        <w:tc>
          <w:tcPr>
            <w:tcW w:w="4024" w:type="dxa"/>
            <w:vAlign w:val="bottom"/>
          </w:tcPr>
          <w:p w14:paraId="65E6EB4C" w14:textId="5CFF2A5C" w:rsidR="002E4CBC" w:rsidRPr="00EC02CA" w:rsidRDefault="002E4CBC" w:rsidP="005445E3">
            <w:pPr>
              <w:spacing w:before="40" w:after="40"/>
              <w:rPr>
                <w:sz w:val="20"/>
              </w:rPr>
            </w:pPr>
            <w:r w:rsidRPr="00EC02CA">
              <w:rPr>
                <w:rFonts w:cs="Times New Roman"/>
                <w:color w:val="000000"/>
                <w:sz w:val="20"/>
                <w:szCs w:val="20"/>
              </w:rPr>
              <w:t>2017–18</w:t>
            </w:r>
          </w:p>
        </w:tc>
        <w:tc>
          <w:tcPr>
            <w:tcW w:w="0" w:type="auto"/>
            <w:vAlign w:val="bottom"/>
          </w:tcPr>
          <w:p w14:paraId="66DD9E65" w14:textId="1A1233FD" w:rsidR="002E4CBC" w:rsidRPr="00EC02CA" w:rsidRDefault="002E4CBC" w:rsidP="005445E3">
            <w:pPr>
              <w:spacing w:before="40" w:after="40"/>
              <w:jc w:val="right"/>
              <w:rPr>
                <w:sz w:val="20"/>
              </w:rPr>
            </w:pPr>
            <w:r w:rsidRPr="00EC02CA">
              <w:rPr>
                <w:rFonts w:cs="Times New Roman"/>
                <w:color w:val="000000"/>
                <w:sz w:val="20"/>
                <w:szCs w:val="20"/>
              </w:rPr>
              <w:t>58.30%</w:t>
            </w:r>
          </w:p>
        </w:tc>
      </w:tr>
      <w:tr w:rsidR="002E4CBC" w:rsidRPr="00EC02CA" w14:paraId="01692D2F" w14:textId="77777777" w:rsidTr="00A920EC">
        <w:tc>
          <w:tcPr>
            <w:tcW w:w="4024" w:type="dxa"/>
            <w:vAlign w:val="bottom"/>
          </w:tcPr>
          <w:p w14:paraId="62490B53" w14:textId="77BEF480" w:rsidR="002E4CBC" w:rsidRPr="00EC02CA" w:rsidRDefault="002E4CBC" w:rsidP="005445E3">
            <w:pPr>
              <w:spacing w:before="40" w:after="40"/>
              <w:rPr>
                <w:sz w:val="20"/>
              </w:rPr>
            </w:pPr>
            <w:r w:rsidRPr="00EC02CA">
              <w:rPr>
                <w:rFonts w:cs="Times New Roman"/>
                <w:color w:val="000000"/>
                <w:sz w:val="20"/>
                <w:szCs w:val="20"/>
              </w:rPr>
              <w:t>2018–19</w:t>
            </w:r>
          </w:p>
        </w:tc>
        <w:tc>
          <w:tcPr>
            <w:tcW w:w="0" w:type="auto"/>
            <w:vAlign w:val="bottom"/>
          </w:tcPr>
          <w:p w14:paraId="2744471F" w14:textId="3D60244B" w:rsidR="002E4CBC" w:rsidRPr="00EC02CA" w:rsidRDefault="002E4CBC" w:rsidP="005445E3">
            <w:pPr>
              <w:spacing w:before="40" w:after="40"/>
              <w:jc w:val="right"/>
              <w:rPr>
                <w:sz w:val="20"/>
              </w:rPr>
            </w:pPr>
            <w:r w:rsidRPr="00EC02CA">
              <w:rPr>
                <w:rFonts w:cs="Times New Roman"/>
                <w:color w:val="000000"/>
                <w:sz w:val="20"/>
                <w:szCs w:val="20"/>
              </w:rPr>
              <w:t>52.70%</w:t>
            </w:r>
          </w:p>
        </w:tc>
      </w:tr>
      <w:tr w:rsidR="002E4CBC" w:rsidRPr="00EC02CA" w14:paraId="717D1B4D" w14:textId="77777777" w:rsidTr="00A920EC">
        <w:tc>
          <w:tcPr>
            <w:tcW w:w="4024" w:type="dxa"/>
            <w:vAlign w:val="bottom"/>
          </w:tcPr>
          <w:p w14:paraId="3AF70B0A" w14:textId="609648B0" w:rsidR="002E4CBC" w:rsidRPr="00EC02CA" w:rsidRDefault="002E4CBC" w:rsidP="005445E3">
            <w:pPr>
              <w:spacing w:before="40" w:after="40"/>
              <w:rPr>
                <w:sz w:val="20"/>
              </w:rPr>
            </w:pPr>
            <w:r w:rsidRPr="00EC02CA">
              <w:rPr>
                <w:rFonts w:cs="Times New Roman"/>
                <w:color w:val="000000"/>
                <w:sz w:val="20"/>
                <w:szCs w:val="20"/>
              </w:rPr>
              <w:t>2019–20</w:t>
            </w:r>
          </w:p>
        </w:tc>
        <w:tc>
          <w:tcPr>
            <w:tcW w:w="0" w:type="auto"/>
            <w:vAlign w:val="bottom"/>
          </w:tcPr>
          <w:p w14:paraId="326F437F" w14:textId="1939D585" w:rsidR="002E4CBC" w:rsidRPr="00EC02CA" w:rsidRDefault="002E4CBC" w:rsidP="005445E3">
            <w:pPr>
              <w:spacing w:before="40" w:after="40"/>
              <w:jc w:val="right"/>
              <w:rPr>
                <w:sz w:val="20"/>
              </w:rPr>
            </w:pPr>
            <w:r w:rsidRPr="00EC02CA">
              <w:rPr>
                <w:rFonts w:cs="Times New Roman"/>
                <w:color w:val="000000"/>
                <w:sz w:val="20"/>
                <w:szCs w:val="20"/>
              </w:rPr>
              <w:t>49.20%</w:t>
            </w:r>
          </w:p>
        </w:tc>
      </w:tr>
      <w:tr w:rsidR="002E4CBC" w:rsidRPr="00EC02CA" w14:paraId="7624982F" w14:textId="77777777" w:rsidTr="00A920EC">
        <w:tc>
          <w:tcPr>
            <w:tcW w:w="4024" w:type="dxa"/>
            <w:vAlign w:val="bottom"/>
          </w:tcPr>
          <w:p w14:paraId="678D53B4" w14:textId="77310C91" w:rsidR="002E4CBC" w:rsidRPr="00EC02CA" w:rsidRDefault="002E4CBC" w:rsidP="005445E3">
            <w:pPr>
              <w:spacing w:before="40" w:after="40"/>
              <w:rPr>
                <w:sz w:val="20"/>
              </w:rPr>
            </w:pPr>
            <w:r w:rsidRPr="00EC02CA">
              <w:rPr>
                <w:rFonts w:cs="Times New Roman"/>
                <w:color w:val="000000"/>
                <w:sz w:val="20"/>
                <w:szCs w:val="20"/>
              </w:rPr>
              <w:t>2020–21</w:t>
            </w:r>
          </w:p>
        </w:tc>
        <w:tc>
          <w:tcPr>
            <w:tcW w:w="0" w:type="auto"/>
            <w:vAlign w:val="bottom"/>
          </w:tcPr>
          <w:p w14:paraId="33D10E76" w14:textId="6947F4C7" w:rsidR="002E4CBC" w:rsidRPr="00EC02CA" w:rsidRDefault="002E4CBC" w:rsidP="005445E3">
            <w:pPr>
              <w:spacing w:before="40" w:after="40"/>
              <w:jc w:val="right"/>
              <w:rPr>
                <w:sz w:val="20"/>
              </w:rPr>
            </w:pPr>
            <w:r w:rsidRPr="00EC02CA">
              <w:rPr>
                <w:rFonts w:cs="Times New Roman"/>
                <w:color w:val="000000"/>
                <w:sz w:val="20"/>
                <w:szCs w:val="20"/>
              </w:rPr>
              <w:t>51.10%</w:t>
            </w:r>
          </w:p>
        </w:tc>
      </w:tr>
      <w:tr w:rsidR="002E4CBC" w:rsidRPr="00EC02CA" w14:paraId="6D245B70" w14:textId="77777777" w:rsidTr="00A920EC">
        <w:tc>
          <w:tcPr>
            <w:tcW w:w="4024" w:type="dxa"/>
            <w:vAlign w:val="bottom"/>
          </w:tcPr>
          <w:p w14:paraId="74EF42AD" w14:textId="63D550F2" w:rsidR="002E4CBC" w:rsidRPr="00EC02CA" w:rsidRDefault="002E4CBC" w:rsidP="005445E3">
            <w:pPr>
              <w:spacing w:before="40" w:after="40"/>
              <w:rPr>
                <w:sz w:val="20"/>
              </w:rPr>
            </w:pPr>
            <w:r w:rsidRPr="00EC02CA">
              <w:rPr>
                <w:rFonts w:cs="Times New Roman"/>
                <w:color w:val="000000"/>
                <w:sz w:val="20"/>
                <w:szCs w:val="20"/>
              </w:rPr>
              <w:t>2021–22</w:t>
            </w:r>
          </w:p>
        </w:tc>
        <w:tc>
          <w:tcPr>
            <w:tcW w:w="0" w:type="auto"/>
            <w:vAlign w:val="bottom"/>
          </w:tcPr>
          <w:p w14:paraId="19DDCD94" w14:textId="65FB0B52" w:rsidR="002E4CBC" w:rsidRPr="00EC02CA" w:rsidRDefault="002E4CBC" w:rsidP="005445E3">
            <w:pPr>
              <w:spacing w:before="40" w:after="40"/>
              <w:jc w:val="right"/>
              <w:rPr>
                <w:sz w:val="20"/>
              </w:rPr>
            </w:pPr>
            <w:r w:rsidRPr="00EC02CA">
              <w:rPr>
                <w:rFonts w:cs="Times New Roman"/>
                <w:color w:val="000000"/>
                <w:sz w:val="20"/>
                <w:szCs w:val="20"/>
              </w:rPr>
              <w:t>50%</w:t>
            </w:r>
          </w:p>
        </w:tc>
      </w:tr>
    </w:tbl>
    <w:p w14:paraId="150C8118" w14:textId="77777777" w:rsidR="00695636" w:rsidRPr="00EC02CA" w:rsidRDefault="00695636" w:rsidP="00A920EC">
      <w:pPr>
        <w:spacing w:before="120" w:after="120"/>
        <w:rPr>
          <w:i/>
          <w:iCs/>
        </w:rPr>
      </w:pPr>
      <w:r w:rsidRPr="00EC02CA">
        <w:rPr>
          <w:i/>
          <w:iCs/>
        </w:rPr>
        <w:t>Source: Report on Government Services 2025 Table 17A.26</w:t>
      </w:r>
    </w:p>
    <w:p w14:paraId="1BC12BE5" w14:textId="0B006AAC" w:rsidR="00695636" w:rsidRPr="00EC02CA" w:rsidRDefault="00695636" w:rsidP="002F0007">
      <w:pPr>
        <w:pStyle w:val="NormalNumberedTextTLRI"/>
      </w:pPr>
      <w:r w:rsidRPr="00EC02CA">
        <w:t xml:space="preserve">Previously unpublished data provided to the TLRI by DECYP </w:t>
      </w:r>
      <w:r w:rsidR="00A84C4D" w:rsidRPr="00EC02CA">
        <w:t>(</w:t>
      </w:r>
      <w:r w:rsidRPr="00EC02CA">
        <w:t xml:space="preserve">from the </w:t>
      </w:r>
      <w:r w:rsidR="003E215F" w:rsidRPr="00EC02CA">
        <w:t>YJIS</w:t>
      </w:r>
      <w:r w:rsidR="00A84C4D" w:rsidRPr="00EC02CA">
        <w:t>)</w:t>
      </w:r>
      <w:r w:rsidRPr="00EC02CA">
        <w:t xml:space="preserve"> sets out the number of young people </w:t>
      </w:r>
      <w:r w:rsidR="007E3927" w:rsidRPr="00EC02CA">
        <w:t xml:space="preserve">with recorded sexual offences </w:t>
      </w:r>
      <w:r w:rsidRPr="00EC02CA">
        <w:t>involved with Youth Justice for tasks</w:t>
      </w:r>
      <w:r w:rsidR="007E3927" w:rsidRPr="00EC02CA">
        <w:t>,</w:t>
      </w:r>
      <w:r w:rsidRPr="00EC02CA">
        <w:t xml:space="preserve"> who had a subsequent task with Youth Justice</w:t>
      </w:r>
      <w:r w:rsidR="007E3927" w:rsidRPr="00EC02CA">
        <w:t>, between 2014–15 and 2023–24</w:t>
      </w:r>
      <w:r w:rsidRPr="00EC02CA">
        <w:t>.</w:t>
      </w:r>
      <w:r w:rsidRPr="00EC02CA">
        <w:rPr>
          <w:rStyle w:val="FootnoteReference"/>
        </w:rPr>
        <w:footnoteReference w:id="241"/>
      </w:r>
      <w:r w:rsidRPr="00EC02CA">
        <w:t xml:space="preserve"> Again this is not a measure of recidivism but provides some insight into the number of young people with a sexual offence who have subsequent contact with Youth Justice. In addition, it is noted that it does not include all reoffending for young people, as young people may offend after they turn 18 and that is not visible through the </w:t>
      </w:r>
      <w:r w:rsidR="00AF1D84" w:rsidRPr="00EC02CA">
        <w:t>y</w:t>
      </w:r>
      <w:r w:rsidRPr="00EC02CA">
        <w:t xml:space="preserve">outh </w:t>
      </w:r>
      <w:r w:rsidR="00AF1D84" w:rsidRPr="00EC02CA">
        <w:t>j</w:t>
      </w:r>
      <w:r w:rsidRPr="00EC02CA">
        <w:t xml:space="preserve">ustice </w:t>
      </w:r>
      <w:r w:rsidR="00AF1D84" w:rsidRPr="00EC02CA">
        <w:t>s</w:t>
      </w:r>
      <w:r w:rsidRPr="00EC02CA">
        <w:t xml:space="preserve">ystem, and young people included in the total do not have a consistent amount of time to reoffend. Young people who reoffended at the beginning of the reporting period will have more time to commence a new Youth Justice task than young people whose initial offence was at the end of the period. </w:t>
      </w:r>
    </w:p>
    <w:p w14:paraId="5CBDB02E" w14:textId="2C3F0784" w:rsidR="00695636" w:rsidRPr="00EC02CA" w:rsidRDefault="00695636" w:rsidP="00A920EC">
      <w:r w:rsidRPr="00EC02CA">
        <w:rPr>
          <w:b/>
          <w:bCs/>
        </w:rPr>
        <w:t xml:space="preserve">Table </w:t>
      </w:r>
      <w:r w:rsidR="003D1AF8" w:rsidRPr="00EC02CA">
        <w:rPr>
          <w:b/>
          <w:bCs/>
        </w:rPr>
        <w:t>2.9</w:t>
      </w:r>
      <w:r w:rsidRPr="00EC02CA">
        <w:t xml:space="preserve"> Young people </w:t>
      </w:r>
      <w:r w:rsidR="007E3927" w:rsidRPr="00EC02CA">
        <w:t xml:space="preserve">with recorded sexual offences </w:t>
      </w:r>
      <w:r w:rsidRPr="00EC02CA">
        <w:t>involved with Youth Justice for tasks</w:t>
      </w:r>
      <w:r w:rsidR="007E3927" w:rsidRPr="00EC02CA">
        <w:t xml:space="preserve">, </w:t>
      </w:r>
      <w:r w:rsidRPr="00EC02CA">
        <w:t>who had a subsequent task with Youth Justice</w:t>
      </w:r>
      <w:r w:rsidR="007E3927" w:rsidRPr="00EC02CA">
        <w:t>,</w:t>
      </w:r>
      <w:r w:rsidR="00A84C4D" w:rsidRPr="00EC02CA">
        <w:t xml:space="preserve"> between 2014–15 and 2023–24 </w:t>
      </w:r>
      <w:r w:rsidRPr="00EC02CA">
        <w:rPr>
          <w:rStyle w:val="FootnoteReference"/>
        </w:rPr>
        <w:footnoteReference w:id="242"/>
      </w: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263"/>
      </w:tblGrid>
      <w:tr w:rsidR="002E4CBC" w:rsidRPr="00EC02CA" w14:paraId="49CD38ED" w14:textId="77777777" w:rsidTr="00A920EC">
        <w:trPr>
          <w:trHeight w:val="435"/>
        </w:trPr>
        <w:tc>
          <w:tcPr>
            <w:tcW w:w="2977" w:type="dxa"/>
            <w:noWrap/>
            <w:hideMark/>
          </w:tcPr>
          <w:p w14:paraId="0C1360E1" w14:textId="77777777" w:rsidR="002E4CBC" w:rsidRPr="00EC02CA" w:rsidRDefault="002E4CBC" w:rsidP="00A920EC">
            <w:pPr>
              <w:spacing w:before="60" w:after="60"/>
              <w:jc w:val="left"/>
              <w:rPr>
                <w:b/>
                <w:bCs/>
                <w:sz w:val="20"/>
                <w:szCs w:val="20"/>
                <w:lang w:eastAsia="en-AU"/>
              </w:rPr>
            </w:pPr>
            <w:r w:rsidRPr="00EC02CA">
              <w:rPr>
                <w:b/>
                <w:bCs/>
                <w:sz w:val="20"/>
                <w:szCs w:val="20"/>
                <w:lang w:eastAsia="en-AU"/>
              </w:rPr>
              <w:t>Repeat task status</w:t>
            </w:r>
          </w:p>
        </w:tc>
        <w:tc>
          <w:tcPr>
            <w:tcW w:w="2263" w:type="dxa"/>
            <w:hideMark/>
          </w:tcPr>
          <w:p w14:paraId="5E7857CD" w14:textId="226F359F" w:rsidR="002E4CBC" w:rsidRPr="00EC02CA" w:rsidRDefault="002E4CBC" w:rsidP="00A920EC">
            <w:pPr>
              <w:spacing w:before="60" w:after="60"/>
              <w:jc w:val="center"/>
              <w:rPr>
                <w:b/>
                <w:bCs/>
                <w:sz w:val="20"/>
                <w:szCs w:val="20"/>
                <w:lang w:eastAsia="en-AU"/>
              </w:rPr>
            </w:pPr>
            <w:r w:rsidRPr="00EC02CA">
              <w:rPr>
                <w:b/>
                <w:bCs/>
                <w:sz w:val="20"/>
                <w:szCs w:val="20"/>
                <w:lang w:eastAsia="en-AU"/>
              </w:rPr>
              <w:t xml:space="preserve">Distinct </w:t>
            </w:r>
            <w:r w:rsidR="000173A5" w:rsidRPr="00EC02CA">
              <w:rPr>
                <w:b/>
                <w:bCs/>
                <w:sz w:val="20"/>
                <w:szCs w:val="20"/>
                <w:lang w:eastAsia="en-AU"/>
              </w:rPr>
              <w:t>n</w:t>
            </w:r>
            <w:r w:rsidRPr="00EC02CA">
              <w:rPr>
                <w:b/>
                <w:bCs/>
                <w:sz w:val="20"/>
                <w:szCs w:val="20"/>
                <w:lang w:eastAsia="en-AU"/>
              </w:rPr>
              <w:t xml:space="preserve">umber of </w:t>
            </w:r>
            <w:r w:rsidR="000173A5" w:rsidRPr="00EC02CA">
              <w:rPr>
                <w:b/>
                <w:bCs/>
                <w:sz w:val="20"/>
                <w:szCs w:val="20"/>
                <w:lang w:eastAsia="en-AU"/>
              </w:rPr>
              <w:t>y</w:t>
            </w:r>
            <w:r w:rsidRPr="00EC02CA">
              <w:rPr>
                <w:b/>
                <w:bCs/>
                <w:sz w:val="20"/>
                <w:szCs w:val="20"/>
                <w:lang w:eastAsia="en-AU"/>
              </w:rPr>
              <w:t xml:space="preserve">oung </w:t>
            </w:r>
            <w:r w:rsidR="000173A5" w:rsidRPr="00EC02CA">
              <w:rPr>
                <w:b/>
                <w:bCs/>
                <w:sz w:val="20"/>
                <w:szCs w:val="20"/>
                <w:lang w:eastAsia="en-AU"/>
              </w:rPr>
              <w:t>p</w:t>
            </w:r>
            <w:r w:rsidRPr="00EC02CA">
              <w:rPr>
                <w:b/>
                <w:bCs/>
                <w:sz w:val="20"/>
                <w:szCs w:val="20"/>
                <w:lang w:eastAsia="en-AU"/>
              </w:rPr>
              <w:t>eople</w:t>
            </w:r>
          </w:p>
        </w:tc>
      </w:tr>
      <w:tr w:rsidR="002E4CBC" w:rsidRPr="00EC02CA" w14:paraId="65CDCCFF" w14:textId="77777777" w:rsidTr="00A920EC">
        <w:trPr>
          <w:trHeight w:val="285"/>
        </w:trPr>
        <w:tc>
          <w:tcPr>
            <w:tcW w:w="2977" w:type="dxa"/>
            <w:noWrap/>
            <w:hideMark/>
          </w:tcPr>
          <w:p w14:paraId="4373E334" w14:textId="77777777" w:rsidR="002E4CBC" w:rsidRPr="00EC02CA" w:rsidRDefault="002E4CBC" w:rsidP="00A920EC">
            <w:pPr>
              <w:spacing w:before="60" w:after="60"/>
              <w:rPr>
                <w:sz w:val="20"/>
                <w:szCs w:val="20"/>
                <w:lang w:eastAsia="en-AU"/>
              </w:rPr>
            </w:pPr>
            <w:r w:rsidRPr="00EC02CA">
              <w:rPr>
                <w:sz w:val="20"/>
                <w:szCs w:val="20"/>
                <w:lang w:eastAsia="en-AU"/>
              </w:rPr>
              <w:t>Subsequent Youth Justice task</w:t>
            </w:r>
          </w:p>
        </w:tc>
        <w:tc>
          <w:tcPr>
            <w:tcW w:w="2263" w:type="dxa"/>
            <w:noWrap/>
            <w:hideMark/>
          </w:tcPr>
          <w:p w14:paraId="4FE02A91" w14:textId="77777777" w:rsidR="002E4CBC" w:rsidRPr="00EC02CA" w:rsidRDefault="002E4CBC" w:rsidP="00A920EC">
            <w:pPr>
              <w:spacing w:before="60" w:after="60"/>
              <w:jc w:val="right"/>
              <w:rPr>
                <w:sz w:val="20"/>
                <w:szCs w:val="20"/>
                <w:lang w:eastAsia="en-AU"/>
              </w:rPr>
            </w:pPr>
            <w:r w:rsidRPr="00EC02CA">
              <w:rPr>
                <w:sz w:val="20"/>
                <w:szCs w:val="20"/>
                <w:lang w:eastAsia="en-AU"/>
              </w:rPr>
              <w:t>18</w:t>
            </w:r>
          </w:p>
        </w:tc>
      </w:tr>
      <w:tr w:rsidR="002E4CBC" w:rsidRPr="00EC02CA" w14:paraId="3764B49A" w14:textId="77777777" w:rsidTr="00A920EC">
        <w:trPr>
          <w:trHeight w:val="285"/>
        </w:trPr>
        <w:tc>
          <w:tcPr>
            <w:tcW w:w="2977" w:type="dxa"/>
            <w:noWrap/>
            <w:hideMark/>
          </w:tcPr>
          <w:p w14:paraId="275EE667" w14:textId="77777777" w:rsidR="002E4CBC" w:rsidRPr="00EC02CA" w:rsidRDefault="002E4CBC" w:rsidP="00A920EC">
            <w:pPr>
              <w:spacing w:before="60" w:after="60"/>
              <w:rPr>
                <w:sz w:val="20"/>
                <w:szCs w:val="20"/>
                <w:lang w:eastAsia="en-AU"/>
              </w:rPr>
            </w:pPr>
            <w:r w:rsidRPr="00EC02CA">
              <w:rPr>
                <w:sz w:val="20"/>
                <w:szCs w:val="20"/>
                <w:lang w:eastAsia="en-AU"/>
              </w:rPr>
              <w:t>No return to Youth Justice</w:t>
            </w:r>
          </w:p>
        </w:tc>
        <w:tc>
          <w:tcPr>
            <w:tcW w:w="2263" w:type="dxa"/>
            <w:noWrap/>
            <w:hideMark/>
          </w:tcPr>
          <w:p w14:paraId="7EB9C26C" w14:textId="77777777" w:rsidR="002E4CBC" w:rsidRPr="00EC02CA" w:rsidRDefault="002E4CBC" w:rsidP="00A920EC">
            <w:pPr>
              <w:spacing w:before="60" w:after="60"/>
              <w:jc w:val="right"/>
              <w:rPr>
                <w:sz w:val="20"/>
                <w:szCs w:val="20"/>
                <w:lang w:eastAsia="en-AU"/>
              </w:rPr>
            </w:pPr>
            <w:r w:rsidRPr="00EC02CA">
              <w:rPr>
                <w:sz w:val="20"/>
                <w:szCs w:val="20"/>
                <w:lang w:eastAsia="en-AU"/>
              </w:rPr>
              <w:t>48</w:t>
            </w:r>
          </w:p>
        </w:tc>
      </w:tr>
      <w:tr w:rsidR="002E4CBC" w:rsidRPr="00EC02CA" w14:paraId="1B4C0D31" w14:textId="77777777" w:rsidTr="00A920EC">
        <w:trPr>
          <w:trHeight w:val="285"/>
        </w:trPr>
        <w:tc>
          <w:tcPr>
            <w:tcW w:w="2977" w:type="dxa"/>
            <w:noWrap/>
            <w:hideMark/>
          </w:tcPr>
          <w:p w14:paraId="6E80E785" w14:textId="1F68DD98" w:rsidR="002E4CBC" w:rsidRPr="00EC02CA" w:rsidRDefault="002E4CBC" w:rsidP="00A920EC">
            <w:pPr>
              <w:spacing w:before="60" w:after="60"/>
              <w:rPr>
                <w:sz w:val="20"/>
                <w:szCs w:val="20"/>
                <w:lang w:eastAsia="en-AU"/>
              </w:rPr>
            </w:pPr>
            <w:r w:rsidRPr="00EC02CA">
              <w:rPr>
                <w:sz w:val="20"/>
                <w:szCs w:val="20"/>
                <w:lang w:eastAsia="en-AU"/>
              </w:rPr>
              <w:t>Total</w:t>
            </w:r>
          </w:p>
        </w:tc>
        <w:tc>
          <w:tcPr>
            <w:tcW w:w="2263" w:type="dxa"/>
            <w:noWrap/>
            <w:hideMark/>
          </w:tcPr>
          <w:p w14:paraId="623EB900" w14:textId="77777777" w:rsidR="002E4CBC" w:rsidRPr="00EC02CA" w:rsidRDefault="002E4CBC" w:rsidP="00A920EC">
            <w:pPr>
              <w:spacing w:before="60" w:after="60"/>
              <w:jc w:val="right"/>
              <w:rPr>
                <w:sz w:val="20"/>
                <w:szCs w:val="20"/>
                <w:lang w:eastAsia="en-AU"/>
              </w:rPr>
            </w:pPr>
            <w:r w:rsidRPr="00EC02CA">
              <w:rPr>
                <w:sz w:val="20"/>
                <w:szCs w:val="20"/>
                <w:lang w:eastAsia="en-AU"/>
              </w:rPr>
              <w:t>66</w:t>
            </w:r>
          </w:p>
        </w:tc>
      </w:tr>
    </w:tbl>
    <w:p w14:paraId="62693529" w14:textId="2CA017AA" w:rsidR="007332A2" w:rsidRPr="00EC02CA" w:rsidRDefault="00695636" w:rsidP="00A920EC">
      <w:pPr>
        <w:spacing w:before="120" w:after="120"/>
        <w:rPr>
          <w:i/>
          <w:iCs/>
        </w:rPr>
      </w:pPr>
      <w:r w:rsidRPr="00EC02CA">
        <w:rPr>
          <w:i/>
          <w:iCs/>
        </w:rPr>
        <w:t>Source: Unpublished data</w:t>
      </w:r>
      <w:r w:rsidR="00AF1D84" w:rsidRPr="00EC02CA">
        <w:rPr>
          <w:i/>
          <w:iCs/>
        </w:rPr>
        <w:t xml:space="preserve">, </w:t>
      </w:r>
      <w:r w:rsidRPr="00EC02CA">
        <w:rPr>
          <w:i/>
          <w:iCs/>
        </w:rPr>
        <w:t>DECYP</w:t>
      </w:r>
    </w:p>
    <w:p w14:paraId="4406355E" w14:textId="1B8B8193" w:rsidR="00977C06" w:rsidRPr="00EC02CA" w:rsidRDefault="00977C06" w:rsidP="00A920EC">
      <w:pPr>
        <w:spacing w:after="200" w:line="276" w:lineRule="auto"/>
        <w:jc w:val="left"/>
        <w:sectPr w:rsidR="00977C06" w:rsidRPr="00EC02CA" w:rsidSect="00147507">
          <w:headerReference w:type="even" r:id="rId28"/>
          <w:headerReference w:type="default" r:id="rId29"/>
          <w:pgSz w:w="11906" w:h="16838"/>
          <w:pgMar w:top="1440" w:right="1440" w:bottom="1440" w:left="1440" w:header="708" w:footer="708" w:gutter="0"/>
          <w:cols w:space="708"/>
          <w:docGrid w:linePitch="360"/>
        </w:sectPr>
      </w:pPr>
    </w:p>
    <w:p w14:paraId="7DC20720" w14:textId="043DF5F5" w:rsidR="00940B47" w:rsidRPr="00EC02CA" w:rsidRDefault="00420F03" w:rsidP="00A920EC">
      <w:pPr>
        <w:pStyle w:val="PartNoTLRI"/>
        <w:spacing w:after="640"/>
        <w:ind w:left="0" w:firstLine="0"/>
      </w:pPr>
      <w:bookmarkStart w:id="138" w:name="_Toc161577822"/>
      <w:bookmarkStart w:id="139" w:name="_Toc161586523"/>
      <w:bookmarkStart w:id="140" w:name="_Toc161586941"/>
      <w:bookmarkStart w:id="141" w:name="_Toc211849376"/>
      <w:bookmarkEnd w:id="138"/>
      <w:bookmarkEnd w:id="139"/>
      <w:bookmarkEnd w:id="140"/>
      <w:bookmarkEnd w:id="141"/>
      <w:r w:rsidRPr="00EC02CA">
        <w:br/>
      </w:r>
      <w:r w:rsidRPr="00EC02CA">
        <w:br/>
      </w:r>
      <w:bookmarkStart w:id="142" w:name="_Toc218154141"/>
      <w:bookmarkStart w:id="143" w:name="_Toc218154395"/>
      <w:bookmarkStart w:id="144" w:name="_Toc218154895"/>
      <w:bookmarkStart w:id="145" w:name="_Toc218156455"/>
      <w:bookmarkStart w:id="146" w:name="_Toc218157060"/>
      <w:bookmarkStart w:id="147" w:name="_Toc218157272"/>
      <w:bookmarkStart w:id="148" w:name="_Toc211849377"/>
      <w:bookmarkStart w:id="149" w:name="_Toc218157273"/>
      <w:bookmarkEnd w:id="142"/>
      <w:bookmarkEnd w:id="143"/>
      <w:bookmarkEnd w:id="144"/>
      <w:bookmarkEnd w:id="145"/>
      <w:bookmarkEnd w:id="146"/>
      <w:bookmarkEnd w:id="147"/>
      <w:r w:rsidR="00940B47" w:rsidRPr="00EC02CA">
        <w:rPr>
          <w:sz w:val="52"/>
          <w:szCs w:val="52"/>
        </w:rPr>
        <w:t xml:space="preserve">A </w:t>
      </w:r>
      <w:r w:rsidR="00984EFA" w:rsidRPr="00EC02CA">
        <w:rPr>
          <w:sz w:val="52"/>
          <w:szCs w:val="52"/>
        </w:rPr>
        <w:t xml:space="preserve">public health </w:t>
      </w:r>
      <w:r w:rsidR="00940B47" w:rsidRPr="00EC02CA">
        <w:rPr>
          <w:sz w:val="52"/>
          <w:szCs w:val="52"/>
        </w:rPr>
        <w:t xml:space="preserve">framework for responding to sexual offending </w:t>
      </w:r>
      <w:r w:rsidR="008C163C" w:rsidRPr="00EC02CA">
        <w:rPr>
          <w:sz w:val="52"/>
          <w:szCs w:val="52"/>
        </w:rPr>
        <w:t xml:space="preserve">and </w:t>
      </w:r>
      <w:r w:rsidR="00614BCB" w:rsidRPr="00EC02CA">
        <w:rPr>
          <w:sz w:val="52"/>
          <w:szCs w:val="52"/>
        </w:rPr>
        <w:t>harmful sexual behaviour</w:t>
      </w:r>
      <w:bookmarkEnd w:id="148"/>
      <w:r w:rsidR="008C163C" w:rsidRPr="00EC02CA">
        <w:rPr>
          <w:sz w:val="52"/>
          <w:szCs w:val="52"/>
        </w:rPr>
        <w:t xml:space="preserve"> by young people</w:t>
      </w:r>
      <w:bookmarkEnd w:id="149"/>
    </w:p>
    <w:p w14:paraId="17984692" w14:textId="41D06765" w:rsidR="00940B47" w:rsidRPr="00EC02CA" w:rsidRDefault="00940B47" w:rsidP="00940B47">
      <w:pPr>
        <w:pStyle w:val="NumberedHeadingTLRI"/>
      </w:pPr>
      <w:bookmarkStart w:id="150" w:name="_Toc211849378"/>
      <w:bookmarkStart w:id="151" w:name="_Toc218157274"/>
      <w:r w:rsidRPr="00EC02CA">
        <w:t>Introduction</w:t>
      </w:r>
      <w:bookmarkEnd w:id="150"/>
      <w:bookmarkEnd w:id="151"/>
      <w:r w:rsidRPr="00EC02CA">
        <w:t xml:space="preserve"> </w:t>
      </w:r>
    </w:p>
    <w:p w14:paraId="69B898CA" w14:textId="1D816E71" w:rsidR="00694DF8" w:rsidRPr="00EC02CA" w:rsidRDefault="00554A6A" w:rsidP="002F0007">
      <w:pPr>
        <w:pStyle w:val="NormalNumberedTextTLRI"/>
      </w:pPr>
      <w:r w:rsidRPr="00EC02CA">
        <w:t xml:space="preserve">In </w:t>
      </w:r>
      <w:r w:rsidR="005D70B9" w:rsidRPr="00EC02CA">
        <w:t>Part 2</w:t>
      </w:r>
      <w:r w:rsidRPr="00EC02CA">
        <w:t xml:space="preserve">, the nature of harmful sexual behaviour was </w:t>
      </w:r>
      <w:r w:rsidR="00FC0AA8" w:rsidRPr="00EC02CA">
        <w:t>discussed,</w:t>
      </w:r>
      <w:r w:rsidR="00EB39D9" w:rsidRPr="00EC02CA">
        <w:t xml:space="preserve"> and it was noted that</w:t>
      </w:r>
      <w:r w:rsidR="00FC0AA8" w:rsidRPr="00EC02CA">
        <w:t xml:space="preserve"> </w:t>
      </w:r>
      <w:r w:rsidR="00EB39D9" w:rsidRPr="00EC02CA">
        <w:t xml:space="preserve">sexual offending </w:t>
      </w:r>
      <w:r w:rsidR="00FC0AA8" w:rsidRPr="00EC02CA">
        <w:t>describes</w:t>
      </w:r>
      <w:r w:rsidR="00717861" w:rsidRPr="00EC02CA">
        <w:t xml:space="preserve"> </w:t>
      </w:r>
      <w:r w:rsidR="00046E39" w:rsidRPr="00EC02CA">
        <w:t>only part of the continuum of behaviour that amounts to</w:t>
      </w:r>
      <w:r w:rsidR="00EB39D9" w:rsidRPr="00EC02CA">
        <w:t xml:space="preserve"> harmful sexual behaviour</w:t>
      </w:r>
      <w:r w:rsidR="00046E39" w:rsidRPr="00EC02CA">
        <w:t xml:space="preserve">. For this reason, it is essential to position </w:t>
      </w:r>
      <w:r w:rsidR="00C578FB" w:rsidRPr="00EC02CA">
        <w:t xml:space="preserve">and </w:t>
      </w:r>
      <w:r w:rsidR="00984EFA" w:rsidRPr="00EC02CA">
        <w:t>understand</w:t>
      </w:r>
      <w:r w:rsidR="00C578FB" w:rsidRPr="00EC02CA">
        <w:t xml:space="preserve"> sexual offending</w:t>
      </w:r>
      <w:r w:rsidR="00F46611" w:rsidRPr="00EC02CA">
        <w:t xml:space="preserve"> by young people</w:t>
      </w:r>
      <w:r w:rsidR="00984EFA" w:rsidRPr="00EC02CA">
        <w:t>, a</w:t>
      </w:r>
      <w:r w:rsidR="00C578FB" w:rsidRPr="00EC02CA">
        <w:t xml:space="preserve">nd the </w:t>
      </w:r>
      <w:r w:rsidR="00E67803" w:rsidRPr="00EC02CA">
        <w:t xml:space="preserve">youth </w:t>
      </w:r>
      <w:r w:rsidR="00C578FB" w:rsidRPr="00EC02CA">
        <w:t xml:space="preserve">justice system’s response to it, within a broader </w:t>
      </w:r>
      <w:r w:rsidR="00984EFA" w:rsidRPr="00EC02CA">
        <w:t xml:space="preserve">public health </w:t>
      </w:r>
      <w:r w:rsidR="00D14F72" w:rsidRPr="00EC02CA">
        <w:t>framework</w:t>
      </w:r>
      <w:r w:rsidR="00F46611" w:rsidRPr="00EC02CA">
        <w:t xml:space="preserve">. </w:t>
      </w:r>
      <w:r w:rsidR="00D14F72" w:rsidRPr="00EC02CA">
        <w:t xml:space="preserve">A </w:t>
      </w:r>
      <w:r w:rsidR="00940B47" w:rsidRPr="00EC02CA">
        <w:t>public health framework has been identified by the Royal Commission</w:t>
      </w:r>
      <w:r w:rsidR="002F52FF" w:rsidRPr="00EC02CA">
        <w:t>,</w:t>
      </w:r>
      <w:r w:rsidR="00940B47" w:rsidRPr="00EC02CA">
        <w:t xml:space="preserve"> </w:t>
      </w:r>
      <w:r w:rsidR="00F7199B" w:rsidRPr="00EC02CA">
        <w:t xml:space="preserve">the National </w:t>
      </w:r>
      <w:r w:rsidR="000A7F64" w:rsidRPr="00EC02CA">
        <w:t xml:space="preserve">Strategy to Prevent and Respond to Child Sexual Abuse, and </w:t>
      </w:r>
      <w:r w:rsidR="00940B47" w:rsidRPr="00EC02CA">
        <w:t>elsewhere</w:t>
      </w:r>
      <w:r w:rsidR="002F52FF" w:rsidRPr="00EC02CA">
        <w:t>,</w:t>
      </w:r>
      <w:r w:rsidR="00940B47" w:rsidRPr="00EC02CA">
        <w:t xml:space="preserve"> as the appropriate response model.</w:t>
      </w:r>
      <w:r w:rsidR="00940B47" w:rsidRPr="00EC02CA">
        <w:rPr>
          <w:rStyle w:val="FootnoteReference"/>
          <w:iCs/>
        </w:rPr>
        <w:footnoteReference w:id="243"/>
      </w:r>
      <w:r w:rsidR="00F46611" w:rsidRPr="00EC02CA">
        <w:t xml:space="preserve"> Consequently, Part 3 outlines this overarching framework for responding to sexual </w:t>
      </w:r>
      <w:r w:rsidR="002F52FF" w:rsidRPr="00EC02CA">
        <w:t xml:space="preserve">offending </w:t>
      </w:r>
      <w:r w:rsidR="00F46611" w:rsidRPr="00EC02CA">
        <w:t xml:space="preserve">and harmful sexual behaviour by young people. </w:t>
      </w:r>
      <w:r w:rsidR="005C432A" w:rsidRPr="00EC02CA">
        <w:t>Pa</w:t>
      </w:r>
      <w:r w:rsidR="009C1618" w:rsidRPr="00EC02CA">
        <w:t>r</w:t>
      </w:r>
      <w:r w:rsidR="005C432A" w:rsidRPr="00EC02CA">
        <w:t xml:space="preserve">ts 4 to 8 </w:t>
      </w:r>
      <w:r w:rsidR="002F52FF" w:rsidRPr="00EC02CA">
        <w:t>then</w:t>
      </w:r>
      <w:r w:rsidR="007E0EC7" w:rsidRPr="00EC02CA">
        <w:t xml:space="preserve"> </w:t>
      </w:r>
      <w:r w:rsidR="005C432A" w:rsidRPr="00EC02CA">
        <w:t xml:space="preserve">consider the role and response of the </w:t>
      </w:r>
      <w:r w:rsidR="00E67803" w:rsidRPr="00EC02CA">
        <w:t xml:space="preserve">youth </w:t>
      </w:r>
      <w:r w:rsidR="005C432A" w:rsidRPr="00EC02CA">
        <w:t>justice system</w:t>
      </w:r>
      <w:r w:rsidR="00A67B20" w:rsidRPr="00EC02CA">
        <w:t xml:space="preserve">, which is a </w:t>
      </w:r>
      <w:r w:rsidR="00940B47" w:rsidRPr="00EC02CA">
        <w:t>key component</w:t>
      </w:r>
      <w:r w:rsidR="00A67B20" w:rsidRPr="00EC02CA">
        <w:t xml:space="preserve"> of </w:t>
      </w:r>
      <w:r w:rsidR="00C06406" w:rsidRPr="00EC02CA">
        <w:t>a government response</w:t>
      </w:r>
      <w:r w:rsidR="008801A3" w:rsidRPr="00EC02CA">
        <w:t xml:space="preserve">. However, it is important to </w:t>
      </w:r>
      <w:r w:rsidR="004C594D" w:rsidRPr="00EC02CA">
        <w:t xml:space="preserve">recognise that criminal justice </w:t>
      </w:r>
      <w:r w:rsidR="00940B47" w:rsidRPr="00EC02CA">
        <w:t>is only one part of a continuum of responses that also includes education</w:t>
      </w:r>
      <w:r w:rsidR="002F52FF" w:rsidRPr="00EC02CA">
        <w:t>al</w:t>
      </w:r>
      <w:r w:rsidR="00940B47" w:rsidRPr="00EC02CA">
        <w:t xml:space="preserve"> responses, therapeutic interventions and/or child protection responses</w:t>
      </w:r>
      <w:r w:rsidR="003B18CE" w:rsidRPr="00EC02CA">
        <w:t>, as outlined in this Part.</w:t>
      </w:r>
    </w:p>
    <w:p w14:paraId="1930CF79" w14:textId="22FAD0A9" w:rsidR="00940B47" w:rsidRPr="00EC02CA" w:rsidRDefault="00940B47" w:rsidP="00940B47">
      <w:pPr>
        <w:pStyle w:val="NumberedHeadingTLRI"/>
      </w:pPr>
      <w:bookmarkStart w:id="152" w:name="_Toc211849379"/>
      <w:bookmarkStart w:id="153" w:name="_Toc218157275"/>
      <w:r w:rsidRPr="00EC02CA">
        <w:t>A public health framework: Interventions for young people who commit sexual offences</w:t>
      </w:r>
      <w:bookmarkEnd w:id="152"/>
      <w:bookmarkEnd w:id="153"/>
    </w:p>
    <w:p w14:paraId="3554CBD2" w14:textId="15F6C2C2" w:rsidR="00657041" w:rsidRPr="00EC02CA" w:rsidRDefault="00940B47" w:rsidP="00A920EC">
      <w:pPr>
        <w:pStyle w:val="NormalNumberedTextTLRI"/>
      </w:pPr>
      <w:r w:rsidRPr="00EC02CA">
        <w:t>As set out in the</w:t>
      </w:r>
      <w:r w:rsidR="002F52FF" w:rsidRPr="00EC02CA">
        <w:t xml:space="preserve"> report of the</w:t>
      </w:r>
      <w:r w:rsidRPr="00EC02CA">
        <w:t xml:space="preserve"> Royal Commission, a public health approach tailored to </w:t>
      </w:r>
      <w:r w:rsidR="00657041" w:rsidRPr="00EC02CA">
        <w:t xml:space="preserve">young people </w:t>
      </w:r>
      <w:r w:rsidR="002F52FF" w:rsidRPr="00EC02CA">
        <w:t xml:space="preserve">who engage in </w:t>
      </w:r>
      <w:r w:rsidRPr="00EC02CA">
        <w:t>harmful sexual behaviour contains three levels of interventions</w:t>
      </w:r>
      <w:r w:rsidR="002F52FF" w:rsidRPr="00EC02CA">
        <w:t xml:space="preserve"> – p</w:t>
      </w:r>
      <w:r w:rsidRPr="00EC02CA">
        <w:t>rimary</w:t>
      </w:r>
      <w:r w:rsidR="002F52FF" w:rsidRPr="00EC02CA">
        <w:t xml:space="preserve">, </w:t>
      </w:r>
      <w:r w:rsidRPr="00EC02CA">
        <w:t>secondary and</w:t>
      </w:r>
      <w:r w:rsidR="002F52FF" w:rsidRPr="00EC02CA">
        <w:t xml:space="preserve"> </w:t>
      </w:r>
      <w:r w:rsidRPr="00EC02CA">
        <w:t>tertiary</w:t>
      </w:r>
      <w:r w:rsidR="00D86620" w:rsidRPr="00EC02CA">
        <w:t>.</w:t>
      </w:r>
    </w:p>
    <w:p w14:paraId="009412A1" w14:textId="51D99754" w:rsidR="00940B47" w:rsidRPr="00EC02CA" w:rsidRDefault="00940B47" w:rsidP="00A920EC">
      <w:pPr>
        <w:pStyle w:val="NormalNumberedTextTLRI"/>
      </w:pPr>
      <w:r w:rsidRPr="00EC02CA">
        <w:t>Research suggests that a tiered response is effective in addressing harmful sexual behaviour through early identification and intervention. This was supported by the Commission of Inquiry</w:t>
      </w:r>
      <w:bookmarkStart w:id="154" w:name="_Ref217998775"/>
      <w:r w:rsidRPr="00EC02CA">
        <w:rPr>
          <w:rStyle w:val="FootnoteReference"/>
        </w:rPr>
        <w:footnoteReference w:id="244"/>
      </w:r>
      <w:bookmarkEnd w:id="154"/>
      <w:r w:rsidRPr="00EC02CA">
        <w:t xml:space="preserve"> and also reflects the strategic direction of the Tasmanian </w:t>
      </w:r>
      <w:r w:rsidR="002F52FF" w:rsidRPr="00EC02CA">
        <w:t>G</w:t>
      </w:r>
      <w:r w:rsidRPr="00EC02CA">
        <w:t>overnment in its approach to the broader youth justice system</w:t>
      </w:r>
      <w:r w:rsidR="00D86620" w:rsidRPr="00EC02CA">
        <w:t xml:space="preserve">. This </w:t>
      </w:r>
      <w:r w:rsidR="002F52FF" w:rsidRPr="00EC02CA">
        <w:t xml:space="preserve">approach </w:t>
      </w:r>
      <w:r w:rsidR="00D86620" w:rsidRPr="00EC02CA">
        <w:t>w</w:t>
      </w:r>
      <w:r w:rsidRPr="00EC02CA">
        <w:t xml:space="preserve">as set out in the </w:t>
      </w:r>
      <w:r w:rsidRPr="00EC02CA">
        <w:rPr>
          <w:i/>
          <w:iCs/>
        </w:rPr>
        <w:t>Youth Justice Blueprint 2024</w:t>
      </w:r>
      <w:r w:rsidR="002F52FF" w:rsidRPr="00EC02CA">
        <w:rPr>
          <w:i/>
          <w:iCs/>
        </w:rPr>
        <w:t>–</w:t>
      </w:r>
      <w:r w:rsidRPr="00EC02CA">
        <w:rPr>
          <w:i/>
          <w:iCs/>
        </w:rPr>
        <w:t>34</w:t>
      </w:r>
      <w:r w:rsidRPr="00EC02CA">
        <w:t>, which adopt</w:t>
      </w:r>
      <w:r w:rsidR="002F52FF" w:rsidRPr="00EC02CA">
        <w:t>s</w:t>
      </w:r>
      <w:r w:rsidRPr="00EC02CA">
        <w:t xml:space="preserve"> a tiered public health approach to ‘prevention, early intervention, and diversion, through to services for repeat and high-risk offenders, changing the pathways for children and young people at risk of, or who are engaged in, offending behaviour’.</w:t>
      </w:r>
      <w:r w:rsidRPr="00EC02CA">
        <w:rPr>
          <w:rStyle w:val="FootnoteReference"/>
        </w:rPr>
        <w:footnoteReference w:id="245"/>
      </w:r>
      <w:r w:rsidR="00AE6EC2" w:rsidRPr="00EC02CA">
        <w:t xml:space="preserve"> It also reflects the National Strategy</w:t>
      </w:r>
      <w:r w:rsidR="00AD5631" w:rsidRPr="00EC02CA">
        <w:t xml:space="preserve">, which </w:t>
      </w:r>
      <w:r w:rsidR="00C75305" w:rsidRPr="00EC02CA">
        <w:t>inc</w:t>
      </w:r>
      <w:r w:rsidR="00491271" w:rsidRPr="00EC02CA">
        <w:t>orporates</w:t>
      </w:r>
      <w:r w:rsidR="00C75305" w:rsidRPr="00EC02CA">
        <w:t xml:space="preserve"> </w:t>
      </w:r>
      <w:r w:rsidR="00491271" w:rsidRPr="00EC02CA">
        <w:t xml:space="preserve">the development of a </w:t>
      </w:r>
      <w:r w:rsidR="00F62D14" w:rsidRPr="00EC02CA">
        <w:t>framework</w:t>
      </w:r>
      <w:r w:rsidR="00491271" w:rsidRPr="00EC02CA">
        <w:t xml:space="preserve"> to </w:t>
      </w:r>
      <w:r w:rsidR="00F62D14" w:rsidRPr="00EC02CA">
        <w:t>prevent</w:t>
      </w:r>
      <w:r w:rsidR="002F52FF" w:rsidRPr="00EC02CA">
        <w:t>,</w:t>
      </w:r>
      <w:r w:rsidR="00491271" w:rsidRPr="00EC02CA">
        <w:t xml:space="preserve"> and respond </w:t>
      </w:r>
      <w:r w:rsidR="00F62D14" w:rsidRPr="00EC02CA">
        <w:t>to</w:t>
      </w:r>
      <w:r w:rsidR="00C75305" w:rsidRPr="00EC02CA">
        <w:t xml:space="preserve"> </w:t>
      </w:r>
      <w:r w:rsidR="00F62D14" w:rsidRPr="00EC02CA">
        <w:t xml:space="preserve">children </w:t>
      </w:r>
      <w:r w:rsidR="002F52FF" w:rsidRPr="00EC02CA">
        <w:t xml:space="preserve">who engage in, </w:t>
      </w:r>
      <w:r w:rsidR="00F62D14" w:rsidRPr="00EC02CA">
        <w:t>harmful sexual behaviour</w:t>
      </w:r>
      <w:r w:rsidR="002F52FF" w:rsidRPr="00EC02CA">
        <w:t>,</w:t>
      </w:r>
      <w:r w:rsidR="00F62D14" w:rsidRPr="00EC02CA">
        <w:t xml:space="preserve"> based on </w:t>
      </w:r>
      <w:r w:rsidR="002F52FF" w:rsidRPr="00EC02CA">
        <w:t xml:space="preserve">a </w:t>
      </w:r>
      <w:r w:rsidR="00F62D14" w:rsidRPr="00EC02CA">
        <w:t>public health model</w:t>
      </w:r>
      <w:r w:rsidR="00D86620" w:rsidRPr="00EC02CA">
        <w:t>.</w:t>
      </w:r>
      <w:r w:rsidR="00F62D14" w:rsidRPr="00EC02CA">
        <w:rPr>
          <w:rStyle w:val="FootnoteReference"/>
        </w:rPr>
        <w:footnoteReference w:id="246"/>
      </w:r>
    </w:p>
    <w:p w14:paraId="00ED955E" w14:textId="56E0AA51" w:rsidR="00940B47" w:rsidRPr="00EC02CA" w:rsidRDefault="00940B47" w:rsidP="00A920EC">
      <w:r w:rsidRPr="00EC02CA">
        <w:rPr>
          <w:b/>
          <w:bCs/>
        </w:rPr>
        <w:t xml:space="preserve">Table </w:t>
      </w:r>
      <w:r w:rsidR="0034412E" w:rsidRPr="00EC02CA">
        <w:rPr>
          <w:b/>
          <w:bCs/>
        </w:rPr>
        <w:t>3</w:t>
      </w:r>
      <w:r w:rsidRPr="00EC02CA">
        <w:rPr>
          <w:b/>
          <w:bCs/>
          <w:szCs w:val="20"/>
        </w:rPr>
        <w:t>.</w:t>
      </w:r>
      <w:r w:rsidR="0034412E" w:rsidRPr="00EC02CA">
        <w:rPr>
          <w:b/>
          <w:bCs/>
        </w:rPr>
        <w:t>1</w:t>
      </w:r>
      <w:r w:rsidRPr="00EC02CA">
        <w:t xml:space="preserve"> A </w:t>
      </w:r>
      <w:r w:rsidR="002F52FF" w:rsidRPr="00EC02CA">
        <w:t xml:space="preserve">tiered </w:t>
      </w:r>
      <w:r w:rsidRPr="00EC02CA">
        <w:t xml:space="preserve">public health approach </w:t>
      </w:r>
      <w:r w:rsidR="002F52FF" w:rsidRPr="00EC02CA">
        <w:t xml:space="preserve">of prevention and intervention, </w:t>
      </w:r>
      <w:r w:rsidRPr="00EC02CA">
        <w:t xml:space="preserve">tailored to children </w:t>
      </w:r>
      <w:r w:rsidR="002F52FF" w:rsidRPr="00EC02CA">
        <w:t xml:space="preserve">who engage in </w:t>
      </w:r>
      <w:r w:rsidRPr="00EC02CA">
        <w:t>harmful sexual behaviour</w:t>
      </w:r>
      <w:r w:rsidR="002F52FF" w:rsidRPr="00EC02CA">
        <w:t>,</w:t>
      </w:r>
      <w:r w:rsidRPr="00EC02CA">
        <w:t xml:space="preserve"> set out by the Royal Commission</w:t>
      </w:r>
      <w:r w:rsidRPr="00EC02CA">
        <w:rPr>
          <w:rStyle w:val="FootnoteReference"/>
          <w:b/>
          <w:bCs/>
          <w:szCs w:val="22"/>
        </w:rPr>
        <w:footnoteReference w:id="247"/>
      </w:r>
    </w:p>
    <w:tbl>
      <w:tblPr>
        <w:tblStyle w:val="TableGrid"/>
        <w:tblW w:w="0" w:type="auto"/>
        <w:tblInd w:w="-5" w:type="dxa"/>
        <w:tblLook w:val="04A0" w:firstRow="1" w:lastRow="0" w:firstColumn="1" w:lastColumn="0" w:noHBand="0" w:noVBand="1"/>
      </w:tblPr>
      <w:tblGrid>
        <w:gridCol w:w="2127"/>
        <w:gridCol w:w="6894"/>
      </w:tblGrid>
      <w:tr w:rsidR="00940B47" w:rsidRPr="00EC02CA" w14:paraId="4DDACBF0" w14:textId="77777777" w:rsidTr="00A920EC">
        <w:tc>
          <w:tcPr>
            <w:tcW w:w="2127" w:type="dxa"/>
          </w:tcPr>
          <w:p w14:paraId="3587DB91" w14:textId="77777777" w:rsidR="00940B47" w:rsidRPr="00EC02CA" w:rsidRDefault="00940B47" w:rsidP="00A920EC">
            <w:pPr>
              <w:spacing w:before="60" w:after="60"/>
              <w:jc w:val="left"/>
              <w:rPr>
                <w:b/>
                <w:bCs/>
                <w:sz w:val="20"/>
              </w:rPr>
            </w:pPr>
            <w:r w:rsidRPr="00EC02CA">
              <w:rPr>
                <w:b/>
                <w:bCs/>
                <w:sz w:val="20"/>
                <w:szCs w:val="20"/>
              </w:rPr>
              <w:t>Tier</w:t>
            </w:r>
          </w:p>
        </w:tc>
        <w:tc>
          <w:tcPr>
            <w:tcW w:w="6894" w:type="dxa"/>
          </w:tcPr>
          <w:p w14:paraId="37FF07CB" w14:textId="77777777" w:rsidR="00940B47" w:rsidRPr="00EC02CA" w:rsidRDefault="00940B47" w:rsidP="00A920EC">
            <w:pPr>
              <w:spacing w:before="60" w:after="60"/>
              <w:jc w:val="left"/>
              <w:rPr>
                <w:b/>
                <w:bCs/>
                <w:sz w:val="20"/>
              </w:rPr>
            </w:pPr>
            <w:r w:rsidRPr="00EC02CA">
              <w:rPr>
                <w:b/>
                <w:bCs/>
                <w:sz w:val="20"/>
                <w:szCs w:val="20"/>
              </w:rPr>
              <w:t>Details</w:t>
            </w:r>
          </w:p>
        </w:tc>
      </w:tr>
      <w:tr w:rsidR="00940B47" w:rsidRPr="00EC02CA" w14:paraId="758F11F5" w14:textId="77777777" w:rsidTr="00A920EC">
        <w:tc>
          <w:tcPr>
            <w:tcW w:w="2127" w:type="dxa"/>
          </w:tcPr>
          <w:p w14:paraId="5DCEA42E" w14:textId="77777777" w:rsidR="00940B47" w:rsidRPr="00EC02CA" w:rsidRDefault="00940B47" w:rsidP="00A920EC">
            <w:pPr>
              <w:spacing w:before="60" w:after="60"/>
              <w:jc w:val="left"/>
              <w:rPr>
                <w:sz w:val="20"/>
              </w:rPr>
            </w:pPr>
            <w:r w:rsidRPr="00EC02CA">
              <w:rPr>
                <w:sz w:val="20"/>
                <w:szCs w:val="20"/>
              </w:rPr>
              <w:t>Primary prevention</w:t>
            </w:r>
          </w:p>
        </w:tc>
        <w:tc>
          <w:tcPr>
            <w:tcW w:w="6894" w:type="dxa"/>
          </w:tcPr>
          <w:p w14:paraId="5B7D6B6D" w14:textId="1566656F" w:rsidR="00940B47" w:rsidRPr="00EC02CA" w:rsidRDefault="00940B47" w:rsidP="00A920EC">
            <w:pPr>
              <w:spacing w:before="60" w:after="60"/>
              <w:jc w:val="left"/>
              <w:rPr>
                <w:sz w:val="20"/>
              </w:rPr>
            </w:pPr>
            <w:r w:rsidRPr="00EC02CA">
              <w:rPr>
                <w:sz w:val="20"/>
                <w:szCs w:val="20"/>
              </w:rPr>
              <w:t xml:space="preserve">Aims to prevent child sexual abuse through interventions across the Australian population, regardless of risk. Prevention </w:t>
            </w:r>
            <w:r w:rsidR="00575A1A" w:rsidRPr="00EC02CA">
              <w:rPr>
                <w:sz w:val="20"/>
                <w:szCs w:val="20"/>
              </w:rPr>
              <w:t xml:space="preserve">of </w:t>
            </w:r>
            <w:r w:rsidRPr="00EC02CA">
              <w:rPr>
                <w:sz w:val="20"/>
                <w:szCs w:val="20"/>
              </w:rPr>
              <w:t>problematic and harmful sexual behaviours by children may include initiatives to address broader societal and institutional factors that enable harmful sexual behaviour by children. Children’s safety initiatives, child</w:t>
            </w:r>
            <w:r w:rsidR="00575A1A" w:rsidRPr="00EC02CA">
              <w:rPr>
                <w:sz w:val="20"/>
                <w:szCs w:val="20"/>
              </w:rPr>
              <w:t>-</w:t>
            </w:r>
            <w:r w:rsidRPr="00EC02CA">
              <w:rPr>
                <w:sz w:val="20"/>
                <w:szCs w:val="20"/>
              </w:rPr>
              <w:t>safe institutions</w:t>
            </w:r>
            <w:r w:rsidR="00575A1A" w:rsidRPr="00EC02CA">
              <w:rPr>
                <w:sz w:val="20"/>
                <w:szCs w:val="20"/>
              </w:rPr>
              <w:t>,</w:t>
            </w:r>
            <w:r w:rsidRPr="00EC02CA">
              <w:rPr>
                <w:sz w:val="20"/>
                <w:szCs w:val="20"/>
              </w:rPr>
              <w:t xml:space="preserve"> and protective behaviours education are included in this category.</w:t>
            </w:r>
          </w:p>
        </w:tc>
      </w:tr>
      <w:tr w:rsidR="00940B47" w:rsidRPr="00EC02CA" w14:paraId="26959D31" w14:textId="77777777" w:rsidTr="00A920EC">
        <w:tc>
          <w:tcPr>
            <w:tcW w:w="2127" w:type="dxa"/>
          </w:tcPr>
          <w:p w14:paraId="0CB0CA49" w14:textId="77777777" w:rsidR="00940B47" w:rsidRPr="00EC02CA" w:rsidRDefault="00940B47" w:rsidP="00A920EC">
            <w:pPr>
              <w:spacing w:before="60" w:after="60"/>
              <w:jc w:val="left"/>
              <w:rPr>
                <w:sz w:val="20"/>
              </w:rPr>
            </w:pPr>
            <w:r w:rsidRPr="00EC02CA">
              <w:rPr>
                <w:sz w:val="20"/>
                <w:szCs w:val="20"/>
              </w:rPr>
              <w:t>Secondary prevention (early intervention)</w:t>
            </w:r>
          </w:p>
        </w:tc>
        <w:tc>
          <w:tcPr>
            <w:tcW w:w="6894" w:type="dxa"/>
          </w:tcPr>
          <w:p w14:paraId="754D03BF" w14:textId="775C2640" w:rsidR="00940B47" w:rsidRPr="00EC02CA" w:rsidRDefault="00940B47" w:rsidP="00A920EC">
            <w:pPr>
              <w:spacing w:before="60" w:after="60"/>
              <w:jc w:val="left"/>
              <w:rPr>
                <w:sz w:val="20"/>
              </w:rPr>
            </w:pPr>
            <w:r w:rsidRPr="00EC02CA">
              <w:rPr>
                <w:sz w:val="20"/>
                <w:szCs w:val="20"/>
              </w:rPr>
              <w:t>Aims to prevent harmful sexual behaviours by identifying and working with children at higher risk of harmful sexual behaviours</w:t>
            </w:r>
            <w:r w:rsidR="00575A1A" w:rsidRPr="00EC02CA">
              <w:rPr>
                <w:sz w:val="20"/>
                <w:szCs w:val="20"/>
              </w:rPr>
              <w:t>. It</w:t>
            </w:r>
            <w:r w:rsidRPr="00EC02CA">
              <w:rPr>
                <w:sz w:val="20"/>
                <w:szCs w:val="20"/>
              </w:rPr>
              <w:t xml:space="preserve"> includ</w:t>
            </w:r>
            <w:r w:rsidR="00575A1A" w:rsidRPr="00EC02CA">
              <w:rPr>
                <w:sz w:val="20"/>
                <w:szCs w:val="20"/>
              </w:rPr>
              <w:t>es</w:t>
            </w:r>
            <w:r w:rsidRPr="00EC02CA">
              <w:rPr>
                <w:sz w:val="20"/>
                <w:szCs w:val="20"/>
              </w:rPr>
              <w:t xml:space="preserve"> working with children displaying lower-level problematic sexual behaviours to prevent those behaviours from escalating into more high-risk harmful sexual behaviours. Such interventions may include training staff in institutions to recognise at-risk children</w:t>
            </w:r>
            <w:r w:rsidR="00575A1A" w:rsidRPr="00EC02CA">
              <w:rPr>
                <w:sz w:val="20"/>
                <w:szCs w:val="20"/>
              </w:rPr>
              <w:t>,</w:t>
            </w:r>
            <w:r w:rsidRPr="00EC02CA">
              <w:rPr>
                <w:sz w:val="20"/>
                <w:szCs w:val="20"/>
              </w:rPr>
              <w:t xml:space="preserve"> and react and respond </w:t>
            </w:r>
            <w:r w:rsidR="00575A1A" w:rsidRPr="00EC02CA">
              <w:rPr>
                <w:sz w:val="20"/>
                <w:szCs w:val="20"/>
              </w:rPr>
              <w:t xml:space="preserve">appropriately </w:t>
            </w:r>
            <w:r w:rsidRPr="00EC02CA">
              <w:rPr>
                <w:sz w:val="20"/>
                <w:szCs w:val="20"/>
              </w:rPr>
              <w:t xml:space="preserve">when they notice </w:t>
            </w:r>
            <w:r w:rsidR="00575A1A" w:rsidRPr="00EC02CA">
              <w:rPr>
                <w:sz w:val="20"/>
                <w:szCs w:val="20"/>
              </w:rPr>
              <w:t xml:space="preserve">or </w:t>
            </w:r>
            <w:r w:rsidRPr="00EC02CA">
              <w:rPr>
                <w:sz w:val="20"/>
                <w:szCs w:val="20"/>
              </w:rPr>
              <w:t xml:space="preserve">identify harmful sexual behaviours displayed by children. </w:t>
            </w:r>
            <w:r w:rsidR="00575A1A" w:rsidRPr="00EC02CA">
              <w:rPr>
                <w:sz w:val="20"/>
                <w:szCs w:val="20"/>
              </w:rPr>
              <w:t xml:space="preserve">It </w:t>
            </w:r>
            <w:r w:rsidRPr="00EC02CA">
              <w:rPr>
                <w:sz w:val="20"/>
                <w:szCs w:val="20"/>
              </w:rPr>
              <w:t>may also include education strategies for the child and their parents or carers.</w:t>
            </w:r>
          </w:p>
        </w:tc>
      </w:tr>
      <w:tr w:rsidR="00940B47" w:rsidRPr="00EC02CA" w14:paraId="42268FD0" w14:textId="77777777" w:rsidTr="00A920EC">
        <w:tc>
          <w:tcPr>
            <w:tcW w:w="2127" w:type="dxa"/>
          </w:tcPr>
          <w:p w14:paraId="54BC1C5E" w14:textId="32B10F38" w:rsidR="00940B47" w:rsidRPr="00EC02CA" w:rsidRDefault="00940B47" w:rsidP="00A920EC">
            <w:pPr>
              <w:spacing w:before="60" w:after="60"/>
              <w:jc w:val="left"/>
              <w:rPr>
                <w:sz w:val="20"/>
              </w:rPr>
            </w:pPr>
            <w:r w:rsidRPr="00EC02CA">
              <w:rPr>
                <w:sz w:val="20"/>
                <w:szCs w:val="20"/>
              </w:rPr>
              <w:t>Tertiary intervention</w:t>
            </w:r>
          </w:p>
        </w:tc>
        <w:tc>
          <w:tcPr>
            <w:tcW w:w="6894" w:type="dxa"/>
          </w:tcPr>
          <w:p w14:paraId="4F992B7F" w14:textId="1E3F6F05" w:rsidR="00940B47" w:rsidRPr="00EC02CA" w:rsidRDefault="00940B47" w:rsidP="00A920EC">
            <w:pPr>
              <w:spacing w:before="60" w:after="60"/>
              <w:jc w:val="left"/>
              <w:rPr>
                <w:szCs w:val="20"/>
              </w:rPr>
            </w:pPr>
            <w:r w:rsidRPr="00EC02CA">
              <w:rPr>
                <w:sz w:val="20"/>
                <w:szCs w:val="20"/>
              </w:rPr>
              <w:t>This is applied after harmful sexual behaviours have occurred. It is designed to prevent recurrence and minimise the harm associated with child sexual abuse. Tertiary intervention initiatives include the assessment of children who have exhibited harmful sexual behaviours</w:t>
            </w:r>
            <w:r w:rsidR="00575A1A" w:rsidRPr="00EC02CA">
              <w:rPr>
                <w:sz w:val="20"/>
                <w:szCs w:val="20"/>
              </w:rPr>
              <w:t>,</w:t>
            </w:r>
            <w:r w:rsidRPr="00EC02CA">
              <w:rPr>
                <w:sz w:val="20"/>
                <w:szCs w:val="20"/>
              </w:rPr>
              <w:t xml:space="preserve"> and tailored therapeutic services for individual children and their parents or carers. Therapeutic, child protection and criminal justice interventions fall within the category of tertiary intervention.</w:t>
            </w:r>
            <w:r w:rsidRPr="00EC02CA">
              <w:rPr>
                <w:rStyle w:val="FootnoteReference"/>
                <w:sz w:val="20"/>
                <w:szCs w:val="20"/>
              </w:rPr>
              <w:footnoteReference w:id="248"/>
            </w:r>
          </w:p>
        </w:tc>
      </w:tr>
    </w:tbl>
    <w:p w14:paraId="1A444984" w14:textId="4A55C91B" w:rsidR="00940B47" w:rsidRPr="00EC02CA" w:rsidRDefault="00940B47" w:rsidP="002F0007">
      <w:pPr>
        <w:pStyle w:val="NormalNumberedTextTLRI"/>
      </w:pPr>
      <w:r w:rsidRPr="00EC02CA">
        <w:t xml:space="preserve">Under a public health model, </w:t>
      </w:r>
      <w:r w:rsidRPr="00EC02CA">
        <w:rPr>
          <w:b/>
          <w:bCs/>
        </w:rPr>
        <w:t>primary prevention</w:t>
      </w:r>
      <w:r w:rsidRPr="00EC02CA">
        <w:t xml:space="preserve"> is directed at the general community. It is directed to </w:t>
      </w:r>
      <w:r w:rsidR="002F52FF" w:rsidRPr="00EC02CA">
        <w:t xml:space="preserve">both </w:t>
      </w:r>
      <w:r w:rsidRPr="00EC02CA">
        <w:t>adults and children</w:t>
      </w:r>
      <w:r w:rsidR="002F52FF" w:rsidRPr="00EC02CA">
        <w:t xml:space="preserve">, </w:t>
      </w:r>
      <w:r w:rsidRPr="00EC02CA">
        <w:t>and aims to improve community understanding of the difference between harmful sexual behaviour and developmentally appropriate sexual behaviour</w:t>
      </w:r>
      <w:r w:rsidR="002F52FF" w:rsidRPr="00EC02CA">
        <w:t xml:space="preserve">, </w:t>
      </w:r>
      <w:r w:rsidRPr="00EC02CA">
        <w:t>allow</w:t>
      </w:r>
      <w:r w:rsidR="002F52FF" w:rsidRPr="00EC02CA">
        <w:t>ing for</w:t>
      </w:r>
      <w:r w:rsidRPr="00EC02CA">
        <w:t xml:space="preserve"> an appropriate and proportional response.</w:t>
      </w:r>
      <w:r w:rsidRPr="00EC02CA">
        <w:rPr>
          <w:rStyle w:val="FootnoteReference"/>
        </w:rPr>
        <w:footnoteReference w:id="249"/>
      </w:r>
      <w:r w:rsidRPr="00EC02CA">
        <w:t xml:space="preserve"> </w:t>
      </w:r>
      <w:r w:rsidRPr="00EC02CA">
        <w:rPr>
          <w:b/>
          <w:bCs/>
        </w:rPr>
        <w:t>Secondary prevention</w:t>
      </w:r>
      <w:r w:rsidRPr="00EC02CA">
        <w:t xml:space="preserve"> involves early intervention for children who display lower levels of problematic sexual behaviours</w:t>
      </w:r>
      <w:r w:rsidR="00293E09" w:rsidRPr="00EC02CA">
        <w:t>,</w:t>
      </w:r>
      <w:r w:rsidRPr="00EC02CA">
        <w:t xml:space="preserve"> and for children at higher risk of </w:t>
      </w:r>
      <w:r w:rsidR="002F52FF" w:rsidRPr="00EC02CA">
        <w:t xml:space="preserve">engaging in </w:t>
      </w:r>
      <w:r w:rsidRPr="00EC02CA">
        <w:t>harmful sexual behaviour.</w:t>
      </w:r>
      <w:r w:rsidRPr="00EC02CA">
        <w:rPr>
          <w:rStyle w:val="FootnoteReference"/>
        </w:rPr>
        <w:footnoteReference w:id="250"/>
      </w:r>
      <w:r w:rsidRPr="00EC02CA">
        <w:t xml:space="preserve"> </w:t>
      </w:r>
      <w:r w:rsidRPr="00EC02CA">
        <w:rPr>
          <w:b/>
          <w:bCs/>
        </w:rPr>
        <w:t>Tertiary interventions</w:t>
      </w:r>
      <w:r w:rsidRPr="00EC02CA">
        <w:t xml:space="preserve"> </w:t>
      </w:r>
      <w:r w:rsidR="00E64EE5" w:rsidRPr="00EC02CA">
        <w:t>are used after harmful sexual behaviour has occurred</w:t>
      </w:r>
      <w:r w:rsidRPr="00EC02CA">
        <w:t xml:space="preserve"> and include child protection and criminal justice responses</w:t>
      </w:r>
      <w:r w:rsidR="00293E09" w:rsidRPr="00EC02CA">
        <w:t>,</w:t>
      </w:r>
      <w:r w:rsidRPr="00EC02CA">
        <w:t xml:space="preserve"> as well as therapeutic assessment and interventions.</w:t>
      </w:r>
      <w:r w:rsidRPr="00EC02CA">
        <w:rPr>
          <w:rStyle w:val="FootnoteReference"/>
        </w:rPr>
        <w:footnoteReference w:id="251"/>
      </w:r>
      <w:r w:rsidRPr="00EC02CA">
        <w:t xml:space="preserve"> </w:t>
      </w:r>
    </w:p>
    <w:p w14:paraId="48C518A1" w14:textId="6C10A56D" w:rsidR="00940B47" w:rsidRPr="00EC02CA" w:rsidRDefault="00940B47" w:rsidP="00A920EC">
      <w:pPr>
        <w:pStyle w:val="NumberedHeadingTLRI"/>
        <w:keepNext/>
        <w:keepLines/>
      </w:pPr>
      <w:bookmarkStart w:id="155" w:name="_Toc211849380"/>
      <w:bookmarkStart w:id="156" w:name="_Toc218157276"/>
      <w:r w:rsidRPr="00EC02CA">
        <w:t xml:space="preserve">The role of the </w:t>
      </w:r>
      <w:r w:rsidR="00E67803" w:rsidRPr="00EC02CA">
        <w:t>youth</w:t>
      </w:r>
      <w:r w:rsidRPr="00EC02CA">
        <w:t xml:space="preserve"> justice system</w:t>
      </w:r>
      <w:bookmarkEnd w:id="155"/>
      <w:bookmarkEnd w:id="156"/>
      <w:r w:rsidRPr="00EC02CA">
        <w:t xml:space="preserve"> </w:t>
      </w:r>
    </w:p>
    <w:p w14:paraId="3FD98A7A" w14:textId="38AD72D1" w:rsidR="00C83C8C" w:rsidRPr="00EC02CA" w:rsidRDefault="00683AB3" w:rsidP="00A920EC">
      <w:pPr>
        <w:pStyle w:val="NormalNumberedTextTLRI"/>
        <w:keepNext/>
        <w:keepLines/>
      </w:pPr>
      <w:r w:rsidRPr="00EC02CA">
        <w:t>T</w:t>
      </w:r>
      <w:r w:rsidR="001E5837" w:rsidRPr="00EC02CA">
        <w:t xml:space="preserve">he </w:t>
      </w:r>
      <w:r w:rsidR="00E67803" w:rsidRPr="00EC02CA">
        <w:t>youth</w:t>
      </w:r>
      <w:r w:rsidR="001E5837" w:rsidRPr="00EC02CA">
        <w:t xml:space="preserve"> justice system is a key component of a framework</w:t>
      </w:r>
      <w:r w:rsidR="003223B2" w:rsidRPr="00EC02CA">
        <w:t>,</w:t>
      </w:r>
      <w:r w:rsidR="001E5837" w:rsidRPr="00EC02CA">
        <w:t xml:space="preserve"> </w:t>
      </w:r>
      <w:r w:rsidR="003223B2" w:rsidRPr="00EC02CA">
        <w:t xml:space="preserve">based on a public health model, designed </w:t>
      </w:r>
      <w:r w:rsidR="001E5837" w:rsidRPr="00EC02CA">
        <w:t xml:space="preserve">to prevent and respond to young people </w:t>
      </w:r>
      <w:r w:rsidR="003223B2" w:rsidRPr="00EC02CA">
        <w:t xml:space="preserve">who engage in </w:t>
      </w:r>
      <w:r w:rsidR="001E5837" w:rsidRPr="00EC02CA">
        <w:t>harmful sexual behaviour</w:t>
      </w:r>
      <w:r w:rsidR="00432522" w:rsidRPr="00EC02CA">
        <w:t>. However, o</w:t>
      </w:r>
      <w:r w:rsidR="00C83C8C" w:rsidRPr="00EC02CA">
        <w:t xml:space="preserve">nly a proportion of harmful sexual behaviour </w:t>
      </w:r>
      <w:r w:rsidR="005A1F5B" w:rsidRPr="00EC02CA">
        <w:t>exhibited</w:t>
      </w:r>
      <w:r w:rsidR="00AF671F" w:rsidRPr="00EC02CA">
        <w:t xml:space="preserve"> b</w:t>
      </w:r>
      <w:r w:rsidR="00C83C8C" w:rsidRPr="00EC02CA">
        <w:t xml:space="preserve">y young people would fall within the legal category of sexual offending, either because the conduct </w:t>
      </w:r>
      <w:r w:rsidR="003223B2" w:rsidRPr="00EC02CA">
        <w:t>is not</w:t>
      </w:r>
      <w:r w:rsidR="00C83C8C" w:rsidRPr="00EC02CA">
        <w:t xml:space="preserve"> within the legal definition of a criminal offence, and/or the person may be under the age of criminal responsibility.</w:t>
      </w:r>
      <w:r w:rsidR="00C83C8C" w:rsidRPr="00EC02CA">
        <w:rPr>
          <w:rStyle w:val="FootnoteReference"/>
        </w:rPr>
        <w:footnoteReference w:id="252"/>
      </w:r>
      <w:r w:rsidR="00C83C8C" w:rsidRPr="00EC02CA">
        <w:t xml:space="preserve"> A criminal justice response also reli</w:t>
      </w:r>
      <w:r w:rsidR="008504EC" w:rsidRPr="00EC02CA">
        <w:t>es</w:t>
      </w:r>
      <w:r w:rsidR="00C83C8C" w:rsidRPr="00EC02CA">
        <w:t xml:space="preserve"> on a matter being reported to (or detected by) police</w:t>
      </w:r>
      <w:r w:rsidR="008504EC" w:rsidRPr="00EC02CA">
        <w:t>,</w:t>
      </w:r>
      <w:r w:rsidR="00C83C8C" w:rsidRPr="00EC02CA">
        <w:t xml:space="preserve"> and the police deciding to proceed against the young person.</w:t>
      </w:r>
      <w:r w:rsidR="00C83C8C" w:rsidRPr="00EC02CA">
        <w:rPr>
          <w:rStyle w:val="FootnoteReference"/>
        </w:rPr>
        <w:footnoteReference w:id="253"/>
      </w:r>
      <w:r w:rsidR="00C83C8C" w:rsidRPr="00EC02CA">
        <w:t xml:space="preserve"> Police make decisions about whether to </w:t>
      </w:r>
      <w:r w:rsidR="003223B2" w:rsidRPr="00EC02CA">
        <w:t xml:space="preserve">further </w:t>
      </w:r>
      <w:r w:rsidR="00C83C8C" w:rsidRPr="00EC02CA">
        <w:t>investigate</w:t>
      </w:r>
      <w:r w:rsidR="008504EC" w:rsidRPr="00EC02CA">
        <w:t>,</w:t>
      </w:r>
      <w:r w:rsidR="00C83C8C" w:rsidRPr="00EC02CA">
        <w:t xml:space="preserve"> and whether to arrest and charge an accused person.</w:t>
      </w:r>
      <w:r w:rsidR="00C83C8C" w:rsidRPr="00EC02CA">
        <w:rPr>
          <w:rStyle w:val="FootnoteReference"/>
        </w:rPr>
        <w:footnoteReference w:id="254"/>
      </w:r>
      <w:r w:rsidR="00C83C8C" w:rsidRPr="00EC02CA">
        <w:t xml:space="preserve"> </w:t>
      </w:r>
      <w:r w:rsidR="003223B2" w:rsidRPr="00EC02CA">
        <w:t>D</w:t>
      </w:r>
      <w:r w:rsidR="00C83C8C" w:rsidRPr="00EC02CA">
        <w:t xml:space="preserve">iscretion </w:t>
      </w:r>
      <w:r w:rsidR="003223B2" w:rsidRPr="00EC02CA">
        <w:t xml:space="preserve">also </w:t>
      </w:r>
      <w:r w:rsidR="00C83C8C" w:rsidRPr="00EC02CA">
        <w:t xml:space="preserve">exists in relation to the </w:t>
      </w:r>
      <w:r w:rsidR="003223B2" w:rsidRPr="00EC02CA">
        <w:t xml:space="preserve">particular </w:t>
      </w:r>
      <w:r w:rsidR="00C83C8C" w:rsidRPr="00EC02CA">
        <w:t>charges to be laid, and, in the context of the youth justice system, the appropriate response to th</w:t>
      </w:r>
      <w:r w:rsidR="003B0FAB" w:rsidRPr="00EC02CA">
        <w:t>ose</w:t>
      </w:r>
      <w:r w:rsidR="00C83C8C" w:rsidRPr="00EC02CA">
        <w:t xml:space="preserve"> charges</w:t>
      </w:r>
      <w:r w:rsidR="008504EC" w:rsidRPr="00EC02CA">
        <w:t xml:space="preserve"> –</w:t>
      </w:r>
      <w:r w:rsidR="003B0FAB" w:rsidRPr="00EC02CA">
        <w:t xml:space="preserve"> f</w:t>
      </w:r>
      <w:r w:rsidR="003223B2" w:rsidRPr="00EC02CA">
        <w:t>or example, whether to refer the matter to</w:t>
      </w:r>
      <w:r w:rsidR="00C83C8C" w:rsidRPr="00EC02CA">
        <w:t xml:space="preserve"> a diversionary process or </w:t>
      </w:r>
      <w:r w:rsidR="003223B2" w:rsidRPr="00EC02CA">
        <w:t xml:space="preserve">to </w:t>
      </w:r>
      <w:r w:rsidR="00C83C8C" w:rsidRPr="00EC02CA">
        <w:t>prosecut</w:t>
      </w:r>
      <w:r w:rsidR="003223B2" w:rsidRPr="00EC02CA">
        <w:t>e</w:t>
      </w:r>
      <w:r w:rsidR="00C83C8C" w:rsidRPr="00EC02CA">
        <w:t xml:space="preserve"> in court</w:t>
      </w:r>
      <w:r w:rsidR="001E5837" w:rsidRPr="00EC02CA">
        <w:t>.</w:t>
      </w:r>
      <w:r w:rsidR="00432522" w:rsidRPr="00EC02CA">
        <w:t xml:space="preserve"> This is discussed further in Parts </w:t>
      </w:r>
      <w:r w:rsidR="008E2821" w:rsidRPr="00EC02CA">
        <w:t>5</w:t>
      </w:r>
      <w:r w:rsidR="00432522" w:rsidRPr="00EC02CA">
        <w:t>–</w:t>
      </w:r>
      <w:r w:rsidR="008E2821" w:rsidRPr="00EC02CA">
        <w:t>8</w:t>
      </w:r>
      <w:r w:rsidR="00432522" w:rsidRPr="00EC02CA">
        <w:t>.</w:t>
      </w:r>
    </w:p>
    <w:p w14:paraId="287DBB77" w14:textId="77777777" w:rsidR="00940B47" w:rsidRPr="00EC02CA" w:rsidRDefault="00940B47" w:rsidP="00940B47">
      <w:pPr>
        <w:pStyle w:val="NumberedHeadingTLRI"/>
      </w:pPr>
      <w:bookmarkStart w:id="157" w:name="_Toc211849381"/>
      <w:bookmarkStart w:id="158" w:name="_Toc218157277"/>
      <w:bookmarkStart w:id="159" w:name="_Ref218253000"/>
      <w:r w:rsidRPr="00EC02CA">
        <w:t>The role of the child protection system</w:t>
      </w:r>
      <w:bookmarkEnd w:id="157"/>
      <w:bookmarkEnd w:id="158"/>
      <w:bookmarkEnd w:id="159"/>
    </w:p>
    <w:p w14:paraId="2F0BD671" w14:textId="4911C6B1" w:rsidR="00133311" w:rsidRPr="00EC02CA" w:rsidRDefault="00940B47" w:rsidP="002F0007">
      <w:pPr>
        <w:pStyle w:val="NormalNumberedTextTLRI"/>
      </w:pPr>
      <w:r w:rsidRPr="00EC02CA">
        <w:t>Intersecting with the youth justice system</w:t>
      </w:r>
      <w:r w:rsidR="003B0FAB" w:rsidRPr="00EC02CA">
        <w:t>,</w:t>
      </w:r>
      <w:r w:rsidRPr="00EC02CA">
        <w:t xml:space="preserve"> as a tertiary intervention to address </w:t>
      </w:r>
      <w:r w:rsidR="003B0FAB" w:rsidRPr="00EC02CA">
        <w:t>harmful sexual behaviour,</w:t>
      </w:r>
      <w:r w:rsidRPr="00EC02CA">
        <w:t xml:space="preserve"> is the Tasmanian child protection system, which operates under the </w:t>
      </w:r>
      <w:r w:rsidRPr="00EC02CA">
        <w:rPr>
          <w:i/>
          <w:iCs/>
        </w:rPr>
        <w:t>Children, Young Persons and Their Families Act 1997</w:t>
      </w:r>
      <w:r w:rsidRPr="00EC02CA">
        <w:t xml:space="preserve"> (Tas). This </w:t>
      </w:r>
      <w:r w:rsidR="003B0FAB" w:rsidRPr="00EC02CA">
        <w:t xml:space="preserve">system </w:t>
      </w:r>
      <w:r w:rsidRPr="00EC02CA">
        <w:t xml:space="preserve">applies to children </w:t>
      </w:r>
      <w:r w:rsidR="003B0FAB" w:rsidRPr="00EC02CA">
        <w:t xml:space="preserve">aged </w:t>
      </w:r>
      <w:r w:rsidRPr="00EC02CA">
        <w:t>under 18 who are ‘at risk’, which includes children who have been, are or are likely to be</w:t>
      </w:r>
      <w:r w:rsidR="003B0FAB" w:rsidRPr="00EC02CA">
        <w:t>,</w:t>
      </w:r>
      <w:r w:rsidRPr="00EC02CA">
        <w:t xml:space="preserve"> abused or neglected</w:t>
      </w:r>
      <w:r w:rsidR="003B0FAB" w:rsidRPr="00EC02CA">
        <w:t>,</w:t>
      </w:r>
      <w:r w:rsidRPr="00EC02CA">
        <w:t xml:space="preserve"> </w:t>
      </w:r>
      <w:r w:rsidR="003B0FAB" w:rsidRPr="00EC02CA">
        <w:t xml:space="preserve">and where </w:t>
      </w:r>
      <w:r w:rsidRPr="00EC02CA">
        <w:t>the guardians of the children are unable to provide adequate care or protection.</w:t>
      </w:r>
      <w:r w:rsidRPr="00EC02CA">
        <w:rPr>
          <w:rStyle w:val="FootnoteReference"/>
        </w:rPr>
        <w:footnoteReference w:id="255"/>
      </w:r>
      <w:r w:rsidRPr="00EC02CA">
        <w:t xml:space="preserve"> The Child Safety Service (within DECYP) is responsible for investigating and responding to a reported concern </w:t>
      </w:r>
      <w:r w:rsidR="008504EC" w:rsidRPr="00EC02CA">
        <w:t>about</w:t>
      </w:r>
      <w:r w:rsidRPr="00EC02CA">
        <w:t xml:space="preserve"> the safety or wellbeing of a child. </w:t>
      </w:r>
      <w:r w:rsidR="008504EC" w:rsidRPr="00EC02CA">
        <w:t>Currently, i</w:t>
      </w:r>
      <w:r w:rsidRPr="00EC02CA">
        <w:t xml:space="preserve">n relation to children who display harmful sexual behaviour, the child protection system has two main functions: </w:t>
      </w:r>
    </w:p>
    <w:p w14:paraId="34A1110A" w14:textId="0B7FED33" w:rsidR="00133311" w:rsidRPr="00EC02CA" w:rsidRDefault="0007117B" w:rsidP="00A920EC">
      <w:pPr>
        <w:pStyle w:val="NumberlessNormalText"/>
        <w:numPr>
          <w:ilvl w:val="0"/>
          <w:numId w:val="188"/>
        </w:numPr>
      </w:pPr>
      <w:r w:rsidRPr="00EC02CA">
        <w:t>i</w:t>
      </w:r>
      <w:r w:rsidR="00940B47" w:rsidRPr="00EC02CA">
        <w:t xml:space="preserve">t may </w:t>
      </w:r>
      <w:r w:rsidR="00D52586" w:rsidRPr="00EC02CA">
        <w:t xml:space="preserve">provide </w:t>
      </w:r>
      <w:r w:rsidR="00940B47" w:rsidRPr="00EC02CA">
        <w:t>a response where a child is using harmful sexual behaviour (including offending behaviour)</w:t>
      </w:r>
      <w:r w:rsidR="00EF418E" w:rsidRPr="00EC02CA">
        <w:t xml:space="preserve"> separate from any</w:t>
      </w:r>
      <w:r w:rsidR="00B02537" w:rsidRPr="00EC02CA">
        <w:t xml:space="preserve"> sexual abuse experienced by the child from another person</w:t>
      </w:r>
      <w:r w:rsidR="00940B47" w:rsidRPr="00EC02CA">
        <w:t xml:space="preserve">. For a young person over the age of criminal responsibility, the child protection and youth justice </w:t>
      </w:r>
      <w:r w:rsidR="003668A4" w:rsidRPr="00EC02CA">
        <w:t>system</w:t>
      </w:r>
      <w:r w:rsidR="00940B47" w:rsidRPr="00EC02CA">
        <w:t xml:space="preserve"> may both operate. As noted by the Royal Commission, ‘child protection responses may be necessary and appropriate for children with harmful sexual behaviour, particularly if the behaviour demonstrates that they or other children are at risk of harm and there are no adults present who can provide support and protection’.</w:t>
      </w:r>
      <w:bookmarkStart w:id="160" w:name="_Ref217979221"/>
      <w:r w:rsidR="00940B47" w:rsidRPr="00EC02CA">
        <w:rPr>
          <w:rStyle w:val="FootnoteReference"/>
        </w:rPr>
        <w:footnoteReference w:id="256"/>
      </w:r>
      <w:bookmarkEnd w:id="160"/>
      <w:r w:rsidR="00940B47" w:rsidRPr="00EC02CA">
        <w:t xml:space="preserve">  In contrast, for a child under the minimum age of criminal responsibility, the child protection system provides the statutory basis for intervention; </w:t>
      </w:r>
      <w:r w:rsidR="003B0FAB" w:rsidRPr="00EC02CA">
        <w:t>and</w:t>
      </w:r>
    </w:p>
    <w:p w14:paraId="7A8D8065" w14:textId="3DD30F73" w:rsidR="00940B47" w:rsidRPr="00EC02CA" w:rsidRDefault="00940B47" w:rsidP="00A920EC">
      <w:pPr>
        <w:pStyle w:val="NumberlessNormalText"/>
      </w:pPr>
      <w:r w:rsidRPr="00EC02CA">
        <w:t xml:space="preserve">a child who displays harmful sexual behaviour may also be </w:t>
      </w:r>
      <w:r w:rsidR="008504EC" w:rsidRPr="00EC02CA">
        <w:t xml:space="preserve">a </w:t>
      </w:r>
      <w:r w:rsidR="00886B70" w:rsidRPr="00EC02CA">
        <w:t>victim-survivor</w:t>
      </w:r>
      <w:r w:rsidR="00D6183A" w:rsidRPr="00EC02CA">
        <w:t xml:space="preserve"> </w:t>
      </w:r>
      <w:r w:rsidRPr="00EC02CA">
        <w:t>of abuse themselves</w:t>
      </w:r>
      <w:r w:rsidR="008504EC" w:rsidRPr="00EC02CA">
        <w:t>,</w:t>
      </w:r>
      <w:r w:rsidRPr="00EC02CA">
        <w:t xml:space="preserve"> and so involved with </w:t>
      </w:r>
      <w:r w:rsidR="000E30B5" w:rsidRPr="00EC02CA">
        <w:t>C</w:t>
      </w:r>
      <w:r w:rsidRPr="00EC02CA">
        <w:t xml:space="preserve">hild </w:t>
      </w:r>
      <w:r w:rsidR="000E30B5" w:rsidRPr="00EC02CA">
        <w:t>S</w:t>
      </w:r>
      <w:r w:rsidRPr="00EC02CA">
        <w:t xml:space="preserve">afety </w:t>
      </w:r>
      <w:r w:rsidR="000E30B5" w:rsidRPr="00EC02CA">
        <w:t>S</w:t>
      </w:r>
      <w:r w:rsidRPr="00EC02CA">
        <w:t xml:space="preserve">ervices on this basis. </w:t>
      </w:r>
    </w:p>
    <w:p w14:paraId="21839D6D" w14:textId="57FAB88E" w:rsidR="00940B47" w:rsidRPr="00EC02CA" w:rsidRDefault="00940B47" w:rsidP="002F0007">
      <w:pPr>
        <w:pStyle w:val="NormalNumberedTextTLRI"/>
      </w:pPr>
      <w:r w:rsidRPr="00EC02CA">
        <w:t xml:space="preserve">Research examining involvement in the criminal justice by young people has identified an overlap between children involved in the justice system and </w:t>
      </w:r>
      <w:r w:rsidR="008504EC" w:rsidRPr="00EC02CA">
        <w:t xml:space="preserve">those involved in </w:t>
      </w:r>
      <w:r w:rsidRPr="00EC02CA">
        <w:t>the child protection system (‘crossover kids’).</w:t>
      </w:r>
      <w:bookmarkStart w:id="161" w:name="_Ref217979243"/>
      <w:r w:rsidRPr="00EC02CA">
        <w:rPr>
          <w:rStyle w:val="FootnoteReference"/>
        </w:rPr>
        <w:footnoteReference w:id="257"/>
      </w:r>
      <w:bookmarkEnd w:id="161"/>
      <w:r w:rsidRPr="00EC02CA">
        <w:t xml:space="preserve"> Research shows that the majority of young people who are involved in the child protection section do not </w:t>
      </w:r>
      <w:r w:rsidR="00642F8E" w:rsidRPr="00EC02CA">
        <w:t>commit offences</w:t>
      </w:r>
      <w:r w:rsidRPr="00EC02CA">
        <w:t>,</w:t>
      </w:r>
      <w:r w:rsidRPr="00EC02CA">
        <w:rPr>
          <w:rStyle w:val="FootnoteReference"/>
        </w:rPr>
        <w:footnoteReference w:id="258"/>
      </w:r>
      <w:r w:rsidRPr="00EC02CA">
        <w:t xml:space="preserve"> but that many children involved in the youth justice system have had involvement with child protection.</w:t>
      </w:r>
      <w:r w:rsidRPr="00EC02CA">
        <w:rPr>
          <w:rStyle w:val="FootnoteReference"/>
        </w:rPr>
        <w:footnoteReference w:id="259"/>
      </w:r>
      <w:r w:rsidRPr="00EC02CA">
        <w:t xml:space="preserve"> Tasmania</w:t>
      </w:r>
      <w:r w:rsidR="00ED3B88" w:rsidRPr="00EC02CA">
        <w:t>n</w:t>
      </w:r>
      <w:r w:rsidRPr="00EC02CA">
        <w:t xml:space="preserve"> data show that</w:t>
      </w:r>
      <w:r w:rsidR="00ED3B88" w:rsidRPr="00EC02CA">
        <w:t>,</w:t>
      </w:r>
      <w:r w:rsidRPr="00EC02CA">
        <w:t xml:space="preserve"> of the </w:t>
      </w:r>
      <w:r w:rsidR="00532730" w:rsidRPr="00EC02CA">
        <w:t xml:space="preserve">199 </w:t>
      </w:r>
      <w:r w:rsidRPr="00EC02CA">
        <w:t>young people under youth justice supervision in 2022</w:t>
      </w:r>
      <w:r w:rsidR="008504EC" w:rsidRPr="00EC02CA">
        <w:t>–</w:t>
      </w:r>
      <w:r w:rsidRPr="00EC02CA">
        <w:t>23,</w:t>
      </w:r>
      <w:r w:rsidRPr="00EC02CA">
        <w:rPr>
          <w:rStyle w:val="FootnoteReference"/>
        </w:rPr>
        <w:footnoteReference w:id="260"/>
      </w:r>
      <w:r w:rsidRPr="00EC02CA">
        <w:t xml:space="preserve"> 55.8% had interac</w:t>
      </w:r>
      <w:r w:rsidR="00491C85" w:rsidRPr="00EC02CA">
        <w:t>t</w:t>
      </w:r>
      <w:r w:rsidR="00ED3B88" w:rsidRPr="00EC02CA">
        <w:t>ed</w:t>
      </w:r>
      <w:r w:rsidRPr="00EC02CA">
        <w:t xml:space="preserve"> with the child protection system in the 10 years from 1 July 2013 </w:t>
      </w:r>
      <w:r w:rsidR="00ED3B88" w:rsidRPr="00EC02CA">
        <w:t>to</w:t>
      </w:r>
      <w:r w:rsidRPr="00EC02CA">
        <w:t xml:space="preserve"> 30 June 2023 (50.3% </w:t>
      </w:r>
      <w:r w:rsidR="00ED3B88" w:rsidRPr="00EC02CA">
        <w:t xml:space="preserve">through an </w:t>
      </w:r>
      <w:r w:rsidRPr="00EC02CA">
        <w:t xml:space="preserve">investigated notification; 29.1% </w:t>
      </w:r>
      <w:r w:rsidR="00ED3B88" w:rsidRPr="00EC02CA">
        <w:t xml:space="preserve">through a </w:t>
      </w:r>
      <w:r w:rsidRPr="00EC02CA">
        <w:t xml:space="preserve">care and protection order and 24.6% </w:t>
      </w:r>
      <w:r w:rsidR="00ED3B88" w:rsidRPr="00EC02CA">
        <w:t xml:space="preserve">through </w:t>
      </w:r>
      <w:r w:rsidRPr="00EC02CA">
        <w:t>out-of-home care).</w:t>
      </w:r>
      <w:r w:rsidRPr="00EC02CA">
        <w:rPr>
          <w:rStyle w:val="FootnoteReference"/>
        </w:rPr>
        <w:footnoteReference w:id="261"/>
      </w:r>
      <w:r w:rsidRPr="00EC02CA">
        <w:t xml:space="preserve"> In relation to young people in detention in 2022</w:t>
      </w:r>
      <w:r w:rsidR="00ED3B88" w:rsidRPr="00EC02CA">
        <w:t>–</w:t>
      </w:r>
      <w:r w:rsidRPr="00EC02CA">
        <w:t>23, 70.7% had interact</w:t>
      </w:r>
      <w:r w:rsidR="00ED3B88" w:rsidRPr="00EC02CA">
        <w:t>ed</w:t>
      </w:r>
      <w:r w:rsidRPr="00EC02CA">
        <w:t xml:space="preserve"> with the child protection system </w:t>
      </w:r>
      <w:r w:rsidR="00ED3B88" w:rsidRPr="00EC02CA">
        <w:t>during that same</w:t>
      </w:r>
      <w:r w:rsidRPr="00EC02CA">
        <w:t xml:space="preserve"> </w:t>
      </w:r>
      <w:r w:rsidR="00E316E2" w:rsidRPr="00EC02CA">
        <w:t>10</w:t>
      </w:r>
      <w:r w:rsidR="00ED3B88" w:rsidRPr="00EC02CA">
        <w:t>-</w:t>
      </w:r>
      <w:r w:rsidR="00E316E2" w:rsidRPr="00EC02CA">
        <w:t xml:space="preserve">year </w:t>
      </w:r>
      <w:r w:rsidR="00ED3B88" w:rsidRPr="00EC02CA">
        <w:t>period</w:t>
      </w:r>
      <w:r w:rsidRPr="00EC02CA">
        <w:t>.</w:t>
      </w:r>
      <w:r w:rsidRPr="00EC02CA">
        <w:rPr>
          <w:rStyle w:val="FootnoteReference"/>
        </w:rPr>
        <w:footnoteReference w:id="262"/>
      </w:r>
      <w:r w:rsidRPr="00EC02CA">
        <w:t xml:space="preserve"> </w:t>
      </w:r>
      <w:r w:rsidR="0007344E" w:rsidRPr="00EC02CA">
        <w:t>A review</w:t>
      </w:r>
      <w:r w:rsidRPr="00EC02CA">
        <w:t xml:space="preserve"> by </w:t>
      </w:r>
      <w:r w:rsidR="0007344E" w:rsidRPr="00EC02CA">
        <w:t xml:space="preserve">Tasmania Legal Aid of </w:t>
      </w:r>
      <w:r w:rsidRPr="00EC02CA">
        <w:t>its files relating to young people showed that</w:t>
      </w:r>
      <w:r w:rsidR="0007344E" w:rsidRPr="00EC02CA">
        <w:t>, from 2007 to 2020,</w:t>
      </w:r>
      <w:r w:rsidRPr="00EC02CA">
        <w:t xml:space="preserve"> two</w:t>
      </w:r>
      <w:r w:rsidR="002754A4" w:rsidRPr="00EC02CA">
        <w:t>-</w:t>
      </w:r>
      <w:r w:rsidRPr="00EC02CA">
        <w:t>thirds of ‘crossover children first had involvement with child safety and then with youth justice’.</w:t>
      </w:r>
      <w:r w:rsidRPr="00EC02CA">
        <w:rPr>
          <w:rStyle w:val="FootnoteReference"/>
        </w:rPr>
        <w:footnoteReference w:id="263"/>
      </w:r>
    </w:p>
    <w:p w14:paraId="513B2674" w14:textId="23952621" w:rsidR="00940B47" w:rsidRPr="00EC02CA" w:rsidRDefault="00940B47" w:rsidP="00940B47">
      <w:pPr>
        <w:pStyle w:val="NumberedHeadingTLRI"/>
      </w:pPr>
      <w:bookmarkStart w:id="162" w:name="_Toc211849382"/>
      <w:bookmarkStart w:id="163" w:name="_Toc218157278"/>
      <w:bookmarkStart w:id="164" w:name="_Ref218241127"/>
      <w:bookmarkStart w:id="165" w:name="_Ref218252956"/>
      <w:bookmarkStart w:id="166" w:name="_Ref218253353"/>
      <w:r w:rsidRPr="00EC02CA">
        <w:t>The role of therapeutic interventions</w:t>
      </w:r>
      <w:bookmarkEnd w:id="162"/>
      <w:bookmarkEnd w:id="163"/>
      <w:bookmarkEnd w:id="164"/>
      <w:bookmarkEnd w:id="165"/>
      <w:bookmarkEnd w:id="166"/>
      <w:r w:rsidRPr="00EC02CA">
        <w:t xml:space="preserve"> </w:t>
      </w:r>
    </w:p>
    <w:p w14:paraId="653F1165" w14:textId="042D3FCE" w:rsidR="00940B47" w:rsidRPr="00EC02CA" w:rsidRDefault="00940B47" w:rsidP="002F0007">
      <w:pPr>
        <w:pStyle w:val="NormalNumberedTextTLRI"/>
      </w:pPr>
      <w:r w:rsidRPr="00EC02CA">
        <w:t xml:space="preserve">As indicated, therapeutic interventions may occur as part of </w:t>
      </w:r>
      <w:r w:rsidR="00A973CB" w:rsidRPr="00EC02CA">
        <w:t xml:space="preserve">an </w:t>
      </w:r>
      <w:r w:rsidRPr="00EC02CA">
        <w:t xml:space="preserve">early intervention strategy (a secondary response) or after harmful sexual behaviour has occurred (a tertiary response). Therapeutic interventions may be combined with a </w:t>
      </w:r>
      <w:r w:rsidR="00E67803" w:rsidRPr="00EC02CA">
        <w:t xml:space="preserve">youth </w:t>
      </w:r>
      <w:r w:rsidRPr="00EC02CA">
        <w:t>justice system response or may be an intervention in its own right.</w:t>
      </w:r>
      <w:r w:rsidRPr="00EC02CA">
        <w:rPr>
          <w:rStyle w:val="FootnoteReference"/>
        </w:rPr>
        <w:footnoteReference w:id="264"/>
      </w:r>
      <w:r w:rsidRPr="00EC02CA">
        <w:t xml:space="preserve"> While the need for </w:t>
      </w:r>
      <w:r w:rsidR="00A973CB" w:rsidRPr="00EC02CA">
        <w:t xml:space="preserve">some young people to receive </w:t>
      </w:r>
      <w:r w:rsidRPr="00EC02CA">
        <w:t>therapeutic intervention</w:t>
      </w:r>
      <w:r w:rsidR="00A973CB" w:rsidRPr="00EC02CA">
        <w:t>s</w:t>
      </w:r>
      <w:r w:rsidRPr="00EC02CA">
        <w:t xml:space="preserve"> is not controversial, there is less </w:t>
      </w:r>
      <w:r w:rsidR="00A973CB" w:rsidRPr="00EC02CA">
        <w:t xml:space="preserve">consensus </w:t>
      </w:r>
      <w:r w:rsidRPr="00EC02CA">
        <w:t xml:space="preserve">in relation to </w:t>
      </w:r>
      <w:r w:rsidR="00A973CB" w:rsidRPr="00EC02CA">
        <w:t xml:space="preserve">the </w:t>
      </w:r>
      <w:r w:rsidRPr="00EC02CA">
        <w:t>appropriate model for such interventions.</w:t>
      </w:r>
      <w:r w:rsidRPr="00EC02CA">
        <w:rPr>
          <w:rFonts w:eastAsiaTheme="minorHAnsi"/>
          <w:kern w:val="2"/>
          <w:sz w:val="24"/>
          <w:szCs w:val="24"/>
          <w14:ligatures w14:val="standardContextual"/>
        </w:rPr>
        <w:t xml:space="preserve"> </w:t>
      </w:r>
      <w:r w:rsidRPr="00EC02CA">
        <w:t xml:space="preserve">Most treatment programs for young people who commit sexual offences are based on principles of </w:t>
      </w:r>
      <w:r w:rsidR="00933D08" w:rsidRPr="00EC02CA">
        <w:t>C</w:t>
      </w:r>
      <w:r w:rsidRPr="00EC02CA">
        <w:t xml:space="preserve">ognitive </w:t>
      </w:r>
      <w:r w:rsidR="00933D08" w:rsidRPr="00EC02CA">
        <w:t>B</w:t>
      </w:r>
      <w:r w:rsidRPr="00EC02CA">
        <w:t xml:space="preserve">ehavioural </w:t>
      </w:r>
      <w:r w:rsidR="00933D08" w:rsidRPr="00EC02CA">
        <w:t>T</w:t>
      </w:r>
      <w:r w:rsidRPr="00EC02CA">
        <w:t>herapy (CBT), aligning with traditional treatment approaches to address adult-perpetrated sexual offending.</w:t>
      </w:r>
      <w:r w:rsidRPr="00EC02CA">
        <w:rPr>
          <w:vertAlign w:val="superscript"/>
        </w:rPr>
        <w:footnoteReference w:id="265"/>
      </w:r>
      <w:r w:rsidRPr="00EC02CA">
        <w:t xml:space="preserve"> </w:t>
      </w:r>
      <w:r w:rsidR="00A973CB" w:rsidRPr="00EC02CA">
        <w:t xml:space="preserve">Compared with the </w:t>
      </w:r>
      <w:r w:rsidRPr="00EC02CA">
        <w:t>research for adult</w:t>
      </w:r>
      <w:r w:rsidR="00A973CB" w:rsidRPr="00EC02CA">
        <w:t>s</w:t>
      </w:r>
      <w:r w:rsidRPr="00EC02CA">
        <w:t>, there is less research examining effective interventions for youth sexual offending and harmful sexual behaviour.</w:t>
      </w:r>
      <w:r w:rsidRPr="00EC02CA">
        <w:rPr>
          <w:rStyle w:val="FootnoteReference"/>
        </w:rPr>
        <w:footnoteReference w:id="266"/>
      </w:r>
      <w:r w:rsidRPr="00EC02CA">
        <w:t xml:space="preserve"> In addition, as noted, there is even less research that has considered treatment response</w:t>
      </w:r>
      <w:r w:rsidR="00B25580" w:rsidRPr="00EC02CA">
        <w:t>s</w:t>
      </w:r>
      <w:r w:rsidRPr="00EC02CA">
        <w:t xml:space="preserve"> to online sexual offending or harmful sexual behaviour. Accordingly, there is a need for </w:t>
      </w:r>
      <w:r w:rsidR="00B25580" w:rsidRPr="00EC02CA">
        <w:t xml:space="preserve">more </w:t>
      </w:r>
      <w:r w:rsidRPr="00EC02CA">
        <w:t>research</w:t>
      </w:r>
      <w:r w:rsidR="00B25580" w:rsidRPr="00EC02CA">
        <w:t>,</w:t>
      </w:r>
      <w:r w:rsidRPr="00EC02CA">
        <w:t xml:space="preserve"> as it cannot be assumed that treatment that is effective for adults will be effective for young people. As noted, there are key differences between youth and adult sexual offending</w:t>
      </w:r>
      <w:r w:rsidR="00B25580" w:rsidRPr="00EC02CA">
        <w:t>,</w:t>
      </w:r>
      <w:r w:rsidRPr="00EC02CA">
        <w:t xml:space="preserve"> including:</w:t>
      </w:r>
    </w:p>
    <w:p w14:paraId="3F8B470D" w14:textId="1856B4E3" w:rsidR="00940B47" w:rsidRPr="00EC02CA" w:rsidRDefault="001E6F33" w:rsidP="00A920EC">
      <w:pPr>
        <w:pStyle w:val="NumberlessNormalText"/>
        <w:numPr>
          <w:ilvl w:val="0"/>
          <w:numId w:val="189"/>
        </w:numPr>
      </w:pPr>
      <w:r w:rsidRPr="00EC02CA">
        <w:t>D</w:t>
      </w:r>
      <w:r w:rsidR="00940B47" w:rsidRPr="00EC02CA">
        <w:t>ifferent motivations for offending, with youth offence</w:t>
      </w:r>
      <w:r w:rsidR="00256232" w:rsidRPr="00EC02CA">
        <w:t>s</w:t>
      </w:r>
      <w:r w:rsidR="00940B47" w:rsidRPr="00EC02CA">
        <w:t xml:space="preserve"> often driven by curiosity, peer social influence, and desires for social acceptance. In contrast, adult offending behaviours are more commonly motivated by power dynamics, paraphilic sexual desire, and the need for control.</w:t>
      </w:r>
      <w:r w:rsidR="00940B47" w:rsidRPr="00EC02CA">
        <w:rPr>
          <w:rStyle w:val="FootnoteReference"/>
        </w:rPr>
        <w:footnoteReference w:id="267"/>
      </w:r>
    </w:p>
    <w:p w14:paraId="5D31A51F" w14:textId="56F57AB5" w:rsidR="00940B47" w:rsidRPr="00EC02CA" w:rsidRDefault="001E6F33" w:rsidP="00A920EC">
      <w:pPr>
        <w:pStyle w:val="NumberlessNormalText"/>
      </w:pPr>
      <w:r w:rsidRPr="00EC02CA">
        <w:t>Young people who commit</w:t>
      </w:r>
      <w:r w:rsidR="00940B47" w:rsidRPr="00EC02CA">
        <w:t xml:space="preserve"> sexual offen</w:t>
      </w:r>
      <w:r w:rsidRPr="00EC02CA">
        <w:t>ce</w:t>
      </w:r>
      <w:r w:rsidR="00940B47" w:rsidRPr="00EC02CA">
        <w:t>s are less likely to reoffend than adult</w:t>
      </w:r>
      <w:r w:rsidR="00B25580" w:rsidRPr="00EC02CA">
        <w:t>s</w:t>
      </w:r>
      <w:r w:rsidR="00940B47" w:rsidRPr="00EC02CA">
        <w:t>.</w:t>
      </w:r>
      <w:r w:rsidR="00940B47" w:rsidRPr="00EC02CA">
        <w:rPr>
          <w:rStyle w:val="FootnoteReference"/>
        </w:rPr>
        <w:footnoteReference w:id="268"/>
      </w:r>
    </w:p>
    <w:p w14:paraId="6AD98D91" w14:textId="4D10E7F6" w:rsidR="00F16C11" w:rsidRPr="00EC02CA" w:rsidRDefault="00F16C11" w:rsidP="00A920EC">
      <w:pPr>
        <w:pStyle w:val="NormalNumberedTextTLRI"/>
      </w:pPr>
      <w:r w:rsidRPr="00EC02CA">
        <w:t xml:space="preserve">It is also important to </w:t>
      </w:r>
      <w:r w:rsidR="004D6BB2" w:rsidRPr="00EC02CA">
        <w:t xml:space="preserve">keep in mind that most young people do not reoffend without any </w:t>
      </w:r>
      <w:r w:rsidR="00321079" w:rsidRPr="00EC02CA">
        <w:t>intervention.</w:t>
      </w:r>
    </w:p>
    <w:p w14:paraId="54988993" w14:textId="4FAF1F6E" w:rsidR="00940B47" w:rsidRPr="00EC02CA" w:rsidRDefault="009B1782" w:rsidP="002F0007">
      <w:pPr>
        <w:pStyle w:val="NormalNumberedTextTLRI"/>
      </w:pPr>
      <w:r w:rsidRPr="00EC02CA">
        <w:t>The a</w:t>
      </w:r>
      <w:r w:rsidR="00940B47" w:rsidRPr="00EC02CA">
        <w:t xml:space="preserve">vailable literature shows that interventions which adopt a </w:t>
      </w:r>
      <w:r w:rsidR="00AF1D84" w:rsidRPr="00EC02CA">
        <w:t>R</w:t>
      </w:r>
      <w:r w:rsidR="00940B47" w:rsidRPr="00EC02CA">
        <w:t>isk-</w:t>
      </w:r>
      <w:r w:rsidR="00AF1D84" w:rsidRPr="00EC02CA">
        <w:t>N</w:t>
      </w:r>
      <w:r w:rsidR="00940B47" w:rsidRPr="00EC02CA">
        <w:t>eed</w:t>
      </w:r>
      <w:r w:rsidR="00135672" w:rsidRPr="00EC02CA">
        <w:t>s</w:t>
      </w:r>
      <w:r w:rsidR="00940B47" w:rsidRPr="00EC02CA">
        <w:t>-</w:t>
      </w:r>
      <w:r w:rsidR="00AF1D84" w:rsidRPr="00EC02CA">
        <w:t>R</w:t>
      </w:r>
      <w:r w:rsidR="00940B47" w:rsidRPr="00EC02CA">
        <w:t xml:space="preserve">esponsivity (RNR) approach and use developmentally informed, family-based approaches </w:t>
      </w:r>
      <w:r w:rsidRPr="00EC02CA">
        <w:t>a</w:t>
      </w:r>
      <w:r w:rsidR="00940B47" w:rsidRPr="00EC02CA">
        <w:t>re the most effective for youths with harmful sexual behaviours.</w:t>
      </w:r>
      <w:bookmarkStart w:id="167" w:name="_Ref219130815"/>
      <w:r w:rsidR="00940B47" w:rsidRPr="00EC02CA">
        <w:rPr>
          <w:rStyle w:val="FootnoteReference"/>
        </w:rPr>
        <w:footnoteReference w:id="269"/>
      </w:r>
      <w:bookmarkEnd w:id="167"/>
      <w:r w:rsidR="00940B47" w:rsidRPr="00EC02CA">
        <w:t xml:space="preserve"> The RNR model</w:t>
      </w:r>
      <w:r w:rsidR="00194659" w:rsidRPr="00EC02CA">
        <w:t>,</w:t>
      </w:r>
      <w:r w:rsidR="00940B47" w:rsidRPr="00EC02CA">
        <w:t xml:space="preserve"> developed by Andrews and Bonta</w:t>
      </w:r>
      <w:r w:rsidR="00194659" w:rsidRPr="00EC02CA">
        <w:t>,</w:t>
      </w:r>
      <w:r w:rsidR="00940B47" w:rsidRPr="00EC02CA">
        <w:t xml:space="preserve"> is a framework used to guide the assessment and treatment of youth offenders</w:t>
      </w:r>
      <w:r w:rsidR="00940B47" w:rsidRPr="00EC02CA">
        <w:rPr>
          <w:rStyle w:val="FootnoteReference"/>
        </w:rPr>
        <w:footnoteReference w:id="270"/>
      </w:r>
      <w:r w:rsidR="00940B47" w:rsidRPr="00EC02CA">
        <w:t xml:space="preserve"> and is highly regarded as a theoretical framework for treating offenders. It aims to reduce recidivism by focussing on three key principles:</w:t>
      </w:r>
    </w:p>
    <w:p w14:paraId="7AE2BB25" w14:textId="0C55AD2F" w:rsidR="00940B47" w:rsidRPr="00EC02CA" w:rsidRDefault="00940B47" w:rsidP="00A920EC">
      <w:pPr>
        <w:pStyle w:val="DotPointTLRI"/>
      </w:pPr>
      <w:r w:rsidRPr="00EC02CA">
        <w:rPr>
          <w:b/>
          <w:bCs/>
        </w:rPr>
        <w:t>Risk</w:t>
      </w:r>
      <w:r w:rsidRPr="00EC02CA">
        <w:t>: This principle emphasises assessing the likely risk an individual poses to reoffend.  This model asserts that youth who are at higher risk should receive more intensive interventions, while lower-risk youth can benefit from less intensive strategies. In the context of offen</w:t>
      </w:r>
      <w:r w:rsidR="00976381" w:rsidRPr="00EC02CA">
        <w:t>ding</w:t>
      </w:r>
      <w:r w:rsidRPr="00EC02CA">
        <w:t xml:space="preserve">, how to categorise the </w:t>
      </w:r>
      <w:r w:rsidR="009B1782" w:rsidRPr="00EC02CA">
        <w:t>‘</w:t>
      </w:r>
      <w:r w:rsidRPr="00EC02CA">
        <w:t>seriousness’ of an offence remains a contentious issue</w:t>
      </w:r>
      <w:r w:rsidR="009B1782" w:rsidRPr="00EC02CA">
        <w:t>.</w:t>
      </w:r>
    </w:p>
    <w:p w14:paraId="6732661C" w14:textId="4DE19EF8" w:rsidR="00940B47" w:rsidRPr="00EC02CA" w:rsidRDefault="00940B47" w:rsidP="00A920EC">
      <w:pPr>
        <w:pStyle w:val="DotPointTLRI"/>
      </w:pPr>
      <w:r w:rsidRPr="00EC02CA">
        <w:rPr>
          <w:b/>
          <w:bCs/>
        </w:rPr>
        <w:t>Needs</w:t>
      </w:r>
      <w:r w:rsidRPr="00EC02CA">
        <w:t>: This involves identifying the specific criminogenic needs of the you</w:t>
      </w:r>
      <w:r w:rsidR="009B1782" w:rsidRPr="00EC02CA">
        <w:t>ng person</w:t>
      </w:r>
      <w:r w:rsidRPr="00EC02CA">
        <w:t>. Factors that contribute to the offending behaviour, such as substance abuse, peer influences, or family issues</w:t>
      </w:r>
      <w:r w:rsidR="009B1782" w:rsidRPr="00EC02CA">
        <w:t>,</w:t>
      </w:r>
      <w:r w:rsidRPr="00EC02CA">
        <w:t xml:space="preserve"> are examples of needs to be targeted through intervention. The RNR model suggests that addressing these needs through targeted interventions is crucial for effective rehabilitation.</w:t>
      </w:r>
    </w:p>
    <w:p w14:paraId="13844120" w14:textId="65B55D6D" w:rsidR="00940B47" w:rsidRPr="00EC02CA" w:rsidRDefault="00940B47" w:rsidP="00A920EC">
      <w:pPr>
        <w:pStyle w:val="DotPointTLRI"/>
      </w:pPr>
      <w:r w:rsidRPr="00EC02CA">
        <w:rPr>
          <w:b/>
          <w:bCs/>
        </w:rPr>
        <w:t>Responsivity</w:t>
      </w:r>
      <w:r w:rsidRPr="00EC02CA">
        <w:t>: Th</w:t>
      </w:r>
      <w:r w:rsidR="009B1782" w:rsidRPr="00EC02CA">
        <w:t>is</w:t>
      </w:r>
      <w:r w:rsidRPr="00EC02CA">
        <w:t xml:space="preserve"> final principle focusses on tailoring interventions to the individual’s learning style, strengths and circumstances. It recognises that effective treatment should be delivered in a way that is responsive to the you</w:t>
      </w:r>
      <w:r w:rsidR="009B1782" w:rsidRPr="00EC02CA">
        <w:t>ng person</w:t>
      </w:r>
      <w:r w:rsidRPr="00EC02CA">
        <w:t xml:space="preserve">'s unique needs, which can enhance engagement and outcomes. </w:t>
      </w:r>
    </w:p>
    <w:p w14:paraId="53C33341" w14:textId="70E2B9BD" w:rsidR="00940B47" w:rsidRPr="00EC02CA" w:rsidRDefault="00940B47" w:rsidP="002F0007">
      <w:pPr>
        <w:pStyle w:val="NormalNumberedTextTLRI"/>
      </w:pPr>
      <w:r w:rsidRPr="00EC02CA">
        <w:t>The RNR model asserts that</w:t>
      </w:r>
      <w:r w:rsidR="009B1782" w:rsidRPr="00EC02CA">
        <w:t>,</w:t>
      </w:r>
      <w:r w:rsidRPr="00EC02CA">
        <w:t xml:space="preserve"> </w:t>
      </w:r>
      <w:r w:rsidR="009B1782" w:rsidRPr="00EC02CA">
        <w:t xml:space="preserve">by </w:t>
      </w:r>
      <w:r w:rsidRPr="00EC02CA">
        <w:t>integrating these principles, it provide</w:t>
      </w:r>
      <w:r w:rsidR="009B1782" w:rsidRPr="00EC02CA">
        <w:t>s</w:t>
      </w:r>
      <w:r w:rsidRPr="00EC02CA">
        <w:t xml:space="preserve"> a structured approach to reducing recidivism among youth offenders, ultimately supporting their rehabilitation and reintegration into society. </w:t>
      </w:r>
    </w:p>
    <w:p w14:paraId="02921B29" w14:textId="1CBAE55F" w:rsidR="00940B47" w:rsidRPr="00EC02CA" w:rsidRDefault="00940B47" w:rsidP="002F0007">
      <w:pPr>
        <w:pStyle w:val="NormalNumberedTextTLRI"/>
      </w:pPr>
      <w:r w:rsidRPr="00EC02CA">
        <w:t>Aligned with th</w:t>
      </w:r>
      <w:r w:rsidR="009B1782" w:rsidRPr="00EC02CA">
        <w:t>is</w:t>
      </w:r>
      <w:r w:rsidRPr="00EC02CA">
        <w:t xml:space="preserve"> approach are the findings of a recent system</w:t>
      </w:r>
      <w:r w:rsidR="009B1782" w:rsidRPr="00EC02CA">
        <w:t>at</w:t>
      </w:r>
      <w:r w:rsidRPr="00EC02CA">
        <w:t>ic review, which found that interventions which incorporated family involvement alongside youth-specific approaches emerged as the most effective overall in achieving long-term positive behavioural change.</w:t>
      </w:r>
      <w:r w:rsidR="00F30012" w:rsidRPr="00EC02CA">
        <w:rPr>
          <w:rStyle w:val="FootnoteReference"/>
        </w:rPr>
        <w:footnoteReference w:id="271"/>
      </w:r>
      <w:r w:rsidRPr="00EC02CA">
        <w:t xml:space="preserve"> As discussed, this underscores the critical role of parental/familial/caregiver engagement in facilitating positive behavioural change in youths exhibiting harmful sexual behaviours. The research suggests that understanding the needs of the youth and accommodating treatments in a holistic responsive manner will provide better outcomes, rather than working with them from </w:t>
      </w:r>
      <w:r w:rsidR="00F30012" w:rsidRPr="00EC02CA">
        <w:t>the</w:t>
      </w:r>
      <w:r w:rsidRPr="00EC02CA">
        <w:t xml:space="preserve"> narrow perspective </w:t>
      </w:r>
      <w:r w:rsidR="00F30012" w:rsidRPr="00EC02CA">
        <w:t xml:space="preserve">of </w:t>
      </w:r>
      <w:r w:rsidRPr="00EC02CA">
        <w:t>simply focus</w:t>
      </w:r>
      <w:r w:rsidR="00B34CEB" w:rsidRPr="00EC02CA">
        <w:t>s</w:t>
      </w:r>
      <w:r w:rsidRPr="00EC02CA">
        <w:t>ing on the harmful sexual behaviour in isolation. The most effective treatment responses are reportedly multi-systemic therapy or those that also incorporate situational components, such as the Griffith Youth Forensic Service response in Queensland.</w:t>
      </w:r>
      <w:r w:rsidRPr="00EC02CA">
        <w:rPr>
          <w:rStyle w:val="FootnoteReference"/>
        </w:rPr>
        <w:footnoteReference w:id="272"/>
      </w:r>
      <w:r w:rsidRPr="00EC02CA">
        <w:t xml:space="preserve"> These responses engage a young person and their family in the therapeutic process and may include consideration of the broader situational context that enabled a young person’s sexual offending</w:t>
      </w:r>
      <w:r w:rsidR="00F30012" w:rsidRPr="00EC02CA">
        <w:t>. This supports</w:t>
      </w:r>
      <w:r w:rsidRPr="00EC02CA">
        <w:t xml:space="preserve"> a flexible and personalised approach to treatment, addressing the individual needs of young people who have committed sexual offences.</w:t>
      </w:r>
    </w:p>
    <w:p w14:paraId="437BE6C4" w14:textId="52A5726E" w:rsidR="00940B47" w:rsidRPr="00EC02CA" w:rsidRDefault="00940B47" w:rsidP="002F0007">
      <w:pPr>
        <w:pStyle w:val="NormalNumberedTextTLRI"/>
      </w:pPr>
      <w:r w:rsidRPr="00EC02CA">
        <w:t>This review also found that interventions that incorporated both Problematic Sexual Behaviour-Cognitive Behavioural Therapy (PSB-CBT), Multi-Systemic Therapy (MST), relapse prevention and psycho-education for both youths and their families appeared to be the most effective overall. According to Blackley and Bartels</w:t>
      </w:r>
      <w:r w:rsidRPr="00EC02CA">
        <w:fldChar w:fldCharType="begin"/>
      </w:r>
      <w:r w:rsidRPr="00EC02CA">
        <w:instrText xml:space="preserve"> ADDIN EN.CITE &lt;EndNote&gt;&lt;Cite&gt;&lt;Author&gt;Blackley&lt;/Author&gt;&lt;Year&gt;2018&lt;/Year&gt;&lt;RecNum&gt;667&lt;/RecNum&gt;&lt;record&gt;&lt;rec-number&gt;667&lt;/rec-number&gt;&lt;foreign-keys&gt;&lt;key app="EN" db-id="92twpawtxsdzaae5zwevdsw799fderxv2d52" timestamp="1689652140" guid="8733d135-35b7-4f3f-80e4-3d91d3847d41"&gt;667&lt;/key&gt;&lt;/foreign-keys&gt;&lt;ref-type name="Journal Article"&gt;17&lt;/ref-type&gt;&lt;contributors&gt;&lt;authors&gt;&lt;author&gt;Blackley, Riddhi&lt;/author&gt;&lt;author&gt;Bartels, Lorana&lt;/author&gt;&lt;/authors&gt;&lt;/contributors&gt;&lt;titles&gt;&lt;title&gt;Sentencing and treatment of juvenile sex offenders in Australia&lt;/title&gt;&lt;secondary-title&gt;Trends and Issues in Crime and Criminal Justice&lt;/secondary-title&gt;&lt;/titles&gt;&lt;periodical&gt;&lt;full-title&gt;Trends and Issues in Crime and Criminal Justice&lt;/full-title&gt;&lt;/periodical&gt;&lt;pages&gt;1-15&lt;/pages&gt;&lt;number&gt;555&lt;/number&gt;&lt;dates&gt;&lt;year&gt;2018&lt;/year&gt;&lt;/dates&gt;&lt;urls&gt;&lt;/urls&gt;&lt;/record&gt;&lt;/Cite&gt;&lt;/EndNote&gt;</w:instrText>
      </w:r>
      <w:r w:rsidRPr="00EC02CA">
        <w:fldChar w:fldCharType="separate"/>
      </w:r>
      <w:r w:rsidRPr="00EC02CA">
        <w:fldChar w:fldCharType="end"/>
      </w:r>
      <w:r w:rsidRPr="00EC02CA">
        <w:t>, the most effective therapeutic treatment for young people who commit sexual offences is MST.</w:t>
      </w:r>
      <w:r w:rsidRPr="00EC02CA">
        <w:rPr>
          <w:vertAlign w:val="superscript"/>
        </w:rPr>
        <w:footnoteReference w:id="273"/>
      </w:r>
      <w:r w:rsidRPr="00EC02CA">
        <w:t xml:space="preserve"> These approaches are summarised in Table </w:t>
      </w:r>
      <w:r w:rsidR="00F25C65" w:rsidRPr="00EC02CA">
        <w:t>3</w:t>
      </w:r>
      <w:r w:rsidRPr="00EC02CA">
        <w:t>.</w:t>
      </w:r>
      <w:r w:rsidR="009E520F" w:rsidRPr="00EC02CA">
        <w:t>2</w:t>
      </w:r>
      <w:r w:rsidRPr="00EC02CA">
        <w:t>.</w:t>
      </w:r>
      <w:r w:rsidRPr="00EC02CA">
        <w:rPr>
          <w:rStyle w:val="FootnoteReference"/>
        </w:rPr>
        <w:footnoteReference w:id="274"/>
      </w:r>
    </w:p>
    <w:p w14:paraId="0350C1F3" w14:textId="26CAD2B4" w:rsidR="00940B47" w:rsidRPr="00EC02CA" w:rsidRDefault="00940B47" w:rsidP="00A920EC">
      <w:r w:rsidRPr="00EC02CA">
        <w:rPr>
          <w:b/>
          <w:bCs/>
        </w:rPr>
        <w:t xml:space="preserve">Table </w:t>
      </w:r>
      <w:r w:rsidR="00F25C65" w:rsidRPr="00EC02CA">
        <w:rPr>
          <w:b/>
          <w:bCs/>
        </w:rPr>
        <w:t>3</w:t>
      </w:r>
      <w:r w:rsidRPr="00EC02CA">
        <w:rPr>
          <w:b/>
          <w:bCs/>
        </w:rPr>
        <w:t>.</w:t>
      </w:r>
      <w:r w:rsidR="0034412E" w:rsidRPr="00EC02CA">
        <w:rPr>
          <w:b/>
          <w:bCs/>
        </w:rPr>
        <w:t>2</w:t>
      </w:r>
      <w:r w:rsidRPr="00EC02CA">
        <w:t xml:space="preserve"> Existing treatment approaches for addressing harmful sexual behaviour in youths</w:t>
      </w:r>
    </w:p>
    <w:tbl>
      <w:tblPr>
        <w:tblStyle w:val="TableGrid"/>
        <w:tblW w:w="0" w:type="auto"/>
        <w:tblInd w:w="-5" w:type="dxa"/>
        <w:tblLook w:val="04A0" w:firstRow="1" w:lastRow="0" w:firstColumn="1" w:lastColumn="0" w:noHBand="0" w:noVBand="1"/>
      </w:tblPr>
      <w:tblGrid>
        <w:gridCol w:w="3119"/>
        <w:gridCol w:w="5902"/>
      </w:tblGrid>
      <w:tr w:rsidR="00940B47" w:rsidRPr="00EC02CA" w14:paraId="340D8008" w14:textId="77777777" w:rsidTr="00A920EC">
        <w:tc>
          <w:tcPr>
            <w:tcW w:w="3119" w:type="dxa"/>
          </w:tcPr>
          <w:p w14:paraId="4C2D4B76" w14:textId="4E02100B" w:rsidR="00940B47" w:rsidRPr="00EC02CA" w:rsidRDefault="0098176F" w:rsidP="00A920EC">
            <w:pPr>
              <w:spacing w:before="60" w:after="60"/>
              <w:jc w:val="left"/>
              <w:rPr>
                <w:b/>
                <w:bCs/>
                <w:sz w:val="20"/>
              </w:rPr>
            </w:pPr>
            <w:r w:rsidRPr="00EC02CA">
              <w:rPr>
                <w:b/>
                <w:bCs/>
                <w:sz w:val="20"/>
                <w:szCs w:val="20"/>
              </w:rPr>
              <w:t>Treatment approach</w:t>
            </w:r>
          </w:p>
        </w:tc>
        <w:tc>
          <w:tcPr>
            <w:tcW w:w="5902" w:type="dxa"/>
          </w:tcPr>
          <w:p w14:paraId="00B4D2F4" w14:textId="77777777" w:rsidR="00940B47" w:rsidRPr="00EC02CA" w:rsidRDefault="00940B47" w:rsidP="00A920EC">
            <w:pPr>
              <w:spacing w:before="60" w:after="60"/>
              <w:jc w:val="left"/>
              <w:rPr>
                <w:b/>
                <w:bCs/>
                <w:sz w:val="20"/>
              </w:rPr>
            </w:pPr>
            <w:r w:rsidRPr="00EC02CA">
              <w:rPr>
                <w:b/>
                <w:bCs/>
                <w:sz w:val="20"/>
                <w:szCs w:val="20"/>
              </w:rPr>
              <w:t>Details</w:t>
            </w:r>
          </w:p>
        </w:tc>
      </w:tr>
      <w:tr w:rsidR="00940B47" w:rsidRPr="00EC02CA" w14:paraId="47D2138E" w14:textId="77777777" w:rsidTr="00A920EC">
        <w:tc>
          <w:tcPr>
            <w:tcW w:w="3119" w:type="dxa"/>
          </w:tcPr>
          <w:p w14:paraId="04F57EE3" w14:textId="77777777" w:rsidR="00940B47" w:rsidRPr="00EC02CA" w:rsidRDefault="00940B47" w:rsidP="00A920EC">
            <w:pPr>
              <w:spacing w:before="60" w:after="60"/>
              <w:jc w:val="left"/>
              <w:rPr>
                <w:sz w:val="20"/>
              </w:rPr>
            </w:pPr>
            <w:r w:rsidRPr="00EC02CA">
              <w:rPr>
                <w:sz w:val="20"/>
                <w:szCs w:val="20"/>
              </w:rPr>
              <w:t>Multi-Systemic Therapy (MST)</w:t>
            </w:r>
          </w:p>
        </w:tc>
        <w:tc>
          <w:tcPr>
            <w:tcW w:w="5902" w:type="dxa"/>
          </w:tcPr>
          <w:p w14:paraId="5911907C" w14:textId="77777777" w:rsidR="00940B47" w:rsidRPr="00EC02CA" w:rsidRDefault="00940B47" w:rsidP="00A920EC">
            <w:pPr>
              <w:spacing w:before="60" w:after="60"/>
              <w:jc w:val="left"/>
              <w:rPr>
                <w:sz w:val="20"/>
              </w:rPr>
            </w:pPr>
            <w:r w:rsidRPr="00EC02CA">
              <w:rPr>
                <w:sz w:val="20"/>
                <w:szCs w:val="20"/>
              </w:rPr>
              <w:t xml:space="preserve">A multi-modal evidence-based technique that involves short-term community and home-based intervention for youths with social emotional and behavioural problems. </w:t>
            </w:r>
          </w:p>
          <w:p w14:paraId="11E0C838" w14:textId="77777777" w:rsidR="00940B47" w:rsidRPr="00EC02CA" w:rsidRDefault="00940B47" w:rsidP="00A920EC">
            <w:pPr>
              <w:spacing w:before="60" w:after="60"/>
              <w:jc w:val="left"/>
              <w:rPr>
                <w:sz w:val="20"/>
              </w:rPr>
            </w:pPr>
            <w:r w:rsidRPr="00EC02CA">
              <w:rPr>
                <w:sz w:val="20"/>
                <w:szCs w:val="20"/>
              </w:rPr>
              <w:t>MST is widely recognised as one of the few evidence-based techniques for youth offenders as it addresses criminogenic risk factors, such as individual, peer and neighbour influences.</w:t>
            </w:r>
          </w:p>
          <w:p w14:paraId="776DBBFF" w14:textId="77777777" w:rsidR="00940B47" w:rsidRPr="00EC02CA" w:rsidRDefault="00940B47" w:rsidP="00A920EC">
            <w:pPr>
              <w:spacing w:before="60" w:after="60"/>
              <w:jc w:val="left"/>
              <w:rPr>
                <w:sz w:val="20"/>
              </w:rPr>
            </w:pPr>
            <w:r w:rsidRPr="00EC02CA">
              <w:rPr>
                <w:sz w:val="20"/>
                <w:szCs w:val="20"/>
              </w:rPr>
              <w:t>MST interventions are concentrated on improving family functioning on the basis that by improving family functioning, the relationships between the youth and their peers, school and community will also improve.</w:t>
            </w:r>
          </w:p>
        </w:tc>
      </w:tr>
      <w:tr w:rsidR="00940B47" w:rsidRPr="00EC02CA" w14:paraId="7896E936" w14:textId="77777777" w:rsidTr="00A920EC">
        <w:tc>
          <w:tcPr>
            <w:tcW w:w="3119" w:type="dxa"/>
          </w:tcPr>
          <w:p w14:paraId="61451A68" w14:textId="681CD7EC" w:rsidR="00940B47" w:rsidRPr="00EC02CA" w:rsidRDefault="00940B47" w:rsidP="00A920EC">
            <w:pPr>
              <w:spacing w:before="60" w:after="60"/>
              <w:jc w:val="left"/>
              <w:rPr>
                <w:sz w:val="20"/>
              </w:rPr>
            </w:pPr>
            <w:r w:rsidRPr="00EC02CA">
              <w:rPr>
                <w:sz w:val="20"/>
                <w:szCs w:val="20"/>
              </w:rPr>
              <w:t>Problematic Sexual Behaviour</w:t>
            </w:r>
            <w:r w:rsidR="00463687" w:rsidRPr="00EC02CA">
              <w:rPr>
                <w:sz w:val="20"/>
                <w:szCs w:val="20"/>
              </w:rPr>
              <w:t>-</w:t>
            </w:r>
            <w:r w:rsidRPr="00EC02CA">
              <w:rPr>
                <w:sz w:val="20"/>
                <w:szCs w:val="20"/>
              </w:rPr>
              <w:t>Cognitive Behavioural Therapy (PSB</w:t>
            </w:r>
            <w:r w:rsidR="00463687" w:rsidRPr="00EC02CA">
              <w:rPr>
                <w:sz w:val="20"/>
                <w:szCs w:val="20"/>
              </w:rPr>
              <w:t>-</w:t>
            </w:r>
            <w:r w:rsidRPr="00EC02CA">
              <w:rPr>
                <w:sz w:val="20"/>
                <w:szCs w:val="20"/>
              </w:rPr>
              <w:t>CBT)</w:t>
            </w:r>
          </w:p>
        </w:tc>
        <w:tc>
          <w:tcPr>
            <w:tcW w:w="5902" w:type="dxa"/>
          </w:tcPr>
          <w:p w14:paraId="3312F03B" w14:textId="6FF2A19C" w:rsidR="00940B47" w:rsidRPr="00EC02CA" w:rsidRDefault="00940B47" w:rsidP="00A920EC">
            <w:pPr>
              <w:spacing w:before="60" w:after="60"/>
              <w:jc w:val="left"/>
              <w:rPr>
                <w:sz w:val="20"/>
              </w:rPr>
            </w:pPr>
            <w:r w:rsidRPr="00EC02CA">
              <w:rPr>
                <w:sz w:val="20"/>
                <w:szCs w:val="20"/>
              </w:rPr>
              <w:t xml:space="preserve">Cognitive Behavioural Therapy </w:t>
            </w:r>
            <w:r w:rsidR="00DF3CBA" w:rsidRPr="00EC02CA">
              <w:rPr>
                <w:sz w:val="20"/>
                <w:szCs w:val="20"/>
              </w:rPr>
              <w:t xml:space="preserve">(CBT) </w:t>
            </w:r>
            <w:r w:rsidRPr="00EC02CA">
              <w:rPr>
                <w:sz w:val="20"/>
                <w:szCs w:val="20"/>
              </w:rPr>
              <w:t>approaches address both cognitive factors which influence offending behaviours, such as unhelpful thinking styles and beliefs and behavioural factors such as problematic sexual behaviours.</w:t>
            </w:r>
          </w:p>
        </w:tc>
      </w:tr>
      <w:tr w:rsidR="00940B47" w:rsidRPr="00EC02CA" w14:paraId="63698775" w14:textId="77777777" w:rsidTr="00A920EC">
        <w:tc>
          <w:tcPr>
            <w:tcW w:w="3119" w:type="dxa"/>
          </w:tcPr>
          <w:p w14:paraId="507DBE64" w14:textId="77777777" w:rsidR="00940B47" w:rsidRPr="00EC02CA" w:rsidRDefault="00940B47" w:rsidP="00A920EC">
            <w:pPr>
              <w:spacing w:before="60" w:after="60"/>
              <w:jc w:val="left"/>
              <w:rPr>
                <w:sz w:val="20"/>
              </w:rPr>
            </w:pPr>
            <w:r w:rsidRPr="00EC02CA">
              <w:rPr>
                <w:sz w:val="20"/>
                <w:szCs w:val="20"/>
              </w:rPr>
              <w:t>Forward-Focused Model (FFM)</w:t>
            </w:r>
          </w:p>
        </w:tc>
        <w:tc>
          <w:tcPr>
            <w:tcW w:w="5902" w:type="dxa"/>
          </w:tcPr>
          <w:p w14:paraId="02FDF340" w14:textId="172AB7D3" w:rsidR="00940B47" w:rsidRPr="00EC02CA" w:rsidRDefault="00940B47" w:rsidP="00A920EC">
            <w:pPr>
              <w:spacing w:before="60" w:after="60"/>
              <w:jc w:val="left"/>
              <w:rPr>
                <w:sz w:val="20"/>
              </w:rPr>
            </w:pPr>
            <w:r w:rsidRPr="00EC02CA">
              <w:rPr>
                <w:sz w:val="20"/>
                <w:szCs w:val="20"/>
              </w:rPr>
              <w:t xml:space="preserve">The </w:t>
            </w:r>
            <w:r w:rsidR="00DF3CBA" w:rsidRPr="00EC02CA">
              <w:rPr>
                <w:sz w:val="20"/>
                <w:szCs w:val="20"/>
              </w:rPr>
              <w:t>Forward-Focused Model (</w:t>
            </w:r>
            <w:r w:rsidRPr="00EC02CA">
              <w:rPr>
                <w:sz w:val="20"/>
                <w:szCs w:val="20"/>
              </w:rPr>
              <w:t>FFM</w:t>
            </w:r>
            <w:r w:rsidR="00DF3CBA" w:rsidRPr="00EC02CA">
              <w:rPr>
                <w:sz w:val="20"/>
                <w:szCs w:val="20"/>
              </w:rPr>
              <w:t>)</w:t>
            </w:r>
            <w:r w:rsidRPr="00EC02CA">
              <w:rPr>
                <w:sz w:val="20"/>
                <w:szCs w:val="20"/>
              </w:rPr>
              <w:t xml:space="preserve"> incorporates both CBT techniques and Motivational Interviewing (MI) strategies. The FFM emphasises the role of brain development on offending behaviours and the significance of parental involvement in positive outcomes for youths.</w:t>
            </w:r>
          </w:p>
        </w:tc>
      </w:tr>
    </w:tbl>
    <w:p w14:paraId="627E8FF6" w14:textId="4DD56BD0" w:rsidR="00940B47" w:rsidRPr="00EC02CA" w:rsidRDefault="00940B47" w:rsidP="002F0007">
      <w:pPr>
        <w:pStyle w:val="NormalNumberedTextTLRI"/>
      </w:pPr>
      <w:r w:rsidRPr="00EC02CA">
        <w:t xml:space="preserve">As noted, while research suggests appropriate interventions </w:t>
      </w:r>
      <w:r w:rsidR="00315B30" w:rsidRPr="00EC02CA">
        <w:t xml:space="preserve">may </w:t>
      </w:r>
      <w:r w:rsidRPr="00EC02CA">
        <w:t xml:space="preserve">reduce recidivism, concerns have been raised about the treatments provided to young people </w:t>
      </w:r>
      <w:r w:rsidR="009E7251" w:rsidRPr="00EC02CA">
        <w:t xml:space="preserve">who engage in </w:t>
      </w:r>
      <w:r w:rsidRPr="00EC02CA">
        <w:t xml:space="preserve">harmful sexual behaviour. This is discussed further in Appendix </w:t>
      </w:r>
      <w:r w:rsidR="008620C2" w:rsidRPr="00EC02CA">
        <w:t>F</w:t>
      </w:r>
      <w:r w:rsidRPr="00EC02CA">
        <w:t xml:space="preserve">. It is estimated that </w:t>
      </w:r>
      <w:r w:rsidR="009E7251" w:rsidRPr="00EC02CA">
        <w:t xml:space="preserve">only </w:t>
      </w:r>
      <w:r w:rsidRPr="00EC02CA">
        <w:t xml:space="preserve">approximately five percent of youth sexual offenders receive evidence-based treatment, and little is known about </w:t>
      </w:r>
      <w:r w:rsidR="009E7251" w:rsidRPr="00EC02CA">
        <w:t xml:space="preserve">the </w:t>
      </w:r>
      <w:r w:rsidRPr="00EC02CA">
        <w:t xml:space="preserve">proportion of </w:t>
      </w:r>
      <w:r w:rsidR="009E7251" w:rsidRPr="00EC02CA">
        <w:t xml:space="preserve">online </w:t>
      </w:r>
      <w:r w:rsidRPr="00EC02CA">
        <w:t>offenders receive evidence-based treatment.</w:t>
      </w:r>
      <w:r w:rsidRPr="00EC02CA">
        <w:rPr>
          <w:rStyle w:val="FootnoteReference"/>
        </w:rPr>
        <w:footnoteReference w:id="275"/>
      </w:r>
      <w:r w:rsidRPr="00EC02CA">
        <w:t xml:space="preserve"> However, as awareness of the issue of harmful sexual behaviour engaged </w:t>
      </w:r>
      <w:r w:rsidR="009E7251" w:rsidRPr="00EC02CA">
        <w:t xml:space="preserve">in </w:t>
      </w:r>
      <w:r w:rsidRPr="00EC02CA">
        <w:t>by young people has grown, so too has awareness of the need to develop effective interventions for this unique cohort.</w:t>
      </w:r>
      <w:r w:rsidRPr="00EC02CA">
        <w:rPr>
          <w:rStyle w:val="FootnoteReference"/>
        </w:rPr>
        <w:footnoteReference w:id="276"/>
      </w:r>
      <w:r w:rsidRPr="00EC02CA">
        <w:t xml:space="preserve"> </w:t>
      </w:r>
    </w:p>
    <w:p w14:paraId="2C65B5E6" w14:textId="1B339D81" w:rsidR="00940B47" w:rsidRPr="00EC02CA" w:rsidRDefault="00940B47" w:rsidP="002F0007">
      <w:pPr>
        <w:pStyle w:val="NormalNumberedTextTLRI"/>
      </w:pPr>
      <w:r w:rsidRPr="00EC02CA">
        <w:t xml:space="preserve">In Tasmania, the primary program providing therapeutic intervention is the Prevention Assessment Support Treatment (PAST) program. This commenced in April 2021 and was operated by the Sexual Assault Support Service (SASS). Since January 2023, the program has been provided in partnership with Laurel House to increase </w:t>
      </w:r>
      <w:r w:rsidR="00793CEF" w:rsidRPr="00EC02CA">
        <w:t>its capacity</w:t>
      </w:r>
      <w:r w:rsidRPr="00EC02CA">
        <w:t xml:space="preserve"> to offer services for the North and North West regions of Tasmania.</w:t>
      </w:r>
      <w:r w:rsidRPr="00EC02CA">
        <w:rPr>
          <w:rStyle w:val="FootnoteReference"/>
        </w:rPr>
        <w:footnoteReference w:id="277"/>
      </w:r>
      <w:r w:rsidRPr="00EC02CA">
        <w:t xml:space="preserve"> It operates in a collaborative partnership with Mission Australia, which offers case management.</w:t>
      </w:r>
      <w:r w:rsidRPr="00EC02CA">
        <w:rPr>
          <w:rStyle w:val="FootnoteReference"/>
        </w:rPr>
        <w:footnoteReference w:id="278"/>
      </w:r>
      <w:r w:rsidR="00793CEF" w:rsidRPr="00EC02CA">
        <w:t xml:space="preserve"> </w:t>
      </w:r>
      <w:r w:rsidRPr="00EC02CA">
        <w:t>The program provides ‘therapeutic intervention for children and young people engaged in harmful sexual behaviour (HSB) plus [early education and intervention]</w:t>
      </w:r>
      <w:r w:rsidR="00793CEF" w:rsidRPr="00EC02CA">
        <w:t>,</w:t>
      </w:r>
      <w:r w:rsidRPr="00EC02CA">
        <w:t xml:space="preserve"> HSB prevention and response training’.</w:t>
      </w:r>
      <w:r w:rsidRPr="00EC02CA">
        <w:rPr>
          <w:rStyle w:val="FootnoteReference"/>
        </w:rPr>
        <w:footnoteReference w:id="279"/>
      </w:r>
      <w:r w:rsidRPr="00EC02CA">
        <w:t xml:space="preserve"> Its scope </w:t>
      </w:r>
      <w:r w:rsidR="00793CEF" w:rsidRPr="00EC02CA">
        <w:t>i</w:t>
      </w:r>
      <w:r w:rsidRPr="00EC02CA">
        <w:t>s ‘aimed to include young people in the youth justice system, including those displaying violent or aggressive behaviours and those listed on the sex offender register, or in detention’.</w:t>
      </w:r>
      <w:r w:rsidRPr="00EC02CA">
        <w:rPr>
          <w:rStyle w:val="FootnoteReference"/>
        </w:rPr>
        <w:footnoteReference w:id="280"/>
      </w:r>
      <w:r w:rsidRPr="00EC02CA">
        <w:t xml:space="preserve">  Research that has considered referral sources into the PAST program has found that:</w:t>
      </w:r>
    </w:p>
    <w:p w14:paraId="54FFF0C0" w14:textId="77777777" w:rsidR="00940B47" w:rsidRPr="00EC02CA" w:rsidRDefault="00940B47" w:rsidP="00940B47">
      <w:pPr>
        <w:pStyle w:val="DotPointTLRI"/>
      </w:pPr>
      <w:r w:rsidRPr="00EC02CA">
        <w:t>25% came from families</w:t>
      </w:r>
    </w:p>
    <w:p w14:paraId="79C3D86D" w14:textId="77777777" w:rsidR="00940B47" w:rsidRPr="00EC02CA" w:rsidRDefault="00940B47" w:rsidP="00940B47">
      <w:pPr>
        <w:pStyle w:val="DotPointTLRI"/>
      </w:pPr>
      <w:r w:rsidRPr="00EC02CA">
        <w:t>24% came from education sites</w:t>
      </w:r>
    </w:p>
    <w:p w14:paraId="6952D644" w14:textId="1CB3F923" w:rsidR="00940B47" w:rsidRPr="00EC02CA" w:rsidRDefault="00940B47" w:rsidP="00940B47">
      <w:pPr>
        <w:pStyle w:val="DotPointTLRI"/>
      </w:pPr>
      <w:r w:rsidRPr="00EC02CA">
        <w:t xml:space="preserve">21% </w:t>
      </w:r>
      <w:r w:rsidR="00CA72FD" w:rsidRPr="00EC02CA">
        <w:t xml:space="preserve">came </w:t>
      </w:r>
      <w:r w:rsidRPr="00EC02CA">
        <w:t xml:space="preserve">from non-government organisations </w:t>
      </w:r>
    </w:p>
    <w:p w14:paraId="29F2D488" w14:textId="075DD193" w:rsidR="00940B47" w:rsidRPr="00EC02CA" w:rsidRDefault="00940B47" w:rsidP="00940B47">
      <w:pPr>
        <w:pStyle w:val="DotPointTLRI"/>
      </w:pPr>
      <w:r w:rsidRPr="00EC02CA">
        <w:t xml:space="preserve">18.5% </w:t>
      </w:r>
      <w:r w:rsidR="003F00EF" w:rsidRPr="00EC02CA">
        <w:t xml:space="preserve">came </w:t>
      </w:r>
      <w:r w:rsidRPr="00EC02CA">
        <w:t>from Child Safety Services</w:t>
      </w:r>
    </w:p>
    <w:p w14:paraId="63D03979" w14:textId="28923C53" w:rsidR="00940B47" w:rsidRPr="00EC02CA" w:rsidRDefault="00940B47" w:rsidP="00940B47">
      <w:pPr>
        <w:pStyle w:val="DotPointTLRI"/>
      </w:pPr>
      <w:r w:rsidRPr="00EC02CA">
        <w:t xml:space="preserve">8% </w:t>
      </w:r>
      <w:r w:rsidR="003F00EF" w:rsidRPr="00EC02CA">
        <w:t xml:space="preserve">came from </w:t>
      </w:r>
      <w:r w:rsidRPr="00EC02CA">
        <w:t>health</w:t>
      </w:r>
    </w:p>
    <w:p w14:paraId="4639CF84" w14:textId="1B6AC3BF" w:rsidR="00940B47" w:rsidRPr="00EC02CA" w:rsidRDefault="00940B47" w:rsidP="00940B47">
      <w:pPr>
        <w:pStyle w:val="DotPointTLRI"/>
      </w:pPr>
      <w:r w:rsidRPr="00EC02CA">
        <w:t xml:space="preserve">3% </w:t>
      </w:r>
      <w:r w:rsidR="003F00EF" w:rsidRPr="00EC02CA">
        <w:t xml:space="preserve">came from </w:t>
      </w:r>
      <w:r w:rsidRPr="00EC02CA">
        <w:t>police and youth justice systems.</w:t>
      </w:r>
    </w:p>
    <w:p w14:paraId="32DADEC2" w14:textId="3EB5E1F8" w:rsidR="00940B47" w:rsidRPr="00EC02CA" w:rsidRDefault="00940B47" w:rsidP="00A920EC">
      <w:pPr>
        <w:pStyle w:val="NormalNumberedTextTLRI"/>
      </w:pPr>
      <w:r w:rsidRPr="00EC02CA">
        <w:t xml:space="preserve">It was noted that there </w:t>
      </w:r>
      <w:r w:rsidR="00793CEF" w:rsidRPr="00EC02CA">
        <w:t xml:space="preserve">were </w:t>
      </w:r>
      <w:r w:rsidRPr="00EC02CA">
        <w:t>no statutory (court-ordered) referrals.</w:t>
      </w:r>
      <w:r w:rsidRPr="00EC02CA">
        <w:rPr>
          <w:rStyle w:val="FootnoteReference"/>
        </w:rPr>
        <w:footnoteReference w:id="281"/>
      </w:r>
    </w:p>
    <w:p w14:paraId="085E5537" w14:textId="262E201A" w:rsidR="00054AFC" w:rsidRPr="00EC02CA" w:rsidRDefault="008C1983" w:rsidP="00A920EC">
      <w:pPr>
        <w:pStyle w:val="TLRISubheading"/>
      </w:pPr>
      <w:bookmarkStart w:id="168" w:name="_Toc211849383"/>
      <w:bookmarkStart w:id="169" w:name="_Toc218157279"/>
      <w:r w:rsidRPr="00EC02CA">
        <w:t>TLRI interview</w:t>
      </w:r>
      <w:bookmarkEnd w:id="168"/>
      <w:r w:rsidR="003E337B" w:rsidRPr="00EC02CA">
        <w:t>ees’ views</w:t>
      </w:r>
      <w:bookmarkEnd w:id="169"/>
      <w:r w:rsidR="00AE13D1" w:rsidRPr="00EC02CA">
        <w:t xml:space="preserve"> </w:t>
      </w:r>
    </w:p>
    <w:p w14:paraId="75331DFA" w14:textId="7EFB3245" w:rsidR="00940B47" w:rsidRPr="00EC02CA" w:rsidRDefault="00940B47" w:rsidP="002F0007">
      <w:pPr>
        <w:pStyle w:val="NormalNumberedTextTLRI"/>
      </w:pPr>
      <w:r w:rsidRPr="00EC02CA">
        <w:t xml:space="preserve">The </w:t>
      </w:r>
      <w:r w:rsidR="004B3D70" w:rsidRPr="00EC02CA">
        <w:t>y</w:t>
      </w:r>
      <w:r w:rsidRPr="00EC02CA">
        <w:t xml:space="preserve">outh </w:t>
      </w:r>
      <w:r w:rsidR="004B3D70" w:rsidRPr="00EC02CA">
        <w:t>j</w:t>
      </w:r>
      <w:r w:rsidRPr="00EC02CA">
        <w:t xml:space="preserve">ustice </w:t>
      </w:r>
      <w:r w:rsidR="004B3D70" w:rsidRPr="00EC02CA">
        <w:t>s</w:t>
      </w:r>
      <w:r w:rsidRPr="00EC02CA">
        <w:t xml:space="preserve">ystem and youth support sector both work to prevent (secondary/tertiary), manage and respond to young people who engage in sexually harmful/offending behaviour. Their role in response to sexual offending </w:t>
      </w:r>
      <w:r w:rsidR="00983182" w:rsidRPr="00EC02CA">
        <w:t xml:space="preserve">by young people </w:t>
      </w:r>
      <w:r w:rsidRPr="00EC02CA">
        <w:t xml:space="preserve">was discussed in 13 interviews. </w:t>
      </w:r>
      <w:r w:rsidR="002861E3" w:rsidRPr="00EC02CA">
        <w:t>While t</w:t>
      </w:r>
      <w:r w:rsidRPr="00EC02CA">
        <w:t xml:space="preserve">he extent of discussion was quite limited, </w:t>
      </w:r>
      <w:r w:rsidR="002861E3" w:rsidRPr="00EC02CA">
        <w:t>it was recognised by some interviewees that</w:t>
      </w:r>
      <w:r w:rsidR="00624EC1" w:rsidRPr="00EC02CA">
        <w:t xml:space="preserve"> </w:t>
      </w:r>
      <w:r w:rsidR="002861E3" w:rsidRPr="00EC02CA">
        <w:t>t</w:t>
      </w:r>
      <w:r w:rsidRPr="00EC02CA">
        <w:t xml:space="preserve">he youth support sector </w:t>
      </w:r>
      <w:r w:rsidR="002861E3" w:rsidRPr="00EC02CA">
        <w:t>provides</w:t>
      </w:r>
      <w:r w:rsidRPr="00EC02CA">
        <w:t xml:space="preserve"> therapeutic support and intervention for young people affected by sexual offending, both as victims and </w:t>
      </w:r>
      <w:r w:rsidR="009D3821" w:rsidRPr="00EC02CA">
        <w:t>offenders</w:t>
      </w:r>
      <w:r w:rsidR="00C76157" w:rsidRPr="00EC02CA">
        <w:t>.</w:t>
      </w:r>
      <w:r w:rsidR="00C76157" w:rsidRPr="00EC02CA">
        <w:rPr>
          <w:rStyle w:val="FootnoteReference"/>
        </w:rPr>
        <w:footnoteReference w:id="282"/>
      </w:r>
    </w:p>
    <w:p w14:paraId="451202F2" w14:textId="796FC109" w:rsidR="00940B47" w:rsidRPr="00EC02CA" w:rsidRDefault="00076175" w:rsidP="002F0007">
      <w:pPr>
        <w:pStyle w:val="NormalNumberedTextTLRI"/>
      </w:pPr>
      <w:r w:rsidRPr="00EC02CA">
        <w:t>In the experience of interviewees, r</w:t>
      </w:r>
      <w:r w:rsidR="00940B47" w:rsidRPr="00EC02CA">
        <w:t xml:space="preserve">eferrals </w:t>
      </w:r>
      <w:r w:rsidR="0043597A" w:rsidRPr="00EC02CA">
        <w:t xml:space="preserve">to the youth support service </w:t>
      </w:r>
      <w:r w:rsidR="0072554E" w:rsidRPr="00EC02CA">
        <w:t xml:space="preserve">originate </w:t>
      </w:r>
      <w:r w:rsidR="00940B47" w:rsidRPr="00EC02CA">
        <w:t>from schools, police and court</w:t>
      </w:r>
      <w:r w:rsidR="00266225" w:rsidRPr="00EC02CA">
        <w:t>s</w:t>
      </w:r>
      <w:r w:rsidR="00940B47" w:rsidRPr="00EC02CA">
        <w:t>/</w:t>
      </w:r>
      <w:r w:rsidR="00266225" w:rsidRPr="00EC02CA">
        <w:t xml:space="preserve">the </w:t>
      </w:r>
      <w:r w:rsidR="00D163D9" w:rsidRPr="00EC02CA">
        <w:t>youth justice system</w:t>
      </w:r>
      <w:r w:rsidR="00940B47" w:rsidRPr="00EC02CA">
        <w:t>, and private</w:t>
      </w:r>
      <w:r w:rsidR="0072554E" w:rsidRPr="00EC02CA">
        <w:t xml:space="preserve"> or </w:t>
      </w:r>
      <w:r w:rsidR="00940B47" w:rsidRPr="00EC02CA">
        <w:t>community</w:t>
      </w:r>
      <w:r w:rsidR="0072554E" w:rsidRPr="00EC02CA">
        <w:t xml:space="preserve"> sources</w:t>
      </w:r>
      <w:r w:rsidR="004F5CF8" w:rsidRPr="00EC02CA">
        <w:t>:</w:t>
      </w:r>
    </w:p>
    <w:p w14:paraId="20583436" w14:textId="619494F2" w:rsidR="003F35D9" w:rsidRPr="00EC02CA" w:rsidRDefault="00940B47" w:rsidP="00534CA0">
      <w:pPr>
        <w:pStyle w:val="Indentedquote"/>
      </w:pPr>
      <w:r w:rsidRPr="00EC02CA">
        <w:t xml:space="preserve">So from schools </w:t>
      </w:r>
      <w:r w:rsidR="0072554E" w:rsidRPr="00EC02CA">
        <w:t xml:space="preserve">… </w:t>
      </w:r>
      <w:r w:rsidRPr="00EC02CA">
        <w:t xml:space="preserve">we get some referrals from police as well. Oh yeah, quite a few referrals, but probably not as many as schools. Also private </w:t>
      </w:r>
      <w:r w:rsidR="0072554E" w:rsidRPr="00EC02CA">
        <w:t xml:space="preserve">[sources] </w:t>
      </w:r>
      <w:r w:rsidRPr="00EC02CA">
        <w:t xml:space="preserve">and there might be behaviour support practitioners working with </w:t>
      </w:r>
      <w:r w:rsidR="002B2AB2" w:rsidRPr="00EC02CA">
        <w:t xml:space="preserve">[National Disability Insurance Scheme] </w:t>
      </w:r>
      <w:r w:rsidRPr="00EC02CA">
        <w:t>clients, so from behaviour support practitioners or occupational therapists, from out</w:t>
      </w:r>
      <w:r w:rsidR="00266225" w:rsidRPr="00EC02CA">
        <w:t>-</w:t>
      </w:r>
      <w:r w:rsidRPr="00EC02CA">
        <w:t>of</w:t>
      </w:r>
      <w:r w:rsidR="00266225" w:rsidRPr="00EC02CA">
        <w:t>-</w:t>
      </w:r>
      <w:r w:rsidRPr="00EC02CA">
        <w:t xml:space="preserve">home or child safety is a big one, and </w:t>
      </w:r>
      <w:r w:rsidR="00266225" w:rsidRPr="00EC02CA">
        <w:t>S</w:t>
      </w:r>
      <w:r w:rsidRPr="00EC02CA">
        <w:t xml:space="preserve">trong </w:t>
      </w:r>
      <w:r w:rsidR="00266225" w:rsidRPr="00EC02CA">
        <w:t>F</w:t>
      </w:r>
      <w:r w:rsidRPr="00EC02CA">
        <w:t xml:space="preserve">amilies, </w:t>
      </w:r>
      <w:r w:rsidR="00266225" w:rsidRPr="00EC02CA">
        <w:t>S</w:t>
      </w:r>
      <w:r w:rsidRPr="00EC02CA">
        <w:t xml:space="preserve">afe </w:t>
      </w:r>
      <w:r w:rsidR="00266225" w:rsidRPr="00EC02CA">
        <w:t>K</w:t>
      </w:r>
      <w:r w:rsidRPr="00EC02CA">
        <w:t>ids and also sometimes out</w:t>
      </w:r>
      <w:r w:rsidR="00266225" w:rsidRPr="00EC02CA">
        <w:t>-</w:t>
      </w:r>
      <w:r w:rsidRPr="00EC02CA">
        <w:t>of</w:t>
      </w:r>
      <w:r w:rsidR="00266225" w:rsidRPr="00EC02CA">
        <w:t>-</w:t>
      </w:r>
      <w:r w:rsidRPr="00EC02CA">
        <w:t xml:space="preserve">home care like </w:t>
      </w:r>
      <w:r w:rsidR="00266225" w:rsidRPr="00EC02CA">
        <w:t>L</w:t>
      </w:r>
      <w:r w:rsidRPr="00EC02CA">
        <w:t xml:space="preserve">ife </w:t>
      </w:r>
      <w:r w:rsidR="00266225" w:rsidRPr="00EC02CA">
        <w:t>W</w:t>
      </w:r>
      <w:r w:rsidRPr="00EC02CA">
        <w:t xml:space="preserve">ithout </w:t>
      </w:r>
      <w:r w:rsidR="00266225" w:rsidRPr="00EC02CA">
        <w:t>B</w:t>
      </w:r>
      <w:r w:rsidRPr="00EC02CA">
        <w:t>arriers will have, you know, homes for young people and they might refer to us as well.</w:t>
      </w:r>
      <w:r w:rsidR="00C76157" w:rsidRPr="00EC02CA">
        <w:rPr>
          <w:rStyle w:val="FootnoteReference"/>
        </w:rPr>
        <w:footnoteReference w:id="283"/>
      </w:r>
    </w:p>
    <w:p w14:paraId="5CA920BC" w14:textId="02A5AA7E" w:rsidR="003F35D9" w:rsidRPr="00EC02CA" w:rsidRDefault="003F35D9" w:rsidP="002F0007">
      <w:pPr>
        <w:pStyle w:val="NormalNumberedTextTLRI"/>
      </w:pPr>
      <w:r w:rsidRPr="00EC02CA">
        <w:t>In 16 interviews, it was suggested that there needed to be more early intervention, before a young person engages in sexual offending (</w:t>
      </w:r>
      <w:r w:rsidR="0072554E" w:rsidRPr="00EC02CA">
        <w:t xml:space="preserve">but where, for example, they have </w:t>
      </w:r>
      <w:r w:rsidRPr="00EC02CA">
        <w:t xml:space="preserve">displayed some </w:t>
      </w:r>
      <w:r w:rsidR="00076175" w:rsidRPr="00EC02CA">
        <w:t>harmful sexual behaviour</w:t>
      </w:r>
      <w:r w:rsidRPr="00EC02CA">
        <w:t xml:space="preserve">), to try to prevent the onset of sexual offending and prevent contact with the legal sector. </w:t>
      </w:r>
    </w:p>
    <w:p w14:paraId="5F59BD83" w14:textId="60DCE5EB" w:rsidR="003F35D9" w:rsidRPr="00EC02CA" w:rsidRDefault="003F35D9" w:rsidP="00534CA0">
      <w:pPr>
        <w:pStyle w:val="Indentedquote"/>
      </w:pPr>
      <w:r w:rsidRPr="00EC02CA">
        <w:t xml:space="preserve">It's about getting them early as well. </w:t>
      </w:r>
      <w:r w:rsidR="00B113D8" w:rsidRPr="00EC02CA">
        <w:t>T</w:t>
      </w:r>
      <w:r w:rsidRPr="00EC02CA">
        <w:t xml:space="preserve">here's a lot of gaps in early intervention work with kids </w:t>
      </w:r>
      <w:r w:rsidR="0072554E" w:rsidRPr="00EC02CA">
        <w:t>…</w:t>
      </w:r>
      <w:r w:rsidRPr="00EC02CA">
        <w:t xml:space="preserve"> </w:t>
      </w:r>
      <w:r w:rsidR="0072554E" w:rsidRPr="00EC02CA">
        <w:t xml:space="preserve">[who] </w:t>
      </w:r>
      <w:r w:rsidRPr="00EC02CA">
        <w:t>haven't necessarily offended yet but have indicated markers from their schools, from other activities with becoming noticed by the youth justice system for a range of other things apart from sexual offending.</w:t>
      </w:r>
      <w:r w:rsidRPr="00EC02CA">
        <w:rPr>
          <w:rStyle w:val="FootnoteReference"/>
        </w:rPr>
        <w:footnoteReference w:id="284"/>
      </w:r>
    </w:p>
    <w:p w14:paraId="69709D87" w14:textId="059E016E" w:rsidR="003F35D9" w:rsidRPr="00EC02CA" w:rsidRDefault="00D72CA1" w:rsidP="00534CA0">
      <w:pPr>
        <w:pStyle w:val="Indentedquote"/>
      </w:pPr>
      <w:r w:rsidRPr="00EC02CA">
        <w:t>I</w:t>
      </w:r>
      <w:r w:rsidR="003F35D9" w:rsidRPr="00EC02CA">
        <w:t>f we don't catch those behaviours at that young age, then these young people can grow up and obviously their behaviours can get more violent over time.</w:t>
      </w:r>
      <w:r w:rsidR="003F35D9" w:rsidRPr="00EC02CA">
        <w:rPr>
          <w:rStyle w:val="FootnoteReference"/>
        </w:rPr>
        <w:footnoteReference w:id="285"/>
      </w:r>
    </w:p>
    <w:p w14:paraId="4A34E110" w14:textId="77777777" w:rsidR="00940B47" w:rsidRPr="00EC02CA" w:rsidRDefault="00940B47" w:rsidP="00940B47">
      <w:pPr>
        <w:pStyle w:val="NumberedHeadingTLRI"/>
      </w:pPr>
      <w:bookmarkStart w:id="170" w:name="_Toc211849384"/>
      <w:bookmarkStart w:id="171" w:name="_Toc218157280"/>
      <w:r w:rsidRPr="00EC02CA">
        <w:t>The role of education</w:t>
      </w:r>
      <w:bookmarkEnd w:id="170"/>
      <w:bookmarkEnd w:id="171"/>
    </w:p>
    <w:p w14:paraId="69AAF768" w14:textId="12CEDD67" w:rsidR="00940B47" w:rsidRPr="00EC02CA" w:rsidRDefault="00940B47" w:rsidP="002F0007">
      <w:pPr>
        <w:pStyle w:val="NormalNumberedTextTLRI"/>
      </w:pPr>
      <w:r w:rsidRPr="00EC02CA">
        <w:t>Education, directed towards young people, their families, communities and professionals (such as in schools)</w:t>
      </w:r>
      <w:r w:rsidR="0072554E" w:rsidRPr="00EC02CA">
        <w:t>,</w:t>
      </w:r>
      <w:r w:rsidRPr="00EC02CA">
        <w:t xml:space="preserve"> can form part of primary and secondary prevention strategies as </w:t>
      </w:r>
      <w:r w:rsidR="00B113D8" w:rsidRPr="00EC02CA">
        <w:t xml:space="preserve">a </w:t>
      </w:r>
      <w:r w:rsidRPr="00EC02CA">
        <w:t xml:space="preserve">response to harmful sexual behaviour. Research has highlighted the need for prevention and proactive interventions for young people </w:t>
      </w:r>
      <w:r w:rsidR="0072554E" w:rsidRPr="00EC02CA">
        <w:t xml:space="preserve">that </w:t>
      </w:r>
      <w:r w:rsidRPr="00EC02CA">
        <w:t xml:space="preserve">address the predisposing factors </w:t>
      </w:r>
      <w:r w:rsidR="00F16C81" w:rsidRPr="00EC02CA">
        <w:t>that</w:t>
      </w:r>
      <w:r w:rsidRPr="00EC02CA">
        <w:t xml:space="preserve"> influence offending behaviour.</w:t>
      </w:r>
      <w:r w:rsidRPr="00EC02CA">
        <w:rPr>
          <w:rStyle w:val="FootnoteReference"/>
        </w:rPr>
        <w:footnoteReference w:id="286"/>
      </w:r>
      <w:r w:rsidRPr="00EC02CA">
        <w:t xml:space="preserve"> This also aligns with the approach of the </w:t>
      </w:r>
      <w:r w:rsidRPr="00EC02CA">
        <w:rPr>
          <w:i/>
          <w:iCs/>
        </w:rPr>
        <w:t>Youth Justice Blueprint</w:t>
      </w:r>
      <w:r w:rsidR="0072554E" w:rsidRPr="00EC02CA">
        <w:rPr>
          <w:i/>
          <w:iCs/>
        </w:rPr>
        <w:t xml:space="preserve"> 2024–2034</w:t>
      </w:r>
      <w:r w:rsidRPr="00EC02CA">
        <w:t>, which prioritises prevention and early intervention to reduce engagement with the youth justice system.</w:t>
      </w:r>
      <w:r w:rsidRPr="00EC02CA">
        <w:rPr>
          <w:rStyle w:val="FootnoteReference"/>
        </w:rPr>
        <w:footnoteReference w:id="287"/>
      </w:r>
      <w:r w:rsidRPr="00EC02CA">
        <w:t xml:space="preserve"> Adopting a continuum approach (see </w:t>
      </w:r>
      <w:r w:rsidR="00F16C81" w:rsidRPr="00EC02CA">
        <w:t>[</w:t>
      </w:r>
      <w:r w:rsidR="00CA443E" w:rsidRPr="00EC02CA">
        <w:fldChar w:fldCharType="begin"/>
      </w:r>
      <w:r w:rsidR="00CA443E" w:rsidRPr="00EC02CA">
        <w:instrText xml:space="preserve"> REF _Ref218252871 \r \h </w:instrText>
      </w:r>
      <w:r w:rsidR="00CA443E" w:rsidRPr="00EC02CA">
        <w:fldChar w:fldCharType="separate"/>
      </w:r>
      <w:r w:rsidR="007D7830">
        <w:t>2.2</w:t>
      </w:r>
      <w:r w:rsidR="00CA443E" w:rsidRPr="00EC02CA">
        <w:fldChar w:fldCharType="end"/>
      </w:r>
      <w:r w:rsidR="00F16C81" w:rsidRPr="00EC02CA">
        <w:t>]</w:t>
      </w:r>
      <w:r w:rsidRPr="00EC02CA">
        <w:t>) to understanding the spectrum of sexual behaviours demonstrated by children and young people encourages a spectrum of intervention</w:t>
      </w:r>
      <w:r w:rsidR="0072554E" w:rsidRPr="00EC02CA">
        <w:t>s</w:t>
      </w:r>
      <w:r w:rsidRPr="00EC02CA">
        <w:t xml:space="preserve">, </w:t>
      </w:r>
      <w:r w:rsidR="0072554E" w:rsidRPr="00EC02CA">
        <w:t xml:space="preserve">including </w:t>
      </w:r>
      <w:r w:rsidRPr="00EC02CA">
        <w:t>both early and proactive prevention (particularly within the ‘</w:t>
      </w:r>
      <w:r w:rsidR="00BD0EC1" w:rsidRPr="00EC02CA">
        <w:t>typical</w:t>
      </w:r>
      <w:r w:rsidRPr="00EC02CA">
        <w:t>’ and ‘inappropriate’ stages)</w:t>
      </w:r>
      <w:r w:rsidR="0072554E" w:rsidRPr="00EC02CA">
        <w:t>.</w:t>
      </w:r>
      <w:r w:rsidRPr="00EC02CA">
        <w:t xml:space="preserve"> </w:t>
      </w:r>
      <w:r w:rsidR="0072554E" w:rsidRPr="00EC02CA">
        <w:t xml:space="preserve">This extends to </w:t>
      </w:r>
      <w:r w:rsidRPr="00EC02CA">
        <w:t xml:space="preserve">opportunities for education programs through </w:t>
      </w:r>
      <w:r w:rsidR="0072554E" w:rsidRPr="00EC02CA">
        <w:t xml:space="preserve">the </w:t>
      </w:r>
      <w:r w:rsidRPr="00EC02CA">
        <w:t>school curriculum</w:t>
      </w:r>
      <w:r w:rsidR="0072554E" w:rsidRPr="00EC02CA">
        <w:t>.</w:t>
      </w:r>
      <w:r w:rsidRPr="00EC02CA">
        <w:t xml:space="preserve"> Primary prevention can involve the provision of sex education to young people and information to a young person’s supports and community about harmful sexual behaviour.</w:t>
      </w:r>
      <w:r w:rsidRPr="00EC02CA">
        <w:rPr>
          <w:rStyle w:val="FootnoteReference"/>
        </w:rPr>
        <w:footnoteReference w:id="288"/>
      </w:r>
    </w:p>
    <w:p w14:paraId="5EE22D64" w14:textId="7DC24413" w:rsidR="00940B47" w:rsidRPr="00EC02CA" w:rsidRDefault="00940B47" w:rsidP="002F0007">
      <w:pPr>
        <w:pStyle w:val="NormalNumberedTextTLRI"/>
      </w:pPr>
      <w:r w:rsidRPr="00EC02CA">
        <w:t>Research indicate</w:t>
      </w:r>
      <w:r w:rsidR="0072554E" w:rsidRPr="00EC02CA">
        <w:t>s</w:t>
      </w:r>
      <w:r w:rsidRPr="00EC02CA">
        <w:t xml:space="preserve"> that a key effective early intervention strategy</w:t>
      </w:r>
      <w:r w:rsidR="00374E8C" w:rsidRPr="00EC02CA">
        <w:t>,</w:t>
      </w:r>
      <w:r w:rsidRPr="00EC02CA">
        <w:t xml:space="preserve"> respond</w:t>
      </w:r>
      <w:r w:rsidR="00374E8C" w:rsidRPr="00EC02CA">
        <w:t>ing</w:t>
      </w:r>
      <w:r w:rsidRPr="00EC02CA">
        <w:t xml:space="preserve"> to harmful sexual behaviour</w:t>
      </w:r>
      <w:r w:rsidR="00374E8C" w:rsidRPr="00EC02CA">
        <w:t>,</w:t>
      </w:r>
      <w:r w:rsidRPr="00EC02CA">
        <w:t xml:space="preserve"> is sexual education</w:t>
      </w:r>
      <w:r w:rsidR="00374E8C" w:rsidRPr="00EC02CA">
        <w:t xml:space="preserve"> and </w:t>
      </w:r>
      <w:r w:rsidRPr="00EC02CA">
        <w:t>education around sexual behaviour</w:t>
      </w:r>
      <w:r w:rsidR="00374E8C" w:rsidRPr="00EC02CA">
        <w:t>,</w:t>
      </w:r>
      <w:r w:rsidRPr="00EC02CA">
        <w:t xml:space="preserve"> introduced at a young age.</w:t>
      </w:r>
      <w:r w:rsidRPr="00EC02CA">
        <w:rPr>
          <w:rStyle w:val="FootnoteReference"/>
        </w:rPr>
        <w:footnoteReference w:id="289"/>
      </w:r>
      <w:r w:rsidRPr="00EC02CA">
        <w:t xml:space="preserve"> There is also a need to increase awareness and understanding of the issue of harmful sexual behaviour in the community, so that the response to such behaviour is not ‘inappropriately minimis[ed] or inappropriately excess</w:t>
      </w:r>
      <w:r w:rsidR="008A594A" w:rsidRPr="00EC02CA">
        <w:t>[ive]</w:t>
      </w:r>
      <w:r w:rsidRPr="00EC02CA">
        <w:t>’.</w:t>
      </w:r>
      <w:r w:rsidRPr="00EC02CA">
        <w:rPr>
          <w:rStyle w:val="FootnoteReference"/>
        </w:rPr>
        <w:footnoteReference w:id="290"/>
      </w:r>
      <w:r w:rsidR="00374E8C" w:rsidRPr="00EC02CA">
        <w:t xml:space="preserve"> </w:t>
      </w:r>
      <w:r w:rsidRPr="00EC02CA">
        <w:t>Education as an early intervention</w:t>
      </w:r>
      <w:r w:rsidR="00374E8C" w:rsidRPr="00EC02CA">
        <w:t>/</w:t>
      </w:r>
      <w:r w:rsidRPr="00EC02CA">
        <w:t xml:space="preserve">secondary prevention strategy has been shown to be effective </w:t>
      </w:r>
      <w:r w:rsidR="00374E8C" w:rsidRPr="00EC02CA">
        <w:t>in</w:t>
      </w:r>
      <w:r w:rsidRPr="00EC02CA">
        <w:t xml:space="preserve"> prevent</w:t>
      </w:r>
      <w:r w:rsidR="00374E8C" w:rsidRPr="00EC02CA">
        <w:t>ing</w:t>
      </w:r>
      <w:r w:rsidRPr="00EC02CA">
        <w:t xml:space="preserve"> the escalation of behaviour for children displaying lower-level problematic sexual behaviour and for children at higher risk of displaying harmful sexual behaviour.</w:t>
      </w:r>
      <w:r w:rsidRPr="00EC02CA">
        <w:rPr>
          <w:rStyle w:val="FootnoteReference"/>
        </w:rPr>
        <w:footnoteReference w:id="291"/>
      </w:r>
      <w:r w:rsidRPr="00EC02CA">
        <w:t xml:space="preserve"> Again</w:t>
      </w:r>
      <w:r w:rsidR="00374E8C" w:rsidRPr="00EC02CA">
        <w:t>,</w:t>
      </w:r>
      <w:r w:rsidRPr="00EC02CA">
        <w:t xml:space="preserve"> this education may be directed to those who support young people as well as young people</w:t>
      </w:r>
      <w:r w:rsidR="00770A12" w:rsidRPr="00EC02CA">
        <w:t xml:space="preserve"> themselves</w:t>
      </w:r>
      <w:r w:rsidRPr="00EC02CA">
        <w:t>.</w:t>
      </w:r>
      <w:r w:rsidR="00432522" w:rsidRPr="00EC02CA">
        <w:t xml:space="preserve"> </w:t>
      </w:r>
    </w:p>
    <w:p w14:paraId="25F442A7" w14:textId="2A4699F5" w:rsidR="00940B47" w:rsidRPr="00EC02CA" w:rsidRDefault="00940B47" w:rsidP="002F0007">
      <w:pPr>
        <w:pStyle w:val="NormalNumberedTextTLRI"/>
      </w:pPr>
      <w:r w:rsidRPr="00EC02CA">
        <w:t xml:space="preserve">The PAST program </w:t>
      </w:r>
      <w:r w:rsidR="00770A12" w:rsidRPr="00EC02CA">
        <w:t>has</w:t>
      </w:r>
      <w:r w:rsidRPr="00EC02CA">
        <w:t xml:space="preserve"> several educative purposes, including primary, secondary and tertiary education. </w:t>
      </w:r>
      <w:r w:rsidR="006E485D" w:rsidRPr="00EC02CA">
        <w:t xml:space="preserve">The </w:t>
      </w:r>
      <w:r w:rsidRPr="00EC02CA">
        <w:t xml:space="preserve">SASS provides training to a range of stakeholders such as Youth Justice, Child Safety, DECYP, </w:t>
      </w:r>
      <w:r w:rsidR="00212E0D" w:rsidRPr="00EC02CA">
        <w:t xml:space="preserve">and </w:t>
      </w:r>
      <w:r w:rsidRPr="00EC02CA">
        <w:t>health and community staff.</w:t>
      </w:r>
      <w:r w:rsidRPr="00EC02CA">
        <w:rPr>
          <w:rStyle w:val="FootnoteReference"/>
        </w:rPr>
        <w:footnoteReference w:id="292"/>
      </w:r>
      <w:r w:rsidR="36BDC9FD" w:rsidRPr="00EC02CA">
        <w:t xml:space="preserve"> </w:t>
      </w:r>
      <w:r w:rsidRPr="00EC02CA">
        <w:t xml:space="preserve">Schools, for example, may contact SASS if issues of </w:t>
      </w:r>
      <w:r w:rsidR="005D1E25" w:rsidRPr="00EC02CA">
        <w:t>harmful sexual behaviour</w:t>
      </w:r>
      <w:r w:rsidRPr="00EC02CA">
        <w:t xml:space="preserve"> arise</w:t>
      </w:r>
      <w:r w:rsidR="00212E0D" w:rsidRPr="00EC02CA">
        <w:t>,</w:t>
      </w:r>
      <w:r w:rsidRPr="00EC02CA">
        <w:t xml:space="preserve"> and SASS is able to provide training either </w:t>
      </w:r>
      <w:r w:rsidR="00212E0D" w:rsidRPr="00EC02CA">
        <w:t xml:space="preserve">to </w:t>
      </w:r>
      <w:r w:rsidRPr="00EC02CA">
        <w:t>staff</w:t>
      </w:r>
      <w:r w:rsidR="00212E0D" w:rsidRPr="00EC02CA">
        <w:t>,</w:t>
      </w:r>
      <w:r w:rsidRPr="00EC02CA">
        <w:t xml:space="preserve"> on how to respond to </w:t>
      </w:r>
      <w:r w:rsidR="005D1E25" w:rsidRPr="00EC02CA">
        <w:t>harmful sexual behaviour</w:t>
      </w:r>
      <w:r w:rsidR="00212E0D" w:rsidRPr="00EC02CA">
        <w:t>,</w:t>
      </w:r>
      <w:r w:rsidRPr="00EC02CA">
        <w:t xml:space="preserve"> or to young people.</w:t>
      </w:r>
      <w:r w:rsidRPr="00EC02CA">
        <w:rPr>
          <w:rStyle w:val="FootnoteReference"/>
        </w:rPr>
        <w:footnoteReference w:id="293"/>
      </w:r>
      <w:r w:rsidRPr="00EC02CA">
        <w:t xml:space="preserve"> Primary prevention training</w:t>
      </w:r>
      <w:r w:rsidR="00770A12" w:rsidRPr="00EC02CA">
        <w:t xml:space="preserve">, </w:t>
      </w:r>
      <w:r w:rsidR="77D43B4B" w:rsidRPr="00EC02CA">
        <w:t>in this</w:t>
      </w:r>
      <w:r w:rsidR="00770A12" w:rsidRPr="00EC02CA">
        <w:t xml:space="preserve"> context, </w:t>
      </w:r>
      <w:r w:rsidRPr="00EC02CA">
        <w:t>covers consent, respectful relationships and appropriate/inappropriate behaviours for child</w:t>
      </w:r>
      <w:r w:rsidR="00212E0D" w:rsidRPr="00EC02CA">
        <w:t>ren</w:t>
      </w:r>
      <w:r w:rsidRPr="00EC02CA">
        <w:t xml:space="preserve"> and young people.</w:t>
      </w:r>
      <w:r w:rsidRPr="00EC02CA">
        <w:rPr>
          <w:rStyle w:val="FootnoteReference"/>
        </w:rPr>
        <w:footnoteReference w:id="294"/>
      </w:r>
      <w:r w:rsidRPr="00EC02CA">
        <w:t xml:space="preserve"> In addition, education delivered to young people through the PAST program can be a secondary or tertiary intervention.</w:t>
      </w:r>
      <w:r w:rsidRPr="00EC02CA">
        <w:rPr>
          <w:rStyle w:val="FootnoteReference"/>
        </w:rPr>
        <w:footnoteReference w:id="295"/>
      </w:r>
    </w:p>
    <w:p w14:paraId="70F8E035" w14:textId="06F9C1CE" w:rsidR="00940B47" w:rsidRPr="00EC02CA" w:rsidRDefault="00940B47" w:rsidP="002F0007">
      <w:pPr>
        <w:pStyle w:val="NormalNumberedTextTLRI"/>
      </w:pPr>
      <w:r w:rsidRPr="00EC02CA">
        <w:t>There are other programs provided in schools by police. The ‘Think U Know’ program is an education program led by the Australian Federal Police aimed at preventing online child sexual exploitation</w:t>
      </w:r>
      <w:r w:rsidR="00212E0D" w:rsidRPr="00EC02CA">
        <w:t>.</w:t>
      </w:r>
      <w:r w:rsidRPr="00EC02CA">
        <w:t xml:space="preserve"> </w:t>
      </w:r>
      <w:r w:rsidR="00212E0D" w:rsidRPr="00EC02CA">
        <w:t xml:space="preserve">It </w:t>
      </w:r>
      <w:r w:rsidRPr="00EC02CA">
        <w:t>offers resources for educators and for parents and carers, as well as in-school presentations delivered by Tasmanian Police.</w:t>
      </w:r>
      <w:r w:rsidRPr="00EC02CA">
        <w:rPr>
          <w:rStyle w:val="FootnoteReference"/>
        </w:rPr>
        <w:footnoteReference w:id="296"/>
      </w:r>
      <w:r w:rsidRPr="00EC02CA">
        <w:t xml:space="preserve"> It is ‘pro-technology and addresses topics including self-generated child abuse material, online grooming, sexual extortion and importantly encourages help-seeking behaviour’.</w:t>
      </w:r>
      <w:r w:rsidRPr="00EC02CA">
        <w:rPr>
          <w:rStyle w:val="FootnoteReference"/>
        </w:rPr>
        <w:footnoteReference w:id="297"/>
      </w:r>
      <w:r w:rsidRPr="00EC02CA">
        <w:t xml:space="preserve"> In 2023</w:t>
      </w:r>
      <w:r w:rsidR="00212E0D" w:rsidRPr="00EC02CA">
        <w:t>–</w:t>
      </w:r>
      <w:r w:rsidRPr="00EC02CA">
        <w:t xml:space="preserve">24, there were 14,553 students who attended a </w:t>
      </w:r>
      <w:r w:rsidR="00EF6D6A" w:rsidRPr="00EC02CA">
        <w:t>presentation</w:t>
      </w:r>
      <w:r w:rsidR="00212E0D" w:rsidRPr="00EC02CA">
        <w:t>,</w:t>
      </w:r>
      <w:r w:rsidRPr="00EC02CA">
        <w:t xml:space="preserve"> </w:t>
      </w:r>
      <w:r w:rsidR="00212E0D" w:rsidRPr="00EC02CA">
        <w:t xml:space="preserve">as well as </w:t>
      </w:r>
      <w:r w:rsidRPr="00EC02CA">
        <w:t xml:space="preserve">150 </w:t>
      </w:r>
      <w:r w:rsidR="00EF6D6A" w:rsidRPr="00EC02CA">
        <w:t>parents</w:t>
      </w:r>
      <w:r w:rsidRPr="00EC02CA">
        <w:t xml:space="preserve">, </w:t>
      </w:r>
      <w:r w:rsidR="00EF6D6A" w:rsidRPr="00EC02CA">
        <w:t>teachers</w:t>
      </w:r>
      <w:r w:rsidRPr="00EC02CA">
        <w:t xml:space="preserve"> and carers.</w:t>
      </w:r>
      <w:r w:rsidRPr="00EC02CA">
        <w:rPr>
          <w:rStyle w:val="FootnoteReference"/>
        </w:rPr>
        <w:footnoteReference w:id="298"/>
      </w:r>
      <w:r w:rsidRPr="00EC02CA">
        <w:t xml:space="preserve"> </w:t>
      </w:r>
    </w:p>
    <w:p w14:paraId="03D79C55" w14:textId="368CB3E2" w:rsidR="00285507" w:rsidRPr="00EC02CA" w:rsidRDefault="00285507" w:rsidP="00A920EC">
      <w:pPr>
        <w:pStyle w:val="TLRISubheading"/>
      </w:pPr>
      <w:bookmarkStart w:id="172" w:name="_Toc211849385"/>
      <w:bookmarkStart w:id="173" w:name="_Toc218157281"/>
      <w:r w:rsidRPr="00EC02CA">
        <w:t>TLRI interview</w:t>
      </w:r>
      <w:bookmarkEnd w:id="172"/>
      <w:r w:rsidR="006E485D" w:rsidRPr="00EC02CA">
        <w:t>ees’ views</w:t>
      </w:r>
      <w:bookmarkEnd w:id="173"/>
    </w:p>
    <w:p w14:paraId="547A2978" w14:textId="7682F07A" w:rsidR="004427AA" w:rsidRPr="00EC02CA" w:rsidRDefault="004427AA" w:rsidP="002F0007">
      <w:pPr>
        <w:pStyle w:val="NormalNumberedTextTLRI"/>
      </w:pPr>
      <w:r w:rsidRPr="00EC02CA">
        <w:t xml:space="preserve">The role of the education sector in responding to sexual offending </w:t>
      </w:r>
      <w:r w:rsidR="00182851" w:rsidRPr="00EC02CA">
        <w:t xml:space="preserve">by young people </w:t>
      </w:r>
      <w:r w:rsidRPr="00EC02CA">
        <w:t xml:space="preserve">was discussed in 19 </w:t>
      </w:r>
      <w:r w:rsidR="00DF17C7" w:rsidRPr="00EC02CA">
        <w:t>interviews.</w:t>
      </w:r>
      <w:r w:rsidRPr="00EC02CA">
        <w:t xml:space="preserve"> Interviewees described various aspects of the role of the education sector</w:t>
      </w:r>
      <w:r w:rsidR="00D27F4D" w:rsidRPr="00EC02CA">
        <w:t>,</w:t>
      </w:r>
      <w:r w:rsidRPr="00EC02CA">
        <w:t xml:space="preserve"> </w:t>
      </w:r>
      <w:r w:rsidR="00D27F4D" w:rsidRPr="00EC02CA">
        <w:t>illustrating how the</w:t>
      </w:r>
      <w:r w:rsidRPr="00EC02CA">
        <w:t xml:space="preserve"> sector responds to sexual offending</w:t>
      </w:r>
      <w:r w:rsidR="00182851" w:rsidRPr="00EC02CA">
        <w:t xml:space="preserve"> by young people</w:t>
      </w:r>
      <w:r w:rsidRPr="00EC02CA">
        <w:t xml:space="preserve">. This included delivering education about appropriate sexual behaviour, identifying and responding to instances of harm, and providing support for young people affected by sexual offending. Providing </w:t>
      </w:r>
      <w:r w:rsidR="00D27F4D" w:rsidRPr="00EC02CA">
        <w:t xml:space="preserve">education on </w:t>
      </w:r>
      <w:r w:rsidRPr="00EC02CA">
        <w:t xml:space="preserve">healthy sexual behaviour was discussed by six interviewees. Schools were seen </w:t>
      </w:r>
      <w:r w:rsidR="00A339C5" w:rsidRPr="00EC02CA">
        <w:t xml:space="preserve">by interviewees </w:t>
      </w:r>
      <w:r w:rsidRPr="00EC02CA">
        <w:t>to be uniquely placed. For example, one interviewee stated, ‘in education, this is where we've got a captured audience with children. And we've got them for 10</w:t>
      </w:r>
      <w:r w:rsidR="00D27F4D" w:rsidRPr="00EC02CA">
        <w:t xml:space="preserve"> </w:t>
      </w:r>
      <w:r w:rsidRPr="00EC02CA">
        <w:t xml:space="preserve">years, and that's the perfect place where we can imbue them </w:t>
      </w:r>
      <w:r w:rsidR="00D27F4D" w:rsidRPr="00EC02CA">
        <w:t xml:space="preserve">[with] </w:t>
      </w:r>
      <w:r w:rsidRPr="00EC02CA">
        <w:t>whatever programs that you can integrate into the curriculum’.</w:t>
      </w:r>
      <w:r w:rsidRPr="00EC02CA">
        <w:rPr>
          <w:rStyle w:val="FootnoteReference"/>
        </w:rPr>
        <w:footnoteReference w:id="299"/>
      </w:r>
      <w:r w:rsidRPr="00EC02CA">
        <w:t xml:space="preserve"> This suggest</w:t>
      </w:r>
      <w:r w:rsidR="00D27F4D" w:rsidRPr="00EC02CA">
        <w:t>s</w:t>
      </w:r>
      <w:r w:rsidRPr="00EC02CA">
        <w:t xml:space="preserve"> formal educati</w:t>
      </w:r>
      <w:r w:rsidR="00D27F4D" w:rsidRPr="00EC02CA">
        <w:t>on</w:t>
      </w:r>
      <w:r w:rsidRPr="00EC02CA">
        <w:t xml:space="preserve"> </w:t>
      </w:r>
      <w:r w:rsidR="00D27F4D" w:rsidRPr="00EC02CA">
        <w:t xml:space="preserve">programs </w:t>
      </w:r>
      <w:r w:rsidRPr="00EC02CA">
        <w:t xml:space="preserve">could be delivered within schools to reach a broad number of young people. </w:t>
      </w:r>
      <w:r w:rsidR="0063259E" w:rsidRPr="00EC02CA">
        <w:t xml:space="preserve">However, </w:t>
      </w:r>
      <w:r w:rsidR="00C16E17" w:rsidRPr="00EC02CA">
        <w:t>the TLRI’s view is that some reasonable caution is require</w:t>
      </w:r>
      <w:r w:rsidR="00B75E7C" w:rsidRPr="00EC02CA">
        <w:t>d in th</w:t>
      </w:r>
      <w:r w:rsidR="0052654A" w:rsidRPr="00EC02CA">
        <w:t xml:space="preserve">e expectations placed on schools </w:t>
      </w:r>
      <w:r w:rsidR="00A339C5" w:rsidRPr="00EC02CA">
        <w:t>in this regard.</w:t>
      </w:r>
      <w:r w:rsidR="00A339C5" w:rsidRPr="00EC02CA">
        <w:rPr>
          <w:rStyle w:val="FootnoteReference"/>
        </w:rPr>
        <w:footnoteReference w:id="300"/>
      </w:r>
      <w:r w:rsidR="22BAECBB" w:rsidRPr="00EC02CA">
        <w:t xml:space="preserve"> </w:t>
      </w:r>
      <w:r w:rsidRPr="00EC02CA">
        <w:t xml:space="preserve">Interviewees described how this education was being delivered in schools, including by police. However, there was some concern that structured educational programs may not always be available and </w:t>
      </w:r>
      <w:r w:rsidR="00661F3A" w:rsidRPr="00EC02CA">
        <w:t xml:space="preserve">that </w:t>
      </w:r>
      <w:r w:rsidRPr="00EC02CA">
        <w:t>there was a need to review the skills that were taught.</w:t>
      </w:r>
      <w:r w:rsidRPr="00EC02CA">
        <w:rPr>
          <w:rStyle w:val="FootnoteReference"/>
        </w:rPr>
        <w:footnoteReference w:id="301"/>
      </w:r>
    </w:p>
    <w:p w14:paraId="790FD16C" w14:textId="38BA079C" w:rsidR="00940B47" w:rsidRPr="00EC02CA" w:rsidRDefault="00432522" w:rsidP="002F0007">
      <w:pPr>
        <w:pStyle w:val="NormalNumberedTextTLRI"/>
      </w:pPr>
      <w:r w:rsidRPr="00EC02CA">
        <w:t xml:space="preserve">In addition to education </w:t>
      </w:r>
      <w:r w:rsidR="004F6676" w:rsidRPr="00EC02CA">
        <w:t>directed</w:t>
      </w:r>
      <w:r w:rsidRPr="00EC02CA">
        <w:t xml:space="preserve"> to young people, i</w:t>
      </w:r>
      <w:r w:rsidR="00940B47" w:rsidRPr="00EC02CA">
        <w:t>n seven interviews</w:t>
      </w:r>
      <w:r w:rsidR="007066D4" w:rsidRPr="00EC02CA">
        <w:t>,</w:t>
      </w:r>
      <w:r w:rsidR="00940B47" w:rsidRPr="00EC02CA">
        <w:t xml:space="preserve"> it was suggested </w:t>
      </w:r>
      <w:r w:rsidR="007066D4" w:rsidRPr="00EC02CA">
        <w:t xml:space="preserve">that </w:t>
      </w:r>
      <w:r w:rsidR="00940B47" w:rsidRPr="00EC02CA">
        <w:t xml:space="preserve">there is a great need to increase the knowledge of parents and carers about sexual offending and </w:t>
      </w:r>
      <w:r w:rsidR="004957BD" w:rsidRPr="00EC02CA">
        <w:t xml:space="preserve">how to </w:t>
      </w:r>
      <w:r w:rsidR="00940B47" w:rsidRPr="00EC02CA">
        <w:t>manag</w:t>
      </w:r>
      <w:r w:rsidR="004957BD" w:rsidRPr="00EC02CA">
        <w:t>e</w:t>
      </w:r>
      <w:r w:rsidR="00940B47" w:rsidRPr="00EC02CA">
        <w:t xml:space="preserve"> harmful sexual behaviour. This included information about technology and online safety. </w:t>
      </w:r>
    </w:p>
    <w:p w14:paraId="6EE20535" w14:textId="241C7CFB" w:rsidR="00940B47" w:rsidRPr="00EC02CA" w:rsidRDefault="00CA72FD" w:rsidP="00A920EC">
      <w:pPr>
        <w:pStyle w:val="Indentedquote"/>
      </w:pPr>
      <w:r w:rsidRPr="00EC02CA">
        <w:t>T</w:t>
      </w:r>
      <w:r w:rsidR="00940B47" w:rsidRPr="00EC02CA">
        <w:t>hey foster a child and they didn’t expect these behaviours to emerge</w:t>
      </w:r>
      <w:r w:rsidR="00C73B99" w:rsidRPr="00EC02CA">
        <w:t>,</w:t>
      </w:r>
      <w:r w:rsidR="00940B47" w:rsidRPr="00EC02CA">
        <w:t xml:space="preserve"> and they’re often underprepared for them. So, in terms of therapeutic supports, how are we preparing people who are willing to take care of vulnerable, traumatised, disadvantaged children – to prevent these behaviours emerging in the first place or to [</w:t>
      </w:r>
      <w:r w:rsidR="007066D4" w:rsidRPr="00EC02CA">
        <w:t>respond</w:t>
      </w:r>
      <w:r w:rsidR="00940B47" w:rsidRPr="00EC02CA">
        <w:t>] appropriately if they do</w:t>
      </w:r>
      <w:r w:rsidR="007066D4" w:rsidRPr="00EC02CA">
        <w:t>?</w:t>
      </w:r>
      <w:r w:rsidR="00432522" w:rsidRPr="00EC02CA">
        <w:rPr>
          <w:rStyle w:val="FootnoteReference"/>
        </w:rPr>
        <w:footnoteReference w:id="302"/>
      </w:r>
    </w:p>
    <w:p w14:paraId="6FEEAE86" w14:textId="5B89C1CE" w:rsidR="00940B47" w:rsidRPr="00EC02CA" w:rsidRDefault="00CA72FD" w:rsidP="00A920EC">
      <w:pPr>
        <w:pStyle w:val="Indentedquote"/>
      </w:pPr>
      <w:r w:rsidRPr="00EC02CA">
        <w:t>I</w:t>
      </w:r>
      <w:r w:rsidR="00940B47" w:rsidRPr="00EC02CA">
        <w:t xml:space="preserve">t really is on us as caregivers and parents and communities to wrap around our young people and ensure that the interactions that they're having on the </w:t>
      </w:r>
      <w:r w:rsidR="000110B0" w:rsidRPr="00EC02CA">
        <w:t>i</w:t>
      </w:r>
      <w:r w:rsidR="00940B47" w:rsidRPr="00EC02CA">
        <w:t>nternet</w:t>
      </w:r>
      <w:r w:rsidR="007066D4" w:rsidRPr="00EC02CA">
        <w:t xml:space="preserve"> [are appropriate]</w:t>
      </w:r>
      <w:r w:rsidR="00940B47" w:rsidRPr="00EC02CA">
        <w:t>, that they're not taking strangers into their bedrooms via a telephone or an iPad or a laptop.</w:t>
      </w:r>
      <w:r w:rsidR="00432522" w:rsidRPr="00EC02CA">
        <w:rPr>
          <w:rStyle w:val="FootnoteReference"/>
        </w:rPr>
        <w:footnoteReference w:id="303"/>
      </w:r>
    </w:p>
    <w:p w14:paraId="32AA36A7" w14:textId="0ACA0AD5" w:rsidR="00940B47" w:rsidRPr="00EC02CA" w:rsidRDefault="00940B47" w:rsidP="00A920EC">
      <w:pPr>
        <w:pStyle w:val="Indentedquote"/>
        <w:rPr>
          <w:u w:val="single"/>
        </w:rPr>
      </w:pPr>
      <w:r w:rsidRPr="00EC02CA">
        <w:t xml:space="preserve">You know, some mechanism </w:t>
      </w:r>
      <w:r w:rsidR="007066D4" w:rsidRPr="00EC02CA">
        <w:t xml:space="preserve">… </w:t>
      </w:r>
      <w:r w:rsidRPr="00EC02CA">
        <w:t>for those parents to understand what has happened and accept what has happened and</w:t>
      </w:r>
      <w:r w:rsidR="007066D4" w:rsidRPr="00EC02CA">
        <w:t>,</w:t>
      </w:r>
      <w:r w:rsidRPr="00EC02CA">
        <w:t xml:space="preserve"> you know</w:t>
      </w:r>
      <w:r w:rsidR="007066D4" w:rsidRPr="00EC02CA">
        <w:t>,</w:t>
      </w:r>
      <w:r w:rsidRPr="00EC02CA">
        <w:t xml:space="preserve"> not over</w:t>
      </w:r>
      <w:r w:rsidR="00043A5A" w:rsidRPr="00EC02CA">
        <w:t>-</w:t>
      </w:r>
      <w:r w:rsidRPr="00EC02CA">
        <w:t xml:space="preserve">react, but to get the appropriate input because you know the research is really encouraging that </w:t>
      </w:r>
      <w:r w:rsidR="007066D4" w:rsidRPr="00EC02CA">
        <w:t xml:space="preserve">… </w:t>
      </w:r>
      <w:r w:rsidRPr="00EC02CA">
        <w:t>often very quick therapeutic intervention is really effective for young people in a way that it isn't for adults.</w:t>
      </w:r>
      <w:r w:rsidR="00432522" w:rsidRPr="00EC02CA">
        <w:rPr>
          <w:rStyle w:val="FootnoteReference"/>
        </w:rPr>
        <w:footnoteReference w:id="304"/>
      </w:r>
    </w:p>
    <w:p w14:paraId="4854F04F" w14:textId="30B5B06C" w:rsidR="009B4D3B" w:rsidRPr="00EC02CA" w:rsidRDefault="002443BB" w:rsidP="002F0007">
      <w:pPr>
        <w:pStyle w:val="NormalNumberedTextTLRI"/>
      </w:pPr>
      <w:r w:rsidRPr="00EC02CA">
        <w:t xml:space="preserve">There </w:t>
      </w:r>
      <w:r w:rsidR="00D85C8B" w:rsidRPr="00EC02CA">
        <w:t>wa</w:t>
      </w:r>
      <w:r w:rsidRPr="00EC02CA">
        <w:t xml:space="preserve">s </w:t>
      </w:r>
      <w:r w:rsidR="007066D4" w:rsidRPr="00EC02CA">
        <w:t xml:space="preserve">also </w:t>
      </w:r>
      <w:r w:rsidRPr="00EC02CA">
        <w:t xml:space="preserve">recognition of the need for education of those working with young people </w:t>
      </w:r>
      <w:r w:rsidR="007066D4" w:rsidRPr="00EC02CA">
        <w:t xml:space="preserve">who engage in </w:t>
      </w:r>
      <w:r w:rsidRPr="00EC02CA">
        <w:t xml:space="preserve">harmful sexual </w:t>
      </w:r>
      <w:r w:rsidR="00387BF4" w:rsidRPr="00EC02CA">
        <w:t>behaviour</w:t>
      </w:r>
      <w:r w:rsidRPr="00EC02CA">
        <w:t>. This has been acknowledge</w:t>
      </w:r>
      <w:r w:rsidR="00387BF4" w:rsidRPr="00EC02CA">
        <w:t>d</w:t>
      </w:r>
      <w:r w:rsidRPr="00EC02CA">
        <w:t xml:space="preserve"> across the Royal Commission, the Commission of Inquiry and the </w:t>
      </w:r>
      <w:r w:rsidR="00387BF4" w:rsidRPr="00EC02CA">
        <w:t>government response.</w:t>
      </w:r>
      <w:r w:rsidR="00387BF4" w:rsidRPr="00EC02CA">
        <w:rPr>
          <w:rStyle w:val="FootnoteReference"/>
        </w:rPr>
        <w:footnoteReference w:id="305"/>
      </w:r>
      <w:r w:rsidR="00387BF4" w:rsidRPr="00EC02CA">
        <w:t xml:space="preserve"> </w:t>
      </w:r>
      <w:r w:rsidR="009B4D3B" w:rsidRPr="00EC02CA">
        <w:t xml:space="preserve">In 14 interviews, it was suggested </w:t>
      </w:r>
      <w:r w:rsidR="00473532" w:rsidRPr="00EC02CA">
        <w:t xml:space="preserve">that </w:t>
      </w:r>
      <w:r w:rsidR="009B4D3B" w:rsidRPr="00EC02CA">
        <w:t>there is a need to increase the knowledge and skills of professionals who work with young people, including teachers and police, to better identify and respond to sexual offending.</w:t>
      </w:r>
    </w:p>
    <w:p w14:paraId="7D93EB53" w14:textId="6D4A2B5E" w:rsidR="009B4D3B" w:rsidRPr="00EC02CA" w:rsidRDefault="009B4D3B" w:rsidP="00A920EC">
      <w:pPr>
        <w:pStyle w:val="Indentedquote"/>
      </w:pPr>
      <w:r w:rsidRPr="00EC02CA">
        <w:t xml:space="preserve">I know that there's been a lot more education for </w:t>
      </w:r>
      <w:r w:rsidR="000F6D6F" w:rsidRPr="00EC02CA">
        <w:t>C</w:t>
      </w:r>
      <w:r w:rsidRPr="00EC02CA">
        <w:t xml:space="preserve">hild </w:t>
      </w:r>
      <w:r w:rsidR="000F6D6F" w:rsidRPr="00EC02CA">
        <w:t>S</w:t>
      </w:r>
      <w:r w:rsidRPr="00EC02CA">
        <w:t xml:space="preserve">afety and </w:t>
      </w:r>
      <w:r w:rsidR="00743E62" w:rsidRPr="00EC02CA">
        <w:t>S</w:t>
      </w:r>
      <w:r w:rsidRPr="00EC02CA">
        <w:t xml:space="preserve">trong </w:t>
      </w:r>
      <w:r w:rsidR="00743E62" w:rsidRPr="00EC02CA">
        <w:t>F</w:t>
      </w:r>
      <w:r w:rsidRPr="00EC02CA">
        <w:t xml:space="preserve">amilies, </w:t>
      </w:r>
      <w:r w:rsidR="00743E62" w:rsidRPr="00EC02CA">
        <w:t>S</w:t>
      </w:r>
      <w:r w:rsidRPr="00EC02CA">
        <w:t xml:space="preserve">afe </w:t>
      </w:r>
      <w:r w:rsidR="00743E62" w:rsidRPr="00EC02CA">
        <w:t>K</w:t>
      </w:r>
      <w:r w:rsidRPr="00EC02CA">
        <w:t>ids. But I think even if we can just keep that collaboration and upskilling, also for police</w:t>
      </w:r>
      <w:r w:rsidR="00473532" w:rsidRPr="00EC02CA">
        <w:t>,</w:t>
      </w:r>
      <w:r w:rsidRPr="00EC02CA">
        <w:t xml:space="preserve"> around</w:t>
      </w:r>
      <w:r w:rsidR="00387BF4" w:rsidRPr="00EC02CA">
        <w:t xml:space="preserve"> the question of </w:t>
      </w:r>
      <w:r w:rsidRPr="00EC02CA">
        <w:t>how can we respond in a way that is reducing harm in the future.</w:t>
      </w:r>
      <w:r w:rsidRPr="00EC02CA">
        <w:rPr>
          <w:rStyle w:val="FootnoteReference"/>
        </w:rPr>
        <w:footnoteReference w:id="306"/>
      </w:r>
    </w:p>
    <w:p w14:paraId="2EB7CD2F" w14:textId="516E9DBF" w:rsidR="009B4D3B" w:rsidRPr="00EC02CA" w:rsidRDefault="00387BF4" w:rsidP="00A920EC">
      <w:pPr>
        <w:pStyle w:val="Indentedquote"/>
      </w:pPr>
      <w:r w:rsidRPr="00EC02CA">
        <w:t xml:space="preserve">I </w:t>
      </w:r>
      <w:r w:rsidR="009B4D3B" w:rsidRPr="00EC02CA">
        <w:t>think sometimes it was around that staff</w:t>
      </w:r>
      <w:r w:rsidR="00CA61AB" w:rsidRPr="00EC02CA">
        <w:t xml:space="preserve"> </w:t>
      </w:r>
      <w:r w:rsidR="009B4D3B" w:rsidRPr="00EC02CA">
        <w:t>didn't have a good enough knowledge of what to be worrying about, but also not feeling supported around you know, how am I gonna deal with this [harmful behaviour]?</w:t>
      </w:r>
      <w:r w:rsidR="009B4D3B" w:rsidRPr="00EC02CA">
        <w:rPr>
          <w:rStyle w:val="FootnoteReference"/>
        </w:rPr>
        <w:footnoteReference w:id="307"/>
      </w:r>
    </w:p>
    <w:p w14:paraId="5C474BA1" w14:textId="7FC58C5E" w:rsidR="009B4D3B" w:rsidRPr="00EC02CA" w:rsidRDefault="00387BF4" w:rsidP="00A920EC">
      <w:pPr>
        <w:pStyle w:val="Indentedquote"/>
      </w:pPr>
      <w:r w:rsidRPr="00EC02CA">
        <w:t>Th</w:t>
      </w:r>
      <w:r w:rsidR="00AF07A0" w:rsidRPr="00EC02CA">
        <w:t>er</w:t>
      </w:r>
      <w:r w:rsidRPr="00EC02CA">
        <w:t>e are</w:t>
      </w:r>
      <w:r w:rsidR="009B4D3B" w:rsidRPr="00EC02CA">
        <w:t xml:space="preserve"> youth workers and key workers, but they wouldn't have the skill set or the knowledge or the experience of working with young people who exhibit sexualised behaviour. So oftentimes, they miss those vital c</w:t>
      </w:r>
      <w:r w:rsidR="002C5DEC" w:rsidRPr="00EC02CA">
        <w:t>l</w:t>
      </w:r>
      <w:r w:rsidR="009B4D3B" w:rsidRPr="00EC02CA">
        <w:t>ues that there's something amiss here.</w:t>
      </w:r>
      <w:r w:rsidR="009B4D3B" w:rsidRPr="00EC02CA">
        <w:rPr>
          <w:rStyle w:val="FootnoteReference"/>
        </w:rPr>
        <w:footnoteReference w:id="308"/>
      </w:r>
    </w:p>
    <w:p w14:paraId="58E58C8F" w14:textId="612616FA" w:rsidR="009B4D3B" w:rsidRPr="00EC02CA" w:rsidRDefault="009B4D3B" w:rsidP="00A920EC">
      <w:pPr>
        <w:pStyle w:val="Indentedquote"/>
      </w:pPr>
      <w:r w:rsidRPr="00EC02CA">
        <w:t xml:space="preserve">I think that </w:t>
      </w:r>
      <w:r w:rsidR="00473532" w:rsidRPr="00EC02CA">
        <w:t xml:space="preserve">[for] </w:t>
      </w:r>
      <w:r w:rsidRPr="00EC02CA">
        <w:t xml:space="preserve">the standard police, you know, the uniformed </w:t>
      </w:r>
      <w:r w:rsidR="00473532" w:rsidRPr="00EC02CA">
        <w:t xml:space="preserve">police </w:t>
      </w:r>
      <w:r w:rsidRPr="00EC02CA">
        <w:t>in standard police stations, I think that there's still insufficient training for those people about trauma</w:t>
      </w:r>
      <w:r w:rsidR="00473532" w:rsidRPr="00EC02CA">
        <w:t>-</w:t>
      </w:r>
      <w:r w:rsidRPr="00EC02CA">
        <w:t>informed responding and responding to victim</w:t>
      </w:r>
      <w:r w:rsidR="00330082" w:rsidRPr="00EC02CA">
        <w:t>-</w:t>
      </w:r>
      <w:r w:rsidRPr="00EC02CA">
        <w:t>survivors in a way that believes them.</w:t>
      </w:r>
      <w:r w:rsidRPr="00EC02CA">
        <w:rPr>
          <w:rStyle w:val="FootnoteReference"/>
        </w:rPr>
        <w:footnoteReference w:id="309"/>
      </w:r>
    </w:p>
    <w:p w14:paraId="6CC7302B" w14:textId="10356D62" w:rsidR="00ED33D2" w:rsidRPr="00EC02CA" w:rsidRDefault="002C19C3" w:rsidP="002F0007">
      <w:pPr>
        <w:pStyle w:val="NormalNumberedTextTLRI"/>
      </w:pPr>
      <w:r w:rsidRPr="00EC02CA">
        <w:t xml:space="preserve">The needs </w:t>
      </w:r>
      <w:r w:rsidR="006202E5" w:rsidRPr="00EC02CA">
        <w:t>of</w:t>
      </w:r>
      <w:r w:rsidRPr="00EC02CA">
        <w:t xml:space="preserve"> </w:t>
      </w:r>
      <w:r w:rsidR="003C2332" w:rsidRPr="00EC02CA">
        <w:t>victim-survivors</w:t>
      </w:r>
      <w:r w:rsidRPr="00EC02CA">
        <w:t xml:space="preserve"> w</w:t>
      </w:r>
      <w:r w:rsidR="00092EDB" w:rsidRPr="00EC02CA">
        <w:t>ere</w:t>
      </w:r>
      <w:r w:rsidR="00AE3CD8" w:rsidRPr="00EC02CA">
        <w:t xml:space="preserve"> discussed in five </w:t>
      </w:r>
      <w:r w:rsidRPr="00EC02CA">
        <w:t>interviews</w:t>
      </w:r>
      <w:r w:rsidR="00473532" w:rsidRPr="00EC02CA">
        <w:t>,</w:t>
      </w:r>
      <w:r w:rsidRPr="00EC02CA">
        <w:t xml:space="preserve"> with the views expressed</w:t>
      </w:r>
      <w:r w:rsidR="00AE3CD8" w:rsidRPr="00EC02CA">
        <w:t xml:space="preserve"> that the education sector can play a role in providing support for young people affected by sexual harm. This was predominantly through professional support staff</w:t>
      </w:r>
      <w:r w:rsidR="00FA5A7C" w:rsidRPr="00EC02CA">
        <w:t xml:space="preserve"> </w:t>
      </w:r>
      <w:r w:rsidR="00AE3CD8" w:rsidRPr="00EC02CA">
        <w:t xml:space="preserve">offering counselling services for young people. </w:t>
      </w:r>
      <w:r w:rsidR="00B104B1" w:rsidRPr="00EC02CA">
        <w:t>Beyond</w:t>
      </w:r>
      <w:r w:rsidRPr="00EC02CA">
        <w:t xml:space="preserve"> </w:t>
      </w:r>
      <w:r w:rsidR="00B104B1" w:rsidRPr="00EC02CA">
        <w:t>counselling</w:t>
      </w:r>
      <w:r w:rsidR="00FA5A7C" w:rsidRPr="00EC02CA">
        <w:t>,</w:t>
      </w:r>
      <w:r w:rsidR="00B104B1" w:rsidRPr="00EC02CA">
        <w:t xml:space="preserve"> however,</w:t>
      </w:r>
      <w:r w:rsidR="00FA5A7C" w:rsidRPr="00EC02CA">
        <w:t xml:space="preserve"> </w:t>
      </w:r>
      <w:r w:rsidR="0036258A" w:rsidRPr="00EC02CA">
        <w:t>it was suggested that</w:t>
      </w:r>
      <w:r w:rsidR="00FA5A7C" w:rsidRPr="00EC02CA">
        <w:t xml:space="preserve"> p</w:t>
      </w:r>
      <w:r w:rsidR="0090555E" w:rsidRPr="00EC02CA">
        <w:t>rofessionals who have contact with young people through their work need to sup</w:t>
      </w:r>
      <w:r w:rsidR="00FA5A7C" w:rsidRPr="00EC02CA">
        <w:t>p</w:t>
      </w:r>
      <w:r w:rsidR="0090555E" w:rsidRPr="00EC02CA">
        <w:t>ort</w:t>
      </w:r>
      <w:r w:rsidR="004768F2" w:rsidRPr="00EC02CA">
        <w:t xml:space="preserve"> </w:t>
      </w:r>
      <w:r w:rsidR="00B104B1" w:rsidRPr="00EC02CA">
        <w:t>them</w:t>
      </w:r>
      <w:r w:rsidR="004768F2" w:rsidRPr="00EC02CA">
        <w:t xml:space="preserve"> to make reports to police </w:t>
      </w:r>
      <w:r w:rsidR="00B104B1" w:rsidRPr="00EC02CA">
        <w:t>and/</w:t>
      </w:r>
      <w:r w:rsidR="004768F2" w:rsidRPr="00EC02CA">
        <w:t>or to engage with the criminal justice system</w:t>
      </w:r>
      <w:r w:rsidR="00B104B1" w:rsidRPr="00EC02CA">
        <w:t>, including when a mandatory report is made</w:t>
      </w:r>
      <w:r w:rsidR="00582D43" w:rsidRPr="00EC02CA">
        <w:t>.</w:t>
      </w:r>
      <w:r w:rsidR="00FF4181" w:rsidRPr="00EC02CA">
        <w:rPr>
          <w:rStyle w:val="FootnoteReference"/>
        </w:rPr>
        <w:footnoteReference w:id="310"/>
      </w:r>
      <w:r w:rsidR="00B104B1" w:rsidRPr="00EC02CA">
        <w:t xml:space="preserve"> </w:t>
      </w:r>
      <w:r w:rsidR="00DB33CE" w:rsidRPr="00EC02CA">
        <w:t>There is also a need to ensure continue</w:t>
      </w:r>
      <w:r w:rsidR="00693692" w:rsidRPr="00EC02CA">
        <w:t>d</w:t>
      </w:r>
      <w:r w:rsidR="00DB33CE" w:rsidRPr="00EC02CA">
        <w:t xml:space="preserve"> training to police about the </w:t>
      </w:r>
      <w:r w:rsidR="00796549" w:rsidRPr="00EC02CA">
        <w:t xml:space="preserve">best way to engage with </w:t>
      </w:r>
      <w:r w:rsidR="003C2332" w:rsidRPr="00EC02CA">
        <w:t>victim-survivors</w:t>
      </w:r>
      <w:r w:rsidR="00BC157E" w:rsidRPr="00EC02CA">
        <w:t>.</w:t>
      </w:r>
      <w:r w:rsidR="00582D43" w:rsidRPr="00EC02CA">
        <w:t xml:space="preserve"> </w:t>
      </w:r>
      <w:r w:rsidR="00B26EC1" w:rsidRPr="00EC02CA">
        <w:t xml:space="preserve">Relatedly, some participants underscored the need for </w:t>
      </w:r>
      <w:r w:rsidR="00D91E91" w:rsidRPr="00EC02CA">
        <w:t xml:space="preserve">better understanding of (a) </w:t>
      </w:r>
      <w:r w:rsidR="00693692" w:rsidRPr="00EC02CA">
        <w:t xml:space="preserve">the </w:t>
      </w:r>
      <w:r w:rsidR="00780B8B" w:rsidRPr="00EC02CA">
        <w:t xml:space="preserve">quality of </w:t>
      </w:r>
      <w:r w:rsidR="00B104B1" w:rsidRPr="00EC02CA">
        <w:t xml:space="preserve">information police require to investigate an allegation, and </w:t>
      </w:r>
      <w:r w:rsidR="008A1668" w:rsidRPr="00EC02CA">
        <w:t>(b)</w:t>
      </w:r>
      <w:r w:rsidR="00B104B1" w:rsidRPr="00EC02CA">
        <w:t xml:space="preserve"> the </w:t>
      </w:r>
      <w:r w:rsidR="00693692" w:rsidRPr="00EC02CA">
        <w:t xml:space="preserve">standard of </w:t>
      </w:r>
      <w:r w:rsidR="00B104B1" w:rsidRPr="00EC02CA">
        <w:t xml:space="preserve">evidence </w:t>
      </w:r>
      <w:r w:rsidR="00DB33CE" w:rsidRPr="00EC02CA">
        <w:t xml:space="preserve">required to </w:t>
      </w:r>
      <w:r w:rsidR="00693692" w:rsidRPr="00EC02CA">
        <w:t xml:space="preserve">commence a </w:t>
      </w:r>
      <w:r w:rsidR="00DB33CE" w:rsidRPr="00EC02CA">
        <w:t>proceed</w:t>
      </w:r>
      <w:r w:rsidR="00693692" w:rsidRPr="00EC02CA">
        <w:t>ing</w:t>
      </w:r>
      <w:r w:rsidR="00DB33CE" w:rsidRPr="00EC02CA">
        <w:t xml:space="preserve">. </w:t>
      </w:r>
      <w:r w:rsidR="00700958" w:rsidRPr="00EC02CA">
        <w:t xml:space="preserve">The corresponding benefits of </w:t>
      </w:r>
      <w:r w:rsidR="00BD1FBF" w:rsidRPr="00EC02CA">
        <w:t xml:space="preserve">both these suggestions </w:t>
      </w:r>
      <w:r w:rsidR="00D0786E" w:rsidRPr="00EC02CA">
        <w:t xml:space="preserve">was stated to be </w:t>
      </w:r>
      <w:r w:rsidR="00F20298" w:rsidRPr="00EC02CA">
        <w:t xml:space="preserve">an increase in </w:t>
      </w:r>
      <w:r w:rsidR="00696BDA" w:rsidRPr="00EC02CA">
        <w:t>the efficacy of the mandatory reporting scheme, and a</w:t>
      </w:r>
      <w:r w:rsidR="00734D6B" w:rsidRPr="00EC02CA">
        <w:t xml:space="preserve"> reduction in </w:t>
      </w:r>
      <w:r w:rsidR="00FD0DA0" w:rsidRPr="00EC02CA">
        <w:t xml:space="preserve">the disappointment </w:t>
      </w:r>
      <w:r w:rsidR="003C2332" w:rsidRPr="00EC02CA">
        <w:t>victim-survivors</w:t>
      </w:r>
      <w:r w:rsidR="00FD0DA0" w:rsidRPr="00EC02CA">
        <w:t xml:space="preserve"> and their </w:t>
      </w:r>
      <w:r w:rsidR="00CD7CCD" w:rsidRPr="00EC02CA">
        <w:t>careers/</w:t>
      </w:r>
      <w:r w:rsidR="00FD0DA0" w:rsidRPr="00EC02CA">
        <w:t xml:space="preserve">families </w:t>
      </w:r>
      <w:r w:rsidR="00DD1F11" w:rsidRPr="00EC02CA">
        <w:t>might</w:t>
      </w:r>
      <w:r w:rsidR="00FD0DA0" w:rsidRPr="00EC02CA">
        <w:t xml:space="preserve"> </w:t>
      </w:r>
      <w:r w:rsidR="00315ED6" w:rsidRPr="00EC02CA">
        <w:t xml:space="preserve">experience </w:t>
      </w:r>
      <w:r w:rsidR="00C52B6A" w:rsidRPr="00EC02CA">
        <w:t xml:space="preserve">if they misunderstand </w:t>
      </w:r>
      <w:r w:rsidR="000638F3" w:rsidRPr="00EC02CA">
        <w:t xml:space="preserve">criminal </w:t>
      </w:r>
      <w:r w:rsidR="00945301" w:rsidRPr="00EC02CA">
        <w:t>investigation processes</w:t>
      </w:r>
      <w:r w:rsidR="00A41A7D" w:rsidRPr="00EC02CA">
        <w:t xml:space="preserve"> leading to a charge</w:t>
      </w:r>
      <w:r w:rsidR="0042136F" w:rsidRPr="00EC02CA">
        <w:t>. In this way</w:t>
      </w:r>
      <w:r w:rsidR="00473532" w:rsidRPr="00EC02CA">
        <w:t>,</w:t>
      </w:r>
      <w:r w:rsidR="00D45FDF" w:rsidRPr="00EC02CA">
        <w:t xml:space="preserve"> e</w:t>
      </w:r>
      <w:r w:rsidR="00ED33D2" w:rsidRPr="00EC02CA">
        <w:t xml:space="preserve">ducation can also </w:t>
      </w:r>
      <w:r w:rsidR="00473532" w:rsidRPr="00EC02CA">
        <w:t xml:space="preserve">serve as </w:t>
      </w:r>
      <w:r w:rsidR="00ED33D2" w:rsidRPr="00EC02CA">
        <w:t xml:space="preserve">a </w:t>
      </w:r>
      <w:r w:rsidR="001F5D70" w:rsidRPr="00EC02CA">
        <w:t xml:space="preserve">secondary and </w:t>
      </w:r>
      <w:r w:rsidR="00ED33D2" w:rsidRPr="00EC02CA">
        <w:t>tertiary intervention with</w:t>
      </w:r>
      <w:r w:rsidR="001909FE" w:rsidRPr="00EC02CA">
        <w:t>in</w:t>
      </w:r>
      <w:r w:rsidR="00ED33D2" w:rsidRPr="00EC02CA">
        <w:t xml:space="preserve"> the justice system</w:t>
      </w:r>
      <w:r w:rsidR="00473532" w:rsidRPr="00EC02CA">
        <w:t>, offerin</w:t>
      </w:r>
      <w:r w:rsidR="00ED33D2" w:rsidRPr="00EC02CA">
        <w:t xml:space="preserve">g </w:t>
      </w:r>
      <w:r w:rsidR="00EB0A20" w:rsidRPr="00EC02CA">
        <w:t>opportunit</w:t>
      </w:r>
      <w:r w:rsidR="001F5D70" w:rsidRPr="00EC02CA">
        <w:t xml:space="preserve">ies to provide information to </w:t>
      </w:r>
      <w:r w:rsidR="00473532" w:rsidRPr="00EC02CA">
        <w:t xml:space="preserve">victim-survivors </w:t>
      </w:r>
      <w:r w:rsidR="001C573F" w:rsidRPr="00EC02CA">
        <w:t>at the reporting stage</w:t>
      </w:r>
      <w:r w:rsidR="00E62D7F" w:rsidRPr="00EC02CA">
        <w:t xml:space="preserve">. </w:t>
      </w:r>
      <w:r w:rsidR="00EB0A20" w:rsidRPr="00EC02CA">
        <w:t xml:space="preserve"> </w:t>
      </w:r>
    </w:p>
    <w:p w14:paraId="3F3923B8" w14:textId="77777777" w:rsidR="00C714FA" w:rsidRPr="00EC02CA" w:rsidRDefault="00C714FA" w:rsidP="00C714FA">
      <w:pPr>
        <w:pStyle w:val="NumberedHeadingTLRI"/>
      </w:pPr>
      <w:bookmarkStart w:id="174" w:name="_Toc211849386"/>
      <w:bookmarkStart w:id="175" w:name="_Toc218157282"/>
      <w:r w:rsidRPr="00EC02CA">
        <w:t>The need for further collaboration</w:t>
      </w:r>
      <w:bookmarkEnd w:id="174"/>
      <w:bookmarkEnd w:id="175"/>
    </w:p>
    <w:p w14:paraId="0E1C246F" w14:textId="05A9FFB7" w:rsidR="00C714FA" w:rsidRPr="00EC02CA" w:rsidRDefault="00C714FA" w:rsidP="002F0007">
      <w:pPr>
        <w:pStyle w:val="NormalNumberedTextTLRI"/>
      </w:pPr>
      <w:r w:rsidRPr="00EC02CA">
        <w:t xml:space="preserve">As noted by the Royal Commission, young people </w:t>
      </w:r>
      <w:r w:rsidR="005F402B" w:rsidRPr="00EC02CA">
        <w:t xml:space="preserve">who engage in </w:t>
      </w:r>
      <w:r w:rsidRPr="00EC02CA">
        <w:t>harmful sexual behaviour potentially interact with a number of institutions including ‘child protection services, the police, health and mental health services, disability service</w:t>
      </w:r>
      <w:r w:rsidR="005F402B" w:rsidRPr="00EC02CA">
        <w:t>s</w:t>
      </w:r>
      <w:r w:rsidRPr="00EC02CA">
        <w:t>, therapeutic treatment services, juvenile justice services and specific institutions in which a child has exhibited harmful sexual behaviour’.</w:t>
      </w:r>
      <w:r w:rsidRPr="00EC02CA">
        <w:rPr>
          <w:rStyle w:val="FootnoteReference"/>
        </w:rPr>
        <w:footnoteReference w:id="311"/>
      </w:r>
      <w:r w:rsidRPr="00EC02CA">
        <w:t xml:space="preserve"> It was noted that</w:t>
      </w:r>
      <w:r w:rsidR="005F402B" w:rsidRPr="00EC02CA">
        <w:t>,</w:t>
      </w:r>
      <w:r w:rsidRPr="00EC02CA">
        <w:t xml:space="preserve"> where appropriate, these agencies need to work collaboratively to achieve primary and secondary prevention and tertiary intervention.</w:t>
      </w:r>
      <w:r w:rsidRPr="00EC02CA">
        <w:rPr>
          <w:rStyle w:val="FootnoteReference"/>
        </w:rPr>
        <w:footnoteReference w:id="312"/>
      </w:r>
      <w:r w:rsidRPr="00EC02CA">
        <w:t xml:space="preserve"> In the modern Tasmanian context, given the extent of harmful sexual behaviour (including online behaviour)</w:t>
      </w:r>
      <w:r w:rsidR="00AE3CD8" w:rsidRPr="00EC02CA">
        <w:t>,</w:t>
      </w:r>
      <w:r w:rsidRPr="00EC02CA">
        <w:t xml:space="preserve"> the range of agencies that may be involved in responding to harmful sexual behaviour include</w:t>
      </w:r>
      <w:r w:rsidR="005F402B" w:rsidRPr="00EC02CA">
        <w:t>s</w:t>
      </w:r>
      <w:r w:rsidRPr="00EC02CA">
        <w:t xml:space="preserve"> schools (government and independent schools), Tasmania Police, the Australian Federal Police, Child Safety Services, Youth Justice, the Office of the Director of Public Prosecutions, </w:t>
      </w:r>
      <w:r w:rsidR="005F402B" w:rsidRPr="00EC02CA">
        <w:t xml:space="preserve">the </w:t>
      </w:r>
      <w:r w:rsidRPr="00EC02CA">
        <w:t>courts, and service providers</w:t>
      </w:r>
      <w:r w:rsidR="005F402B" w:rsidRPr="00EC02CA">
        <w:t>,</w:t>
      </w:r>
      <w:r w:rsidRPr="00EC02CA">
        <w:t xml:space="preserve"> such as SASS or Laurel House.</w:t>
      </w:r>
      <w:r w:rsidR="0033740E" w:rsidRPr="00EC02CA">
        <w:rPr>
          <w:rStyle w:val="FootnoteReference"/>
        </w:rPr>
        <w:footnoteReference w:id="313"/>
      </w:r>
    </w:p>
    <w:p w14:paraId="1F281EBD" w14:textId="3949773F" w:rsidR="00916B64" w:rsidRPr="00EC02CA" w:rsidRDefault="00916B64" w:rsidP="00A920EC">
      <w:pPr>
        <w:pStyle w:val="TLRISubheading"/>
      </w:pPr>
      <w:bookmarkStart w:id="176" w:name="_Toc211849387"/>
      <w:bookmarkStart w:id="177" w:name="_Toc218157283"/>
      <w:r w:rsidRPr="00EC02CA">
        <w:t>TLRI interview</w:t>
      </w:r>
      <w:r w:rsidR="009A0F63" w:rsidRPr="00EC02CA">
        <w:t>ee</w:t>
      </w:r>
      <w:r w:rsidRPr="00EC02CA">
        <w:t>s</w:t>
      </w:r>
      <w:bookmarkEnd w:id="176"/>
      <w:r w:rsidR="009A0F63" w:rsidRPr="00EC02CA">
        <w:t>’ views</w:t>
      </w:r>
      <w:bookmarkEnd w:id="177"/>
    </w:p>
    <w:p w14:paraId="01211849" w14:textId="3409EA07" w:rsidR="00DF20CC" w:rsidRPr="00EC02CA" w:rsidRDefault="00EC169B" w:rsidP="00A920EC">
      <w:pPr>
        <w:pStyle w:val="NormalNumberedTextTLRI"/>
      </w:pPr>
      <w:r w:rsidRPr="00EC02CA">
        <w:t xml:space="preserve">In the interviews, the TLRI was provided with examples of </w:t>
      </w:r>
      <w:r w:rsidR="00916B64" w:rsidRPr="00EC02CA">
        <w:t xml:space="preserve">significant </w:t>
      </w:r>
      <w:r w:rsidRPr="00EC02CA">
        <w:t>collaboration between services</w:t>
      </w:r>
      <w:r w:rsidR="00C714FA" w:rsidRPr="00EC02CA">
        <w:t xml:space="preserve">, such as the involvement of police within schools delivering education, the </w:t>
      </w:r>
      <w:r w:rsidR="001B6790" w:rsidRPr="00EC02CA">
        <w:t>cooperation</w:t>
      </w:r>
      <w:r w:rsidR="00C714FA" w:rsidRPr="00EC02CA">
        <w:t xml:space="preserve"> under JACET of Tasmania Police and the AFP,</w:t>
      </w:r>
      <w:r w:rsidR="00BB6110" w:rsidRPr="00EC02CA">
        <w:t xml:space="preserve"> and</w:t>
      </w:r>
      <w:r w:rsidR="00C714FA" w:rsidRPr="00EC02CA">
        <w:t xml:space="preserve"> </w:t>
      </w:r>
      <w:r w:rsidR="0023499B" w:rsidRPr="00EC02CA">
        <w:t xml:space="preserve">between </w:t>
      </w:r>
      <w:r w:rsidR="00C714FA" w:rsidRPr="00EC02CA">
        <w:t>police</w:t>
      </w:r>
      <w:r w:rsidR="0023499B" w:rsidRPr="00EC02CA">
        <w:t xml:space="preserve"> and </w:t>
      </w:r>
      <w:r w:rsidR="001B6790" w:rsidRPr="00EC02CA">
        <w:t>child</w:t>
      </w:r>
      <w:r w:rsidR="00C714FA" w:rsidRPr="00EC02CA">
        <w:t xml:space="preserve"> protection </w:t>
      </w:r>
      <w:r w:rsidRPr="00EC02CA">
        <w:t xml:space="preserve">and with </w:t>
      </w:r>
      <w:r w:rsidR="00072C69" w:rsidRPr="00EC02CA">
        <w:t xml:space="preserve">local </w:t>
      </w:r>
      <w:r w:rsidR="005F402B" w:rsidRPr="00EC02CA">
        <w:t>S</w:t>
      </w:r>
      <w:r w:rsidR="00072C69" w:rsidRPr="00EC02CA">
        <w:t xml:space="preserve">exual </w:t>
      </w:r>
      <w:r w:rsidR="005F402B" w:rsidRPr="00EC02CA">
        <w:t>A</w:t>
      </w:r>
      <w:r w:rsidR="00072C69" w:rsidRPr="00EC02CA">
        <w:t xml:space="preserve">ssault </w:t>
      </w:r>
      <w:r w:rsidR="005F402B" w:rsidRPr="00EC02CA">
        <w:t>S</w:t>
      </w:r>
      <w:r w:rsidR="00072C69" w:rsidRPr="00EC02CA">
        <w:t xml:space="preserve">upport </w:t>
      </w:r>
      <w:r w:rsidR="005F402B" w:rsidRPr="00EC02CA">
        <w:t>S</w:t>
      </w:r>
      <w:r w:rsidR="00072C69" w:rsidRPr="00EC02CA">
        <w:t>ervices</w:t>
      </w:r>
      <w:r w:rsidR="00863CBD" w:rsidRPr="00EC02CA">
        <w:t xml:space="preserve">. </w:t>
      </w:r>
      <w:r w:rsidRPr="00EC02CA">
        <w:t>C</w:t>
      </w:r>
      <w:r w:rsidR="00DF20CC" w:rsidRPr="00EC02CA">
        <w:t>ommunication and collaboration between sectors was discussed in 22 interviews. Communication primarily revolved around issuing referrals between sectors (</w:t>
      </w:r>
      <w:r w:rsidR="00CC1223" w:rsidRPr="00EC02CA">
        <w:t>for example</w:t>
      </w:r>
      <w:r w:rsidR="00DF20CC" w:rsidRPr="00EC02CA">
        <w:t xml:space="preserve">, from </w:t>
      </w:r>
      <w:r w:rsidR="005F402B" w:rsidRPr="00EC02CA">
        <w:t xml:space="preserve">the </w:t>
      </w:r>
      <w:r w:rsidR="00DF20CC" w:rsidRPr="00EC02CA">
        <w:t xml:space="preserve">legal into </w:t>
      </w:r>
      <w:r w:rsidR="005F402B" w:rsidRPr="00EC02CA">
        <w:t xml:space="preserve">the </w:t>
      </w:r>
      <w:r w:rsidR="00DF20CC" w:rsidRPr="00EC02CA">
        <w:t>support sector</w:t>
      </w:r>
      <w:r w:rsidR="005F402B" w:rsidRPr="00EC02CA">
        <w:t>,</w:t>
      </w:r>
      <w:r w:rsidR="00DF20CC" w:rsidRPr="00EC02CA">
        <w:t xml:space="preserve"> or from education into </w:t>
      </w:r>
      <w:r w:rsidR="005F402B" w:rsidRPr="00EC02CA">
        <w:t xml:space="preserve">the </w:t>
      </w:r>
      <w:r w:rsidR="00DF20CC" w:rsidRPr="00EC02CA">
        <w:t>support sector)</w:t>
      </w:r>
      <w:r w:rsidR="004658AD" w:rsidRPr="00EC02CA">
        <w:t>, with interviewees noting</w:t>
      </w:r>
      <w:r w:rsidR="007028B1" w:rsidRPr="00EC02CA">
        <w:t xml:space="preserve"> that,</w:t>
      </w:r>
      <w:r w:rsidR="005F402B" w:rsidRPr="00EC02CA">
        <w:t xml:space="preserve"> </w:t>
      </w:r>
      <w:r w:rsidR="007028B1" w:rsidRPr="00EC02CA">
        <w:t>‘s</w:t>
      </w:r>
      <w:r w:rsidR="00DF20CC" w:rsidRPr="00EC02CA">
        <w:t xml:space="preserve">chools generally are being much more explicit in how they broach it with children. And </w:t>
      </w:r>
      <w:r w:rsidR="00CC1223" w:rsidRPr="00EC02CA">
        <w:t>…</w:t>
      </w:r>
      <w:r w:rsidR="00DF20CC" w:rsidRPr="00EC02CA">
        <w:t xml:space="preserve"> they're partnering with a lot of outside agencies such as </w:t>
      </w:r>
      <w:r w:rsidR="00A0637E" w:rsidRPr="00EC02CA">
        <w:t>…</w:t>
      </w:r>
      <w:r w:rsidR="00DF20CC" w:rsidRPr="00EC02CA">
        <w:t xml:space="preserve"> Laurel House</w:t>
      </w:r>
      <w:r w:rsidR="007028B1" w:rsidRPr="00EC02CA">
        <w:t>’</w:t>
      </w:r>
      <w:r w:rsidR="00DF20CC" w:rsidRPr="00EC02CA">
        <w:t>.</w:t>
      </w:r>
      <w:r w:rsidR="00DF20CC" w:rsidRPr="00EC02CA">
        <w:rPr>
          <w:rStyle w:val="FootnoteReference"/>
        </w:rPr>
        <w:footnoteReference w:id="314"/>
      </w:r>
    </w:p>
    <w:p w14:paraId="6DAD6954" w14:textId="7B63CC81" w:rsidR="00DF20CC" w:rsidRPr="00EC02CA" w:rsidRDefault="00DF20CC" w:rsidP="00A920EC">
      <w:pPr>
        <w:pStyle w:val="NormalNumberedTextTLRI"/>
      </w:pPr>
      <w:r w:rsidRPr="00EC02CA">
        <w:t xml:space="preserve">There were </w:t>
      </w:r>
      <w:r w:rsidR="00695DFE" w:rsidRPr="00EC02CA">
        <w:t xml:space="preserve">also </w:t>
      </w:r>
      <w:r w:rsidRPr="00EC02CA">
        <w:t>some examples of multi-agency collaboration, including A</w:t>
      </w:r>
      <w:r w:rsidR="003A5C5E" w:rsidRPr="00EC02CA">
        <w:t>rch</w:t>
      </w:r>
      <w:r w:rsidRPr="00EC02CA">
        <w:t>:</w:t>
      </w:r>
    </w:p>
    <w:p w14:paraId="30AEC04A" w14:textId="3EA97962" w:rsidR="00DF20CC" w:rsidRPr="00EC02CA" w:rsidRDefault="00DF20CC" w:rsidP="00A920EC">
      <w:pPr>
        <w:pStyle w:val="Indentedquote"/>
      </w:pPr>
      <w:r w:rsidRPr="00EC02CA">
        <w:t>With the A</w:t>
      </w:r>
      <w:r w:rsidR="003A5C5E" w:rsidRPr="00EC02CA">
        <w:t>rch</w:t>
      </w:r>
      <w:r w:rsidRPr="00EC02CA">
        <w:t xml:space="preserve"> Centre where there is that real collaboration and that colocation</w:t>
      </w:r>
      <w:r w:rsidR="00CA72FD" w:rsidRPr="00EC02CA">
        <w:t>.</w:t>
      </w:r>
      <w:r w:rsidRPr="00EC02CA">
        <w:rPr>
          <w:rStyle w:val="FootnoteReference"/>
        </w:rPr>
        <w:footnoteReference w:id="315"/>
      </w:r>
    </w:p>
    <w:p w14:paraId="3B13B72B" w14:textId="229489D4" w:rsidR="00DF20CC" w:rsidRPr="00EC02CA" w:rsidRDefault="00DF20CC" w:rsidP="00A920EC">
      <w:pPr>
        <w:pStyle w:val="Indentedquote"/>
      </w:pPr>
      <w:r w:rsidRPr="00EC02CA">
        <w:t xml:space="preserve">We </w:t>
      </w:r>
      <w:r w:rsidR="00695DFE" w:rsidRPr="00EC02CA">
        <w:t>are</w:t>
      </w:r>
      <w:r w:rsidRPr="00EC02CA">
        <w:t xml:space="preserve"> part of a joint agency meeting </w:t>
      </w:r>
      <w:r w:rsidR="00EC7909" w:rsidRPr="00EC02CA">
        <w:t xml:space="preserve">with </w:t>
      </w:r>
      <w:r w:rsidR="00A358F4" w:rsidRPr="00EC02CA">
        <w:t>p</w:t>
      </w:r>
      <w:r w:rsidRPr="00EC02CA">
        <w:t>olice, DECYP</w:t>
      </w:r>
      <w:r w:rsidR="00240E82" w:rsidRPr="00EC02CA">
        <w:t xml:space="preserve"> [Department of </w:t>
      </w:r>
      <w:r w:rsidR="009F11B1" w:rsidRPr="00EC02CA">
        <w:t xml:space="preserve">Education </w:t>
      </w:r>
      <w:r w:rsidR="00240E82" w:rsidRPr="00EC02CA">
        <w:t xml:space="preserve">Children </w:t>
      </w:r>
      <w:r w:rsidR="009F11B1" w:rsidRPr="00EC02CA">
        <w:t>and Young</w:t>
      </w:r>
      <w:r w:rsidR="00240E82" w:rsidRPr="00EC02CA">
        <w:t xml:space="preserve"> People</w:t>
      </w:r>
      <w:r w:rsidR="009F11B1" w:rsidRPr="00EC02CA">
        <w:t>]</w:t>
      </w:r>
      <w:r w:rsidRPr="00EC02CA">
        <w:t>, CAM</w:t>
      </w:r>
      <w:r w:rsidR="00542155" w:rsidRPr="00EC02CA">
        <w:t>H</w:t>
      </w:r>
      <w:r w:rsidRPr="00EC02CA">
        <w:t>S</w:t>
      </w:r>
      <w:r w:rsidR="00CD0404" w:rsidRPr="00EC02CA">
        <w:t xml:space="preserve"> [Child and Adolescent Mental Health</w:t>
      </w:r>
      <w:r w:rsidR="00542155" w:rsidRPr="00EC02CA">
        <w:t xml:space="preserve"> Service</w:t>
      </w:r>
      <w:r w:rsidR="00CD0404" w:rsidRPr="00EC02CA">
        <w:t>]</w:t>
      </w:r>
      <w:r w:rsidRPr="00EC02CA">
        <w:t>, or C</w:t>
      </w:r>
      <w:r w:rsidR="00921C9A" w:rsidRPr="00EC02CA">
        <w:t>Y</w:t>
      </w:r>
      <w:r w:rsidRPr="00EC02CA">
        <w:t>M</w:t>
      </w:r>
      <w:r w:rsidR="00921C9A" w:rsidRPr="00EC02CA">
        <w:t>H</w:t>
      </w:r>
      <w:r w:rsidRPr="00EC02CA">
        <w:t xml:space="preserve">S </w:t>
      </w:r>
      <w:r w:rsidR="00921C9A" w:rsidRPr="00EC02CA">
        <w:t xml:space="preserve">[Child and Youth Mental Health Service] </w:t>
      </w:r>
      <w:r w:rsidRPr="00EC02CA">
        <w:t xml:space="preserve">as rebranded, </w:t>
      </w:r>
      <w:r w:rsidR="003E2AF7" w:rsidRPr="00EC02CA">
        <w:t xml:space="preserve">and </w:t>
      </w:r>
      <w:r w:rsidRPr="00EC02CA">
        <w:t>the ARL</w:t>
      </w:r>
      <w:r w:rsidR="00542155" w:rsidRPr="00EC02CA">
        <w:t xml:space="preserve"> </w:t>
      </w:r>
      <w:r w:rsidR="006D0BA5" w:rsidRPr="00EC02CA">
        <w:t>[Adv</w:t>
      </w:r>
      <w:r w:rsidR="005D11BF" w:rsidRPr="00EC02CA">
        <w:t>ic</w:t>
      </w:r>
      <w:r w:rsidR="006D0BA5" w:rsidRPr="00EC02CA">
        <w:t>e and Referral Line]</w:t>
      </w:r>
      <w:r w:rsidRPr="00EC02CA">
        <w:t xml:space="preserve"> or Child Safety Services.</w:t>
      </w:r>
      <w:r w:rsidRPr="00EC02CA">
        <w:rPr>
          <w:rStyle w:val="FootnoteReference"/>
        </w:rPr>
        <w:footnoteReference w:id="316"/>
      </w:r>
    </w:p>
    <w:p w14:paraId="4AD45054" w14:textId="37785339" w:rsidR="003E2AF7" w:rsidRPr="00EC02CA" w:rsidRDefault="003E2AF7" w:rsidP="002F0007">
      <w:pPr>
        <w:pStyle w:val="NormalNumberedTextTLRI"/>
      </w:pPr>
      <w:r w:rsidRPr="00EC02CA">
        <w:t>There were also comments (</w:t>
      </w:r>
      <w:r w:rsidR="00A0637E" w:rsidRPr="00EC02CA">
        <w:t xml:space="preserve">in </w:t>
      </w:r>
      <w:r w:rsidR="004D55F9" w:rsidRPr="00EC02CA">
        <w:t>seven</w:t>
      </w:r>
      <w:r w:rsidRPr="00EC02CA">
        <w:t xml:space="preserve"> interviews) around the need for </w:t>
      </w:r>
      <w:r w:rsidR="00EC7909" w:rsidRPr="00EC02CA">
        <w:t xml:space="preserve">further </w:t>
      </w:r>
      <w:r w:rsidRPr="00EC02CA">
        <w:t>collaboration and communication between sectors:</w:t>
      </w:r>
    </w:p>
    <w:p w14:paraId="4E1A8CB8" w14:textId="6B68CF18" w:rsidR="003E2AF7" w:rsidRPr="00EC02CA" w:rsidRDefault="004658AD" w:rsidP="00A920EC">
      <w:pPr>
        <w:pStyle w:val="Indentedquote"/>
      </w:pPr>
      <w:r w:rsidRPr="00EC02CA">
        <w:t>[I]</w:t>
      </w:r>
      <w:r w:rsidR="003E2AF7" w:rsidRPr="00EC02CA">
        <w:t>t’s a little unclear, too, how that system actually operates</w:t>
      </w:r>
      <w:r w:rsidR="005C4A61" w:rsidRPr="00EC02CA">
        <w:t xml:space="preserve"> </w:t>
      </w:r>
      <w:r w:rsidR="008956E1" w:rsidRPr="00EC02CA">
        <w:t>…</w:t>
      </w:r>
      <w:r w:rsidR="005C4A61" w:rsidRPr="00EC02CA">
        <w:t xml:space="preserve"> </w:t>
      </w:r>
      <w:r w:rsidR="003E2AF7" w:rsidRPr="00EC02CA">
        <w:t>I’ve never really been able to quite understand how it fits together.</w:t>
      </w:r>
      <w:r w:rsidR="003E2AF7" w:rsidRPr="00EC02CA">
        <w:rPr>
          <w:rStyle w:val="FootnoteReference"/>
        </w:rPr>
        <w:footnoteReference w:id="317"/>
      </w:r>
    </w:p>
    <w:p w14:paraId="6B953F64" w14:textId="4D4E9879" w:rsidR="003E2AF7" w:rsidRPr="00EC02CA" w:rsidRDefault="003E2AF7" w:rsidP="00A920EC">
      <w:pPr>
        <w:pStyle w:val="Indentedquote"/>
      </w:pPr>
      <w:r w:rsidRPr="00EC02CA">
        <w:t>We</w:t>
      </w:r>
      <w:r w:rsidR="00A0637E" w:rsidRPr="00EC02CA">
        <w:t>’</w:t>
      </w:r>
      <w:r w:rsidRPr="00EC02CA">
        <w:t>ve got so much red tape and because we work, I guess a little bit in silos</w:t>
      </w:r>
      <w:r w:rsidR="00A0637E" w:rsidRPr="00EC02CA">
        <w:t>,</w:t>
      </w:r>
      <w:r w:rsidRPr="00EC02CA">
        <w:t xml:space="preserve"> like </w:t>
      </w:r>
      <w:r w:rsidR="006D6CE4" w:rsidRPr="00EC02CA">
        <w:t>[this is the]</w:t>
      </w:r>
      <w:r w:rsidRPr="00EC02CA">
        <w:t xml:space="preserve"> Police Department</w:t>
      </w:r>
      <w:r w:rsidR="006D6CE4" w:rsidRPr="00EC02CA">
        <w:t xml:space="preserve"> here</w:t>
      </w:r>
      <w:r w:rsidRPr="00EC02CA">
        <w:t>, and Education's over here and Youth Justice is here and Child Safety</w:t>
      </w:r>
      <w:r w:rsidR="00A0637E" w:rsidRPr="00EC02CA">
        <w:t>’</w:t>
      </w:r>
      <w:r w:rsidRPr="00EC02CA">
        <w:t>s up here somewhere. And then you've got a care provider over here. We</w:t>
      </w:r>
      <w:r w:rsidR="00A0637E" w:rsidRPr="00EC02CA">
        <w:t>’</w:t>
      </w:r>
      <w:r w:rsidRPr="00EC02CA">
        <w:t>re all connected because we</w:t>
      </w:r>
      <w:r w:rsidR="00A0637E" w:rsidRPr="00EC02CA">
        <w:t>’</w:t>
      </w:r>
      <w:r w:rsidRPr="00EC02CA">
        <w:t>re all working with the one kid who</w:t>
      </w:r>
      <w:r w:rsidR="00A0637E" w:rsidRPr="00EC02CA">
        <w:t>’</w:t>
      </w:r>
      <w:r w:rsidRPr="00EC02CA">
        <w:t xml:space="preserve">s the centre of it and </w:t>
      </w:r>
      <w:r w:rsidR="003E1AC2" w:rsidRPr="00EC02CA">
        <w:t xml:space="preserve">… </w:t>
      </w:r>
      <w:r w:rsidRPr="00EC02CA">
        <w:t>we</w:t>
      </w:r>
      <w:r w:rsidR="00A0637E" w:rsidRPr="00EC02CA">
        <w:t>’</w:t>
      </w:r>
      <w:r w:rsidRPr="00EC02CA">
        <w:t>re trying to get a meeting of the minds</w:t>
      </w:r>
      <w:r w:rsidR="003E1AC2" w:rsidRPr="00EC02CA">
        <w:t xml:space="preserve"> o</w:t>
      </w:r>
      <w:r w:rsidRPr="00EC02CA">
        <w:t>n what's best for the kid? And then it</w:t>
      </w:r>
      <w:r w:rsidR="00A0637E" w:rsidRPr="00EC02CA">
        <w:t>’</w:t>
      </w:r>
      <w:r w:rsidRPr="00EC02CA">
        <w:t>s like you'll find that where there</w:t>
      </w:r>
      <w:r w:rsidR="00A0637E" w:rsidRPr="00EC02CA">
        <w:t>’</w:t>
      </w:r>
      <w:r w:rsidRPr="00EC02CA">
        <w:t>s crossover because what want police</w:t>
      </w:r>
      <w:r w:rsidR="00BF31CC" w:rsidRPr="00EC02CA">
        <w:t xml:space="preserve"> [want]</w:t>
      </w:r>
      <w:r w:rsidRPr="00EC02CA">
        <w:t xml:space="preserve"> is different from what </w:t>
      </w:r>
      <w:r w:rsidR="000F6D6F" w:rsidRPr="00EC02CA">
        <w:t>C</w:t>
      </w:r>
      <w:r w:rsidRPr="00EC02CA">
        <w:t xml:space="preserve">hild </w:t>
      </w:r>
      <w:r w:rsidR="000F6D6F" w:rsidRPr="00EC02CA">
        <w:t>S</w:t>
      </w:r>
      <w:r w:rsidRPr="00EC02CA">
        <w:t xml:space="preserve">afety see, </w:t>
      </w:r>
      <w:r w:rsidR="00BF31CC" w:rsidRPr="00EC02CA">
        <w:t xml:space="preserve">which is </w:t>
      </w:r>
      <w:r w:rsidRPr="00EC02CA">
        <w:t>different</w:t>
      </w:r>
      <w:r w:rsidR="00BF31CC" w:rsidRPr="00EC02CA">
        <w:t xml:space="preserve"> from </w:t>
      </w:r>
      <w:r w:rsidR="000E5961" w:rsidRPr="00EC02CA">
        <w:t>w</w:t>
      </w:r>
      <w:r w:rsidRPr="00EC02CA">
        <w:t>hat education see again. And then all of a sudden, we</w:t>
      </w:r>
      <w:r w:rsidR="00A0637E" w:rsidRPr="00EC02CA">
        <w:t>’</w:t>
      </w:r>
      <w:r w:rsidRPr="00EC02CA">
        <w:t>ll get to this place. Then all of a sudden, everybody goes back into their own silos.</w:t>
      </w:r>
      <w:r w:rsidRPr="00EC02CA">
        <w:rPr>
          <w:rStyle w:val="FootnoteReference"/>
        </w:rPr>
        <w:footnoteReference w:id="318"/>
      </w:r>
    </w:p>
    <w:p w14:paraId="72B89CEF" w14:textId="4800C8E9" w:rsidR="00AF6664" w:rsidRPr="00EC02CA" w:rsidRDefault="000E5961" w:rsidP="00A920EC">
      <w:pPr>
        <w:pStyle w:val="Indentedquote"/>
      </w:pPr>
      <w:r w:rsidRPr="00EC02CA">
        <w:t xml:space="preserve">I </w:t>
      </w:r>
      <w:r w:rsidR="003E2AF7" w:rsidRPr="00EC02CA">
        <w:t xml:space="preserve">feel </w:t>
      </w:r>
      <w:r w:rsidR="00A0637E" w:rsidRPr="00EC02CA">
        <w:t xml:space="preserve">[it] </w:t>
      </w:r>
      <w:r w:rsidR="003E2AF7" w:rsidRPr="00EC02CA">
        <w:t>is really piecemeal and I just</w:t>
      </w:r>
      <w:r w:rsidR="00A0637E" w:rsidRPr="00EC02CA">
        <w:t xml:space="preserve"> [get]</w:t>
      </w:r>
      <w:r w:rsidR="003E2AF7" w:rsidRPr="00EC02CA">
        <w:t xml:space="preserve"> this real sense of </w:t>
      </w:r>
      <w:r w:rsidR="00A0637E" w:rsidRPr="00EC02CA">
        <w:t>…</w:t>
      </w:r>
      <w:r w:rsidR="003E2AF7" w:rsidRPr="00EC02CA">
        <w:t xml:space="preserve"> the courts doing their thing. You know, CAM</w:t>
      </w:r>
      <w:r w:rsidR="00921C9A" w:rsidRPr="00EC02CA">
        <w:t>H</w:t>
      </w:r>
      <w:r w:rsidR="003E2AF7" w:rsidRPr="00EC02CA">
        <w:t xml:space="preserve">S doing their thing and Youth Justice doing their thing, </w:t>
      </w:r>
      <w:r w:rsidRPr="00EC02CA">
        <w:t>[support services]</w:t>
      </w:r>
      <w:r w:rsidR="003E2AF7" w:rsidRPr="00EC02CA">
        <w:t xml:space="preserve"> doing </w:t>
      </w:r>
      <w:r w:rsidRPr="00EC02CA">
        <w:t>[the</w:t>
      </w:r>
      <w:r w:rsidR="00C40F1F" w:rsidRPr="00EC02CA">
        <w:t>ir</w:t>
      </w:r>
      <w:r w:rsidRPr="00EC02CA">
        <w:t>]</w:t>
      </w:r>
      <w:r w:rsidR="003E2AF7" w:rsidRPr="00EC02CA">
        <w:t xml:space="preserve"> thing.  It doesn't feel like we</w:t>
      </w:r>
      <w:r w:rsidR="00A0637E" w:rsidRPr="00EC02CA">
        <w:t>’</w:t>
      </w:r>
      <w:r w:rsidR="003E2AF7" w:rsidRPr="00EC02CA">
        <w:t xml:space="preserve">ve got a systemic kind of approach to </w:t>
      </w:r>
      <w:r w:rsidR="004003FA" w:rsidRPr="00EC02CA">
        <w:t>it</w:t>
      </w:r>
      <w:r w:rsidR="00A0637E" w:rsidRPr="00EC02CA">
        <w:t>,</w:t>
      </w:r>
      <w:r w:rsidR="004003FA" w:rsidRPr="00EC02CA">
        <w:t xml:space="preserve"> </w:t>
      </w:r>
      <w:r w:rsidR="003E2AF7" w:rsidRPr="00EC02CA">
        <w:t xml:space="preserve">and education </w:t>
      </w:r>
      <w:r w:rsidR="004003FA" w:rsidRPr="00EC02CA">
        <w:t xml:space="preserve">is </w:t>
      </w:r>
      <w:r w:rsidR="003E2AF7" w:rsidRPr="00EC02CA">
        <w:t>doing their own thing as well in terms of developing their own harmful sexual behaviour unit and teams</w:t>
      </w:r>
      <w:r w:rsidR="00A0637E" w:rsidRPr="00EC02CA">
        <w:t>.</w:t>
      </w:r>
      <w:r w:rsidR="003E2AF7" w:rsidRPr="00EC02CA">
        <w:t xml:space="preserve"> I really worry that there's a level of duplication of effort that's going on, a real lack of coordination in terms of actually, you know, where are the kids that are missing out on the support that they need</w:t>
      </w:r>
      <w:r w:rsidR="00A0637E" w:rsidRPr="00EC02CA">
        <w:t>?</w:t>
      </w:r>
      <w:r w:rsidR="003E2AF7" w:rsidRPr="00EC02CA">
        <w:rPr>
          <w:rStyle w:val="FootnoteReference"/>
        </w:rPr>
        <w:footnoteReference w:id="319"/>
      </w:r>
    </w:p>
    <w:p w14:paraId="6378631E" w14:textId="00197D9B" w:rsidR="004C465A" w:rsidRPr="00EC02CA" w:rsidRDefault="00863CBD" w:rsidP="002F0007">
      <w:pPr>
        <w:pStyle w:val="NormalNumberedTextTLRI"/>
      </w:pPr>
      <w:r w:rsidRPr="00EC02CA">
        <w:t xml:space="preserve">The </w:t>
      </w:r>
      <w:r w:rsidR="00CE6D3E" w:rsidRPr="00EC02CA">
        <w:t xml:space="preserve">need for </w:t>
      </w:r>
      <w:r w:rsidR="00A0637E" w:rsidRPr="00EC02CA">
        <w:t xml:space="preserve">a </w:t>
      </w:r>
      <w:r w:rsidRPr="00EC02CA">
        <w:t>‘</w:t>
      </w:r>
      <w:r w:rsidR="00CE6D3E" w:rsidRPr="00EC02CA">
        <w:t>collaborative</w:t>
      </w:r>
      <w:r w:rsidRPr="00EC02CA">
        <w:t xml:space="preserve"> and </w:t>
      </w:r>
      <w:r w:rsidR="00CE6D3E" w:rsidRPr="00EC02CA">
        <w:t>responsive</w:t>
      </w:r>
      <w:r w:rsidRPr="00EC02CA">
        <w:t xml:space="preserve"> </w:t>
      </w:r>
      <w:r w:rsidR="00CE6D3E" w:rsidRPr="00EC02CA">
        <w:t>therapeutic</w:t>
      </w:r>
      <w:r w:rsidRPr="00EC02CA">
        <w:t xml:space="preserve"> service system’ was </w:t>
      </w:r>
      <w:r w:rsidR="00EC7909" w:rsidRPr="00EC02CA">
        <w:t xml:space="preserve">also </w:t>
      </w:r>
      <w:r w:rsidRPr="00EC02CA">
        <w:t xml:space="preserve">acknowledged in the Commission of </w:t>
      </w:r>
      <w:r w:rsidR="00CE6D3E" w:rsidRPr="00EC02CA">
        <w:t>Inquiry</w:t>
      </w:r>
      <w:r w:rsidRPr="00EC02CA">
        <w:t xml:space="preserve">, which indicated that </w:t>
      </w:r>
      <w:r w:rsidR="00CE6D3E" w:rsidRPr="00EC02CA">
        <w:t xml:space="preserve">this required that </w:t>
      </w:r>
      <w:r w:rsidRPr="00EC02CA">
        <w:t xml:space="preserve">‘all aspects of the service system </w:t>
      </w:r>
      <w:r w:rsidR="001E0B61" w:rsidRPr="00EC02CA">
        <w:t xml:space="preserve">communicate </w:t>
      </w:r>
      <w:r w:rsidRPr="00EC02CA">
        <w:t>well</w:t>
      </w:r>
      <w:r w:rsidR="001B6790" w:rsidRPr="00EC02CA">
        <w:t xml:space="preserve"> </w:t>
      </w:r>
      <w:r w:rsidR="00E9344A" w:rsidRPr="00EC02CA">
        <w:t xml:space="preserve">and refer to each other </w:t>
      </w:r>
      <w:r w:rsidR="000F74EB" w:rsidRPr="00EC02CA">
        <w:t>easily</w:t>
      </w:r>
      <w:r w:rsidR="00E9344A" w:rsidRPr="00EC02CA">
        <w:t>’</w:t>
      </w:r>
      <w:r w:rsidR="00EC7909" w:rsidRPr="00EC02CA">
        <w:t>.</w:t>
      </w:r>
      <w:r w:rsidR="00BD670F" w:rsidRPr="00EC02CA">
        <w:rPr>
          <w:rStyle w:val="FootnoteReference"/>
        </w:rPr>
        <w:footnoteReference w:id="320"/>
      </w:r>
      <w:r w:rsidR="002D3B0D" w:rsidRPr="00EC02CA">
        <w:t xml:space="preserve"> </w:t>
      </w:r>
      <w:r w:rsidR="00BD670F" w:rsidRPr="00EC02CA">
        <w:t>As a result, a</w:t>
      </w:r>
      <w:r w:rsidR="002D3B0D" w:rsidRPr="00EC02CA">
        <w:t xml:space="preserve"> recommendation of the Inquiry w</w:t>
      </w:r>
      <w:r w:rsidR="00370ED5" w:rsidRPr="00EC02CA">
        <w:t xml:space="preserve">as that there should be a </w:t>
      </w:r>
      <w:r w:rsidR="000F74EB" w:rsidRPr="00EC02CA">
        <w:t>therapeutic</w:t>
      </w:r>
      <w:r w:rsidR="00370ED5" w:rsidRPr="00EC02CA">
        <w:t xml:space="preserve"> service system for child and adult </w:t>
      </w:r>
      <w:r w:rsidR="00886B70" w:rsidRPr="00EC02CA">
        <w:t>victim-survivor</w:t>
      </w:r>
      <w:r w:rsidR="000F74EB" w:rsidRPr="00EC02CA">
        <w:t>s</w:t>
      </w:r>
      <w:r w:rsidR="00370ED5" w:rsidRPr="00EC02CA">
        <w:t xml:space="preserve"> of child sexual abuse and </w:t>
      </w:r>
      <w:r w:rsidR="00A0637E" w:rsidRPr="00EC02CA">
        <w:t xml:space="preserve">for </w:t>
      </w:r>
      <w:r w:rsidR="00370ED5" w:rsidRPr="00EC02CA">
        <w:t xml:space="preserve">children who have </w:t>
      </w:r>
      <w:r w:rsidR="000F74EB" w:rsidRPr="00EC02CA">
        <w:t>experienced</w:t>
      </w:r>
      <w:r w:rsidR="00370ED5" w:rsidRPr="00EC02CA">
        <w:t xml:space="preserve"> or displayed harmful sexual </w:t>
      </w:r>
      <w:r w:rsidR="000F74EB" w:rsidRPr="00EC02CA">
        <w:t>behaviour</w:t>
      </w:r>
      <w:r w:rsidR="0091225E" w:rsidRPr="00EC02CA">
        <w:t>.</w:t>
      </w:r>
      <w:r w:rsidR="00E9344A" w:rsidRPr="00EC02CA">
        <w:rPr>
          <w:rStyle w:val="FootnoteReference"/>
        </w:rPr>
        <w:footnoteReference w:id="321"/>
      </w:r>
      <w:r w:rsidR="00823F05" w:rsidRPr="00EC02CA">
        <w:t xml:space="preserve"> </w:t>
      </w:r>
      <w:r w:rsidR="003B7F04" w:rsidRPr="00EC02CA">
        <w:t xml:space="preserve">The Commission of Inquiry identified </w:t>
      </w:r>
      <w:r w:rsidR="00835314" w:rsidRPr="00EC02CA">
        <w:t>the approach</w:t>
      </w:r>
      <w:r w:rsidR="00BD670F" w:rsidRPr="00EC02CA">
        <w:t>es</w:t>
      </w:r>
      <w:r w:rsidR="00835314" w:rsidRPr="00EC02CA">
        <w:t xml:space="preserve"> in other jurisdictions (such as New South Wales, Western </w:t>
      </w:r>
      <w:r w:rsidR="008D03B0" w:rsidRPr="00EC02CA">
        <w:t>Australia</w:t>
      </w:r>
      <w:r w:rsidR="0002516C" w:rsidRPr="00EC02CA">
        <w:t xml:space="preserve"> and </w:t>
      </w:r>
      <w:r w:rsidR="008D03B0" w:rsidRPr="00EC02CA">
        <w:t>Victoria</w:t>
      </w:r>
      <w:r w:rsidR="0002516C" w:rsidRPr="00EC02CA">
        <w:t xml:space="preserve">) </w:t>
      </w:r>
      <w:r w:rsidR="00BD670F" w:rsidRPr="00EC02CA">
        <w:t>that had d</w:t>
      </w:r>
      <w:r w:rsidR="0002516C" w:rsidRPr="00EC02CA">
        <w:t>evelop</w:t>
      </w:r>
      <w:r w:rsidR="00BD670F" w:rsidRPr="00EC02CA">
        <w:t xml:space="preserve">ed </w:t>
      </w:r>
      <w:r w:rsidR="0002516C" w:rsidRPr="00EC02CA">
        <w:t>a framework for a multiagency public health approach to harmful sexual behaviour</w:t>
      </w:r>
      <w:r w:rsidR="00A0637E" w:rsidRPr="00EC02CA">
        <w:t>,</w:t>
      </w:r>
      <w:r w:rsidR="00885448" w:rsidRPr="00EC02CA">
        <w:t xml:space="preserve"> and made recommendations in this regard</w:t>
      </w:r>
      <w:r w:rsidR="0002516C" w:rsidRPr="00EC02CA">
        <w:t>.</w:t>
      </w:r>
      <w:r w:rsidR="0002516C" w:rsidRPr="00EC02CA">
        <w:rPr>
          <w:rStyle w:val="FootnoteReference"/>
        </w:rPr>
        <w:footnoteReference w:id="322"/>
      </w:r>
      <w:r w:rsidR="0036158A" w:rsidRPr="00EC02CA">
        <w:t xml:space="preserve">The TLRI also considers that there is a need for continued focus to improve the </w:t>
      </w:r>
      <w:r w:rsidR="008A5CA0" w:rsidRPr="00EC02CA">
        <w:t>framework for collaboration between government</w:t>
      </w:r>
      <w:r w:rsidR="00A0637E" w:rsidRPr="00EC02CA">
        <w:t xml:space="preserve"> and</w:t>
      </w:r>
      <w:r w:rsidR="008A5CA0" w:rsidRPr="00EC02CA">
        <w:t xml:space="preserve"> non-government sectors to respond to young people </w:t>
      </w:r>
      <w:r w:rsidR="00A0637E" w:rsidRPr="00EC02CA">
        <w:t xml:space="preserve">who engage in </w:t>
      </w:r>
      <w:r w:rsidR="008A5CA0" w:rsidRPr="00EC02CA">
        <w:t>harmful sexual behaviour</w:t>
      </w:r>
      <w:r w:rsidR="00A0637E" w:rsidRPr="00EC02CA">
        <w:t>,</w:t>
      </w:r>
      <w:r w:rsidR="00885448" w:rsidRPr="00EC02CA">
        <w:t xml:space="preserve"> and</w:t>
      </w:r>
      <w:r w:rsidR="00176652" w:rsidRPr="00EC02CA">
        <w:t xml:space="preserve"> notes that there are </w:t>
      </w:r>
      <w:r w:rsidR="005F7C51" w:rsidRPr="00EC02CA">
        <w:t>government initiatives focused on this issue.</w:t>
      </w:r>
      <w:r w:rsidR="005F7C51" w:rsidRPr="00EC02CA">
        <w:rPr>
          <w:rStyle w:val="FootnoteReference"/>
        </w:rPr>
        <w:footnoteReference w:id="323"/>
      </w:r>
    </w:p>
    <w:p w14:paraId="458AB47E" w14:textId="30C12B98" w:rsidR="00431063" w:rsidRPr="00EC02CA" w:rsidRDefault="00431063">
      <w:pPr>
        <w:spacing w:after="200" w:line="276" w:lineRule="auto"/>
        <w:jc w:val="left"/>
        <w:rPr>
          <w:rFonts w:eastAsia="Times" w:cs="Times New Roman"/>
          <w:b/>
          <w:sz w:val="32"/>
          <w:szCs w:val="20"/>
        </w:rPr>
      </w:pPr>
    </w:p>
    <w:p w14:paraId="1ECBACBE" w14:textId="77777777" w:rsidR="00431063" w:rsidRPr="00EC02CA" w:rsidRDefault="00431063" w:rsidP="00A920EC">
      <w:pPr>
        <w:pStyle w:val="NumberedHeadingTLRI"/>
        <w:rPr>
          <w:b w:val="0"/>
        </w:rPr>
        <w:sectPr w:rsidR="00431063" w:rsidRPr="00EC02CA" w:rsidSect="00147507">
          <w:headerReference w:type="even" r:id="rId30"/>
          <w:headerReference w:type="default" r:id="rId31"/>
          <w:pgSz w:w="11906" w:h="16838"/>
          <w:pgMar w:top="1440" w:right="1440" w:bottom="1440" w:left="1440" w:header="708" w:footer="708" w:gutter="0"/>
          <w:cols w:space="708"/>
          <w:docGrid w:linePitch="360"/>
        </w:sectPr>
      </w:pPr>
    </w:p>
    <w:p w14:paraId="6F75887C" w14:textId="665AA841" w:rsidR="004C465A" w:rsidRPr="00EC02CA" w:rsidRDefault="00D74B5D" w:rsidP="00A920EC">
      <w:pPr>
        <w:pStyle w:val="PartNoTLRI"/>
        <w:spacing w:after="640"/>
        <w:ind w:left="0" w:firstLine="0"/>
      </w:pPr>
      <w:bookmarkStart w:id="178" w:name="_Toc211849388"/>
      <w:bookmarkStart w:id="179" w:name="_Toc218154153"/>
      <w:bookmarkStart w:id="180" w:name="_Toc218154407"/>
      <w:bookmarkStart w:id="181" w:name="_Toc218154907"/>
      <w:bookmarkStart w:id="182" w:name="_Toc218156467"/>
      <w:bookmarkStart w:id="183" w:name="_Toc218157072"/>
      <w:bookmarkStart w:id="184" w:name="_Toc218157284"/>
      <w:bookmarkStart w:id="185" w:name="_Toc211849389"/>
      <w:bookmarkEnd w:id="178"/>
      <w:bookmarkEnd w:id="179"/>
      <w:bookmarkEnd w:id="180"/>
      <w:bookmarkEnd w:id="181"/>
      <w:bookmarkEnd w:id="182"/>
      <w:bookmarkEnd w:id="183"/>
      <w:bookmarkEnd w:id="184"/>
      <w:r w:rsidRPr="00EC02CA">
        <w:br/>
      </w:r>
      <w:r w:rsidRPr="00EC02CA">
        <w:br/>
      </w:r>
      <w:bookmarkStart w:id="186" w:name="_Toc218157285"/>
      <w:r w:rsidR="007F63A8" w:rsidRPr="00EC02CA">
        <w:rPr>
          <w:sz w:val="56"/>
          <w:szCs w:val="32"/>
        </w:rPr>
        <w:t>Criminal responsibility for sexual offen</w:t>
      </w:r>
      <w:r w:rsidR="001D7241" w:rsidRPr="00EC02CA">
        <w:rPr>
          <w:sz w:val="56"/>
          <w:szCs w:val="32"/>
        </w:rPr>
        <w:t>ces</w:t>
      </w:r>
      <w:bookmarkEnd w:id="185"/>
      <w:bookmarkEnd w:id="186"/>
    </w:p>
    <w:p w14:paraId="1C2BC9B4" w14:textId="72E1ECD0" w:rsidR="00613FF3" w:rsidRPr="00EC02CA" w:rsidRDefault="00613FF3" w:rsidP="00613FF3">
      <w:pPr>
        <w:pStyle w:val="NumberedHeadingTLRI"/>
      </w:pPr>
      <w:bookmarkStart w:id="187" w:name="_Toc211849390"/>
      <w:bookmarkStart w:id="188" w:name="_Toc218157286"/>
      <w:r w:rsidRPr="00EC02CA">
        <w:t>Introduction</w:t>
      </w:r>
      <w:bookmarkEnd w:id="187"/>
      <w:bookmarkEnd w:id="188"/>
    </w:p>
    <w:p w14:paraId="3F285AF8" w14:textId="0D39E3B9" w:rsidR="00181DDD" w:rsidRPr="00EC02CA" w:rsidRDefault="007477D7" w:rsidP="002F0007">
      <w:pPr>
        <w:pStyle w:val="NormalNumberedTextTLRI"/>
      </w:pPr>
      <w:r w:rsidRPr="00EC02CA">
        <w:t>Part 4 explains when harmful sexual behaviour can be viewed as offending behaviour</w:t>
      </w:r>
      <w:r w:rsidR="00482880" w:rsidRPr="00EC02CA">
        <w:t xml:space="preserve">. </w:t>
      </w:r>
      <w:r w:rsidR="00D70006" w:rsidRPr="00EC02CA">
        <w:t>As noted in Parts 2 and 3, harmful sexual behaviour exists on continuum, and a criminal justice</w:t>
      </w:r>
      <w:r w:rsidR="00E65A08" w:rsidRPr="00EC02CA">
        <w:t xml:space="preserve"> </w:t>
      </w:r>
      <w:r w:rsidR="00D70006" w:rsidRPr="00EC02CA">
        <w:t>response</w:t>
      </w:r>
      <w:r w:rsidR="00482880" w:rsidRPr="00EC02CA">
        <w:t xml:space="preserve"> only</w:t>
      </w:r>
      <w:r w:rsidR="00D70006" w:rsidRPr="00EC02CA">
        <w:t xml:space="preserve"> forms part (albeit a crucial part) of a broader response of primary, secondary and tertiary interventions. </w:t>
      </w:r>
    </w:p>
    <w:p w14:paraId="011A6CF6" w14:textId="64DE51BB" w:rsidR="00D86B1E" w:rsidRPr="00EC02CA" w:rsidRDefault="008F2926" w:rsidP="002F0007">
      <w:pPr>
        <w:pStyle w:val="NormalNumberedTextTLRI"/>
      </w:pPr>
      <w:r w:rsidRPr="00EC02CA">
        <w:t>If a person is under the minimum age of criminal responsibility or if the nature of the conduct does not give rise to a sexual offence under the law, then the role of the criminal law is limited. Crucially, t</w:t>
      </w:r>
      <w:r w:rsidR="00D86B1E" w:rsidRPr="00EC02CA">
        <w:t xml:space="preserve">he requirements of the criminal law </w:t>
      </w:r>
      <w:r w:rsidR="0029489D" w:rsidRPr="00EC02CA">
        <w:t xml:space="preserve">set </w:t>
      </w:r>
      <w:r w:rsidR="00D86B1E" w:rsidRPr="00EC02CA">
        <w:t xml:space="preserve">boundaries around the </w:t>
      </w:r>
      <w:r w:rsidR="006324C6" w:rsidRPr="00EC02CA">
        <w:t xml:space="preserve">exercise </w:t>
      </w:r>
      <w:r w:rsidR="00D86B1E" w:rsidRPr="00EC02CA">
        <w:t>police</w:t>
      </w:r>
      <w:r w:rsidR="0029489D" w:rsidRPr="00EC02CA">
        <w:t xml:space="preserve"> powers</w:t>
      </w:r>
      <w:r w:rsidR="00D86B1E" w:rsidRPr="00EC02CA">
        <w:t xml:space="preserve"> </w:t>
      </w:r>
      <w:r w:rsidR="006324C6" w:rsidRPr="00EC02CA">
        <w:t>in response</w:t>
      </w:r>
      <w:r w:rsidR="00D86B1E" w:rsidRPr="00EC02CA">
        <w:t xml:space="preserve"> to allegations of sexual offending by young people</w:t>
      </w:r>
      <w:r w:rsidR="0029489D" w:rsidRPr="00EC02CA">
        <w:t>, as these</w:t>
      </w:r>
      <w:r w:rsidR="009D218A" w:rsidRPr="00EC02CA">
        <w:t xml:space="preserve"> </w:t>
      </w:r>
      <w:r w:rsidR="00D86B1E" w:rsidRPr="00EC02CA">
        <w:t xml:space="preserve">powers </w:t>
      </w:r>
      <w:r w:rsidR="0029489D" w:rsidRPr="00EC02CA">
        <w:t xml:space="preserve">are based on </w:t>
      </w:r>
      <w:r w:rsidR="00D86B1E" w:rsidRPr="00EC02CA">
        <w:t xml:space="preserve">a belief that an offence has been committed and </w:t>
      </w:r>
      <w:r w:rsidR="0029489D" w:rsidRPr="00EC02CA">
        <w:t xml:space="preserve">on </w:t>
      </w:r>
      <w:r w:rsidR="009D218A" w:rsidRPr="00EC02CA">
        <w:t>the existence of</w:t>
      </w:r>
      <w:r w:rsidR="00D86B1E" w:rsidRPr="00EC02CA">
        <w:t xml:space="preserve"> sufficient evidence to charge a person and </w:t>
      </w:r>
      <w:r w:rsidR="0029489D" w:rsidRPr="00EC02CA">
        <w:t xml:space="preserve">pursue </w:t>
      </w:r>
      <w:r w:rsidR="00D86B1E" w:rsidRPr="00EC02CA">
        <w:t xml:space="preserve">prosecution. Similarly, prosecutions depend on the existence of admissible evidence to support a charge, and a person can only be found guilty of a criminal offence if it is proved beyond reasonable doubt. </w:t>
      </w:r>
    </w:p>
    <w:p w14:paraId="1C9A9DCA" w14:textId="3FF26427" w:rsidR="00EC62D0" w:rsidRPr="00EC02CA" w:rsidRDefault="00F80C21" w:rsidP="002F0007">
      <w:pPr>
        <w:pStyle w:val="NormalNumberedTextTLRI"/>
      </w:pPr>
      <w:r w:rsidRPr="00EC02CA">
        <w:t>Accordingly, t</w:t>
      </w:r>
      <w:r w:rsidR="00E360AC" w:rsidRPr="00EC02CA">
        <w:t xml:space="preserve">he scope of the </w:t>
      </w:r>
      <w:r w:rsidR="00A14854" w:rsidRPr="00EC02CA">
        <w:t>criminal</w:t>
      </w:r>
      <w:r w:rsidR="00E360AC" w:rsidRPr="00EC02CA">
        <w:t xml:space="preserve"> law and a young person’s criminal </w:t>
      </w:r>
      <w:r w:rsidR="00A14854" w:rsidRPr="00EC02CA">
        <w:t>responsibility</w:t>
      </w:r>
      <w:r w:rsidR="00DA1D51" w:rsidRPr="00EC02CA">
        <w:rPr>
          <w:rStyle w:val="FootnoteReference"/>
        </w:rPr>
        <w:footnoteReference w:id="324"/>
      </w:r>
      <w:r w:rsidR="00E360AC" w:rsidRPr="00EC02CA">
        <w:t xml:space="preserve"> for harmful sexual behaviour </w:t>
      </w:r>
      <w:r w:rsidR="007945B4" w:rsidRPr="00EC02CA">
        <w:t xml:space="preserve">are </w:t>
      </w:r>
      <w:r w:rsidR="00A14854" w:rsidRPr="00EC02CA">
        <w:t xml:space="preserve">limited by </w:t>
      </w:r>
      <w:r w:rsidR="00782DD4" w:rsidRPr="00EC02CA">
        <w:t xml:space="preserve">two key components: </w:t>
      </w:r>
    </w:p>
    <w:p w14:paraId="761AD2E0" w14:textId="794C1038" w:rsidR="00EC62D0" w:rsidRPr="00EC02CA" w:rsidRDefault="00782DD4" w:rsidP="00A920EC">
      <w:pPr>
        <w:pStyle w:val="NumberlessNormalText"/>
        <w:numPr>
          <w:ilvl w:val="0"/>
          <w:numId w:val="220"/>
        </w:numPr>
      </w:pPr>
      <w:r w:rsidRPr="00EC02CA">
        <w:t xml:space="preserve">the child </w:t>
      </w:r>
      <w:r w:rsidR="0029489D" w:rsidRPr="00EC02CA">
        <w:t>has reached t</w:t>
      </w:r>
      <w:r w:rsidRPr="00EC02CA">
        <w:t xml:space="preserve">he minimum age of criminal responsibility; </w:t>
      </w:r>
      <w:r w:rsidR="00EC62D0" w:rsidRPr="00EC02CA">
        <w:t>and</w:t>
      </w:r>
    </w:p>
    <w:p w14:paraId="0F001E21" w14:textId="60E59D6A" w:rsidR="00C9021A" w:rsidRPr="00EC02CA" w:rsidRDefault="00782DD4" w:rsidP="00A920EC">
      <w:pPr>
        <w:pStyle w:val="NumberlessNormalText"/>
      </w:pPr>
      <w:r w:rsidRPr="00EC02CA">
        <w:t xml:space="preserve">the behaviour </w:t>
      </w:r>
      <w:r w:rsidR="00161B05" w:rsidRPr="00EC02CA">
        <w:t>and state of mind of the</w:t>
      </w:r>
      <w:r w:rsidR="009C7050" w:rsidRPr="00EC02CA">
        <w:t xml:space="preserve"> </w:t>
      </w:r>
      <w:r w:rsidR="0029489D" w:rsidRPr="00EC02CA">
        <w:t>child</w:t>
      </w:r>
      <w:r w:rsidR="009C7050" w:rsidRPr="00EC02CA">
        <w:t xml:space="preserve"> </w:t>
      </w:r>
      <w:r w:rsidR="0039111E" w:rsidRPr="00EC02CA">
        <w:t>sa</w:t>
      </w:r>
      <w:r w:rsidR="00161B05" w:rsidRPr="00EC02CA">
        <w:t>tisf</w:t>
      </w:r>
      <w:r w:rsidR="0029489D" w:rsidRPr="00EC02CA">
        <w:t xml:space="preserve">y </w:t>
      </w:r>
      <w:r w:rsidRPr="00EC02CA">
        <w:t xml:space="preserve">the elements of </w:t>
      </w:r>
      <w:r w:rsidR="0029489D" w:rsidRPr="00EC02CA">
        <w:t xml:space="preserve">the </w:t>
      </w:r>
      <w:r w:rsidR="002D58B5" w:rsidRPr="00EC02CA">
        <w:t>particular</w:t>
      </w:r>
      <w:r w:rsidR="0029489D" w:rsidRPr="00EC02CA">
        <w:t xml:space="preserve"> </w:t>
      </w:r>
      <w:r w:rsidRPr="00EC02CA">
        <w:t>criminal offence</w:t>
      </w:r>
      <w:r w:rsidR="002D58B5" w:rsidRPr="00EC02CA">
        <w:t>/s</w:t>
      </w:r>
      <w:r w:rsidR="00EC62D0" w:rsidRPr="00EC02CA">
        <w:t>.</w:t>
      </w:r>
    </w:p>
    <w:p w14:paraId="48A74F8C" w14:textId="77777777" w:rsidR="004C465A" w:rsidRPr="00EC02CA" w:rsidRDefault="004C465A" w:rsidP="006A7888">
      <w:pPr>
        <w:pStyle w:val="NumberedHeadingTLRI"/>
      </w:pPr>
      <w:bookmarkStart w:id="189" w:name="_Toc211849391"/>
      <w:bookmarkStart w:id="190" w:name="_Toc218157287"/>
      <w:bookmarkStart w:id="191" w:name="_Ref218241096"/>
      <w:bookmarkStart w:id="192" w:name="_Ref218251906"/>
      <w:bookmarkStart w:id="193" w:name="_Ref218253548"/>
      <w:r w:rsidRPr="00EC02CA">
        <w:t>The minimum age of criminal responsibility</w:t>
      </w:r>
      <w:bookmarkEnd w:id="189"/>
      <w:bookmarkEnd w:id="190"/>
      <w:bookmarkEnd w:id="191"/>
      <w:bookmarkEnd w:id="192"/>
      <w:bookmarkEnd w:id="193"/>
    </w:p>
    <w:p w14:paraId="55A391F6" w14:textId="6E0BF7C3" w:rsidR="004C465A" w:rsidRPr="00EC02CA" w:rsidRDefault="004C465A" w:rsidP="002F0007">
      <w:pPr>
        <w:pStyle w:val="NormalNumberedTextTLRI"/>
      </w:pPr>
      <w:r w:rsidRPr="00EC02CA">
        <w:t xml:space="preserve">Children </w:t>
      </w:r>
      <w:r w:rsidR="002D58B5" w:rsidRPr="00EC02CA">
        <w:t xml:space="preserve">under 10 </w:t>
      </w:r>
      <w:r w:rsidRPr="00EC02CA">
        <w:t>who engage in harmful sexual behaviour cannot be charged with a criminal offence because the minimum age of criminal responsibility in Tasmania is 10.</w:t>
      </w:r>
      <w:r w:rsidRPr="00EC02CA">
        <w:rPr>
          <w:rStyle w:val="FootnoteReference"/>
        </w:rPr>
        <w:footnoteReference w:id="325"/>
      </w:r>
      <w:r w:rsidRPr="00EC02CA">
        <w:t xml:space="preserve"> The youth justice system does not have powers or jurisdiction to respond to a child under the minimum age of criminal responsibility. A related matter is that Tasmania Police have </w:t>
      </w:r>
      <w:r w:rsidR="00006E09" w:rsidRPr="00EC02CA">
        <w:t>very</w:t>
      </w:r>
      <w:r w:rsidR="00E40FD4" w:rsidRPr="00EC02CA">
        <w:t xml:space="preserve"> </w:t>
      </w:r>
      <w:r w:rsidRPr="00EC02CA">
        <w:t xml:space="preserve">limited powers to act against a child under 10, which generally </w:t>
      </w:r>
      <w:r w:rsidR="002D58B5" w:rsidRPr="00EC02CA">
        <w:t>include</w:t>
      </w:r>
      <w:r w:rsidRPr="00EC02CA">
        <w:t xml:space="preserve"> speak</w:t>
      </w:r>
      <w:r w:rsidR="002D58B5" w:rsidRPr="00EC02CA">
        <w:t>ing</w:t>
      </w:r>
      <w:r w:rsidRPr="00EC02CA">
        <w:t xml:space="preserve"> to the child, report</w:t>
      </w:r>
      <w:r w:rsidR="002D58B5" w:rsidRPr="00EC02CA">
        <w:t>ing</w:t>
      </w:r>
      <w:r w:rsidRPr="00EC02CA">
        <w:t xml:space="preserve"> the case to Child Safety Services (within DECYP), or contact</w:t>
      </w:r>
      <w:r w:rsidR="002D58B5" w:rsidRPr="00EC02CA">
        <w:t>ing the child’s</w:t>
      </w:r>
      <w:r w:rsidRPr="00EC02CA">
        <w:t xml:space="preserve"> parents or guardians.</w:t>
      </w:r>
      <w:bookmarkStart w:id="194" w:name="_Ref217983585"/>
      <w:r w:rsidRPr="00EC02CA">
        <w:rPr>
          <w:rStyle w:val="FootnoteReference"/>
        </w:rPr>
        <w:footnoteReference w:id="326"/>
      </w:r>
      <w:bookmarkEnd w:id="194"/>
    </w:p>
    <w:p w14:paraId="47184B00" w14:textId="2EBF414C" w:rsidR="00BB6C3C" w:rsidRPr="00EC02CA" w:rsidRDefault="004C465A" w:rsidP="002F0007">
      <w:pPr>
        <w:pStyle w:val="NormalNumberedTextTLRI"/>
      </w:pPr>
      <w:r w:rsidRPr="00EC02CA">
        <w:t xml:space="preserve">From the age of 10 to 13, there is a rebuttable presumption (known as </w:t>
      </w:r>
      <w:r w:rsidRPr="00EC02CA">
        <w:rPr>
          <w:i/>
          <w:iCs/>
        </w:rPr>
        <w:t>doli incapax</w:t>
      </w:r>
      <w:r w:rsidRPr="00EC02CA">
        <w:t>) that children are incapable of committing a criminal offence</w:t>
      </w:r>
      <w:r w:rsidR="002D58B5" w:rsidRPr="00EC02CA">
        <w:t>. For those children,</w:t>
      </w:r>
      <w:r w:rsidRPr="00EC02CA">
        <w:t xml:space="preserve"> the prosecution </w:t>
      </w:r>
      <w:r w:rsidR="002D58B5" w:rsidRPr="00EC02CA">
        <w:t>must</w:t>
      </w:r>
      <w:r w:rsidRPr="00EC02CA">
        <w:t xml:space="preserve"> rebut this presumption by showing that the </w:t>
      </w:r>
      <w:r w:rsidR="00830C7D" w:rsidRPr="00EC02CA">
        <w:t>young person</w:t>
      </w:r>
      <w:r w:rsidRPr="00EC02CA">
        <w:t xml:space="preserve"> knew the</w:t>
      </w:r>
      <w:r w:rsidR="002D58B5" w:rsidRPr="00EC02CA">
        <w:t>ir</w:t>
      </w:r>
      <w:r w:rsidRPr="00EC02CA">
        <w:t xml:space="preserve"> </w:t>
      </w:r>
      <w:r w:rsidR="002D58B5" w:rsidRPr="00EC02CA">
        <w:t xml:space="preserve">behaviour </w:t>
      </w:r>
      <w:r w:rsidRPr="00EC02CA">
        <w:t>was seriously or gravely wrong</w:t>
      </w:r>
      <w:r w:rsidR="002D58B5" w:rsidRPr="00EC02CA">
        <w:t>,</w:t>
      </w:r>
      <w:r w:rsidRPr="00EC02CA">
        <w:t xml:space="preserve"> as opposed to naughty or mischievous.</w:t>
      </w:r>
      <w:bookmarkStart w:id="195" w:name="_Ref217983618"/>
      <w:r w:rsidRPr="00EC02CA">
        <w:rPr>
          <w:rStyle w:val="FootnoteReference"/>
        </w:rPr>
        <w:footnoteReference w:id="327"/>
      </w:r>
      <w:bookmarkEnd w:id="195"/>
      <w:r w:rsidRPr="00EC02CA">
        <w:t xml:space="preserve"> </w:t>
      </w:r>
      <w:r w:rsidR="00830C7D" w:rsidRPr="00EC02CA">
        <w:t xml:space="preserve">Young people </w:t>
      </w:r>
      <w:r w:rsidRPr="00EC02CA">
        <w:t xml:space="preserve">aged 14 and above have full criminal responsibility for the purposes of the criminal law in Tasmania. </w:t>
      </w:r>
    </w:p>
    <w:p w14:paraId="0DA2403B" w14:textId="7A38C71D" w:rsidR="00BB6C3C" w:rsidRPr="00EC02CA" w:rsidRDefault="00BB6C3C" w:rsidP="00A920EC">
      <w:pPr>
        <w:pStyle w:val="TLRISubheading"/>
      </w:pPr>
      <w:bookmarkStart w:id="196" w:name="_Toc218157288"/>
      <w:bookmarkStart w:id="197" w:name="_Toc211849392"/>
      <w:r w:rsidRPr="00EC02CA">
        <w:t>Reforms to the law in relation to the minimum age of criminal responsibility</w:t>
      </w:r>
      <w:bookmarkEnd w:id="196"/>
      <w:bookmarkEnd w:id="197"/>
    </w:p>
    <w:p w14:paraId="0EBB2AA9" w14:textId="5D954060" w:rsidR="00845BC2" w:rsidRPr="00EC02CA" w:rsidRDefault="000C6134" w:rsidP="002F0007">
      <w:pPr>
        <w:pStyle w:val="NormalNumberedTextTLRI"/>
      </w:pPr>
      <w:r w:rsidRPr="00EC02CA">
        <w:t xml:space="preserve">In Tasmania, the current approach to the minimum age of criminal responsibility was part of broader package of reforms to youth justice law </w:t>
      </w:r>
      <w:r w:rsidR="00281392" w:rsidRPr="00EC02CA">
        <w:t xml:space="preserve">in the 1990s </w:t>
      </w:r>
      <w:r w:rsidRPr="00EC02CA">
        <w:t>aimed at a ‘responsibility model of justice’ focus</w:t>
      </w:r>
      <w:r w:rsidR="00B34CEB" w:rsidRPr="00EC02CA">
        <w:t>s</w:t>
      </w:r>
      <w:r w:rsidRPr="00EC02CA">
        <w:t>ing on diversion for young people and ‘coercive state intervention, and sanctions as options of last resort’.</w:t>
      </w:r>
      <w:r w:rsidRPr="00EC02CA">
        <w:rPr>
          <w:rStyle w:val="FootnoteReference"/>
        </w:rPr>
        <w:footnoteReference w:id="328"/>
      </w:r>
      <w:r w:rsidRPr="00EC02CA">
        <w:t xml:space="preserve"> </w:t>
      </w:r>
    </w:p>
    <w:p w14:paraId="5EE70254" w14:textId="66FF75D4" w:rsidR="00056B47" w:rsidRPr="00EC02CA" w:rsidRDefault="004A0E32" w:rsidP="002F0007">
      <w:pPr>
        <w:pStyle w:val="NormalNumberedTextTLRI"/>
      </w:pPr>
      <w:r w:rsidRPr="00EC02CA">
        <w:t xml:space="preserve">Over time, </w:t>
      </w:r>
      <w:r w:rsidR="00ED736B" w:rsidRPr="00EC02CA">
        <w:t>t</w:t>
      </w:r>
      <w:r w:rsidR="004C465A" w:rsidRPr="00EC02CA">
        <w:t>he minimum age of criminal responsibility has been a matter of controversy, with recommendations made in various jurisdictions to increase the age from 10 to 14</w:t>
      </w:r>
      <w:r w:rsidR="00BB6C3C" w:rsidRPr="00EC02CA">
        <w:t xml:space="preserve">. </w:t>
      </w:r>
      <w:r w:rsidR="004C465A" w:rsidRPr="00EC02CA">
        <w:t>In some jurisdictions, the age of criminal responsibility has been raised. In Victoria, the minimum age of criminal responsibility has been increased to 12 years old.</w:t>
      </w:r>
      <w:r w:rsidR="00D36A9A" w:rsidRPr="00EC02CA">
        <w:rPr>
          <w:rStyle w:val="FootnoteReference"/>
        </w:rPr>
        <w:footnoteReference w:id="329"/>
      </w:r>
      <w:r w:rsidR="004C465A" w:rsidRPr="00EC02CA">
        <w:t xml:space="preserve"> </w:t>
      </w:r>
      <w:r w:rsidR="00D36A9A" w:rsidRPr="00EC02CA">
        <w:t>In the A</w:t>
      </w:r>
      <w:r w:rsidR="00BD19F6" w:rsidRPr="00EC02CA">
        <w:t xml:space="preserve">ustralian </w:t>
      </w:r>
      <w:r w:rsidR="00D36A9A" w:rsidRPr="00EC02CA">
        <w:t>C</w:t>
      </w:r>
      <w:r w:rsidR="00BD19F6" w:rsidRPr="00EC02CA">
        <w:t xml:space="preserve">apital </w:t>
      </w:r>
      <w:r w:rsidR="00D36A9A" w:rsidRPr="00EC02CA">
        <w:t>T</w:t>
      </w:r>
      <w:r w:rsidR="00BD19F6" w:rsidRPr="00EC02CA">
        <w:t>erritory</w:t>
      </w:r>
      <w:r w:rsidR="00D36A9A" w:rsidRPr="00EC02CA">
        <w:t>, it has been raised to 14.</w:t>
      </w:r>
      <w:r w:rsidR="00D36A9A" w:rsidRPr="00EC02CA">
        <w:rPr>
          <w:rStyle w:val="FootnoteReference"/>
        </w:rPr>
        <w:footnoteReference w:id="330"/>
      </w:r>
      <w:r w:rsidR="00D36A9A" w:rsidRPr="00EC02CA">
        <w:t xml:space="preserve"> </w:t>
      </w:r>
      <w:r w:rsidR="004C465A" w:rsidRPr="00EC02CA">
        <w:t>In contrast, the age was increased to 12 in the Northern Territory, but it has now been lowered back to 10.</w:t>
      </w:r>
      <w:r w:rsidR="004C465A" w:rsidRPr="00EC02CA">
        <w:rPr>
          <w:rStyle w:val="FootnoteReference"/>
        </w:rPr>
        <w:footnoteReference w:id="331"/>
      </w:r>
      <w:r w:rsidR="004C465A" w:rsidRPr="00EC02CA">
        <w:t xml:space="preserve"> </w:t>
      </w:r>
      <w:r w:rsidR="00845BC2" w:rsidRPr="00EC02CA">
        <w:t xml:space="preserve">In Tasmania, the Commission of Inquiry </w:t>
      </w:r>
      <w:r w:rsidR="008D42FB" w:rsidRPr="00EC02CA">
        <w:t xml:space="preserve">recommended that the minimum age of criminal responsibility be raised to 14 years, and this has been accepted by the Tasmanian </w:t>
      </w:r>
      <w:r w:rsidR="00497EFB" w:rsidRPr="00EC02CA">
        <w:t>G</w:t>
      </w:r>
      <w:r w:rsidR="008D42FB" w:rsidRPr="00EC02CA">
        <w:t>overnment</w:t>
      </w:r>
      <w:r w:rsidR="00056B47" w:rsidRPr="00EC02CA">
        <w:t>.</w:t>
      </w:r>
      <w:r w:rsidR="00056B47" w:rsidRPr="00EC02CA">
        <w:rPr>
          <w:rStyle w:val="FootnoteReference"/>
        </w:rPr>
        <w:footnoteReference w:id="332"/>
      </w:r>
    </w:p>
    <w:p w14:paraId="671C4868" w14:textId="67D504B2" w:rsidR="001729B0" w:rsidRPr="00EC02CA" w:rsidRDefault="00056B47" w:rsidP="002F0007">
      <w:pPr>
        <w:pStyle w:val="NormalNumberedTextTLRI"/>
      </w:pPr>
      <w:r w:rsidRPr="00EC02CA">
        <w:t>Previously, the TLRI consider</w:t>
      </w:r>
      <w:r w:rsidR="00D36A9A" w:rsidRPr="00EC02CA">
        <w:t>ed those</w:t>
      </w:r>
      <w:r w:rsidRPr="00EC02CA">
        <w:t xml:space="preserve"> reforms that would be needed</w:t>
      </w:r>
      <w:r w:rsidR="00B13788" w:rsidRPr="00EC02CA">
        <w:t xml:space="preserve"> in Tasmania</w:t>
      </w:r>
      <w:r w:rsidRPr="00EC02CA">
        <w:t xml:space="preserve"> to address the needs of </w:t>
      </w:r>
      <w:r w:rsidR="00B13788" w:rsidRPr="00EC02CA">
        <w:t>children under the age of criminal responsibility</w:t>
      </w:r>
      <w:r w:rsidR="00554038" w:rsidRPr="00EC02CA">
        <w:t xml:space="preserve"> (in the event </w:t>
      </w:r>
      <w:r w:rsidR="00D36A9A" w:rsidRPr="00EC02CA">
        <w:t xml:space="preserve">that </w:t>
      </w:r>
      <w:r w:rsidR="00554038" w:rsidRPr="00EC02CA">
        <w:t xml:space="preserve">the age was raised to 14). </w:t>
      </w:r>
      <w:r w:rsidR="00ED736B" w:rsidRPr="00EC02CA">
        <w:t>Its recommendations were based on a</w:t>
      </w:r>
      <w:r w:rsidR="006420BC" w:rsidRPr="00EC02CA">
        <w:t>n</w:t>
      </w:r>
      <w:r w:rsidR="00ED736B" w:rsidRPr="00EC02CA">
        <w:t xml:space="preserve"> assumption that</w:t>
      </w:r>
      <w:r w:rsidR="00F608EB" w:rsidRPr="00EC02CA">
        <w:t xml:space="preserve"> there</w:t>
      </w:r>
      <w:r w:rsidR="00ED736B" w:rsidRPr="00EC02CA">
        <w:t xml:space="preserve"> was a </w:t>
      </w:r>
      <w:r w:rsidR="00960D22" w:rsidRPr="00EC02CA">
        <w:t>commitment</w:t>
      </w:r>
      <w:r w:rsidR="00ED736B" w:rsidRPr="00EC02CA">
        <w:t xml:space="preserve"> </w:t>
      </w:r>
      <w:r w:rsidR="000C772B" w:rsidRPr="00EC02CA">
        <w:t xml:space="preserve">to raising the age of minimum age of criminal </w:t>
      </w:r>
      <w:r w:rsidR="004A1C48" w:rsidRPr="00EC02CA">
        <w:t>responsibility</w:t>
      </w:r>
      <w:r w:rsidR="00A92F07" w:rsidRPr="00EC02CA">
        <w:t>.</w:t>
      </w:r>
      <w:r w:rsidR="00A92F07" w:rsidRPr="00EC02CA">
        <w:rPr>
          <w:rStyle w:val="FootnoteReference"/>
        </w:rPr>
        <w:footnoteReference w:id="333"/>
      </w:r>
      <w:r w:rsidR="00354DC9" w:rsidRPr="00EC02CA">
        <w:t xml:space="preserve"> </w:t>
      </w:r>
      <w:r w:rsidR="00D405A8" w:rsidRPr="00EC02CA">
        <w:t>Accordingly</w:t>
      </w:r>
      <w:r w:rsidR="004F203A" w:rsidRPr="00EC02CA">
        <w:t>, the TLRI</w:t>
      </w:r>
      <w:r w:rsidR="0067254F" w:rsidRPr="00EC02CA">
        <w:t xml:space="preserve"> </w:t>
      </w:r>
      <w:r w:rsidR="00713244" w:rsidRPr="00EC02CA">
        <w:t xml:space="preserve">provided its recommendations </w:t>
      </w:r>
      <w:r w:rsidR="00D405A8" w:rsidRPr="00EC02CA">
        <w:t>to</w:t>
      </w:r>
      <w:r w:rsidR="00713244" w:rsidRPr="00EC02CA">
        <w:t xml:space="preserve"> </w:t>
      </w:r>
      <w:r w:rsidR="00B632A1" w:rsidRPr="00EC02CA">
        <w:t>highlight</w:t>
      </w:r>
      <w:r w:rsidR="00D405A8" w:rsidRPr="00EC02CA">
        <w:t xml:space="preserve"> </w:t>
      </w:r>
      <w:r w:rsidR="00B415AF" w:rsidRPr="00EC02CA">
        <w:t>the other</w:t>
      </w:r>
      <w:r w:rsidR="00D3083A" w:rsidRPr="00EC02CA">
        <w:t xml:space="preserve"> legal reforms that would be necessary to </w:t>
      </w:r>
      <w:r w:rsidR="00D36A9A" w:rsidRPr="00EC02CA">
        <w:t xml:space="preserve">give </w:t>
      </w:r>
      <w:r w:rsidR="004B4BCC" w:rsidRPr="00EC02CA">
        <w:t xml:space="preserve">effect </w:t>
      </w:r>
      <w:r w:rsidR="00D405A8" w:rsidRPr="00EC02CA">
        <w:t xml:space="preserve">to </w:t>
      </w:r>
      <w:r w:rsidR="004B4BCC" w:rsidRPr="00EC02CA">
        <w:t>this change</w:t>
      </w:r>
      <w:r w:rsidR="001729B0" w:rsidRPr="00EC02CA">
        <w:t>.</w:t>
      </w:r>
    </w:p>
    <w:p w14:paraId="3CC9E210" w14:textId="0F2CBDE1" w:rsidR="00554038" w:rsidRPr="00EC02CA" w:rsidRDefault="00BE6648" w:rsidP="002F0007">
      <w:pPr>
        <w:pStyle w:val="NormalNumberedTextTLRI"/>
      </w:pPr>
      <w:r w:rsidRPr="00EC02CA">
        <w:t>The r</w:t>
      </w:r>
      <w:r w:rsidR="00554038" w:rsidRPr="00EC02CA">
        <w:t xml:space="preserve">ecommendations from this research that are particularly relevant to the justice system’s response to young people </w:t>
      </w:r>
      <w:r w:rsidRPr="00EC02CA">
        <w:t xml:space="preserve">who engage in </w:t>
      </w:r>
      <w:r w:rsidR="00554038" w:rsidRPr="00EC02CA">
        <w:t>harmful sexual behaviour were:</w:t>
      </w:r>
    </w:p>
    <w:p w14:paraId="27F263FE" w14:textId="392BA643" w:rsidR="00554038" w:rsidRPr="00EC02CA" w:rsidRDefault="00554038" w:rsidP="00554038">
      <w:pPr>
        <w:pStyle w:val="DotPointTLRI"/>
      </w:pPr>
      <w:r w:rsidRPr="00EC02CA">
        <w:t xml:space="preserve">The </w:t>
      </w:r>
      <w:r w:rsidRPr="00EC02CA">
        <w:rPr>
          <w:i/>
          <w:iCs/>
        </w:rPr>
        <w:t>Children, Young Person</w:t>
      </w:r>
      <w:r w:rsidR="00BE6648" w:rsidRPr="00EC02CA">
        <w:rPr>
          <w:i/>
          <w:iCs/>
        </w:rPr>
        <w:t>s</w:t>
      </w:r>
      <w:r w:rsidRPr="00EC02CA">
        <w:rPr>
          <w:i/>
          <w:iCs/>
        </w:rPr>
        <w:t xml:space="preserve"> and Their Families Act </w:t>
      </w:r>
      <w:r w:rsidR="00BE6648" w:rsidRPr="00EC02CA">
        <w:rPr>
          <w:i/>
          <w:iCs/>
        </w:rPr>
        <w:t xml:space="preserve">1997 </w:t>
      </w:r>
      <w:r w:rsidRPr="00EC02CA">
        <w:t>(Tas) should be amended to clarify that children who cause risk to themselves or others come within the jurisdiction of the Act.</w:t>
      </w:r>
      <w:r w:rsidRPr="00EC02CA">
        <w:rPr>
          <w:rStyle w:val="FootnoteReference"/>
        </w:rPr>
        <w:footnoteReference w:id="334"/>
      </w:r>
    </w:p>
    <w:p w14:paraId="18F2DB7F" w14:textId="427D21ED" w:rsidR="00554038" w:rsidRPr="00EC02CA" w:rsidRDefault="00554038" w:rsidP="00554038">
      <w:pPr>
        <w:pStyle w:val="DotPointTLRI"/>
      </w:pPr>
      <w:r w:rsidRPr="00EC02CA">
        <w:t xml:space="preserve">The roles, responsibilities and restrictions for police dealing with children younger than the </w:t>
      </w:r>
      <w:r w:rsidR="00F66DED" w:rsidRPr="00EC02CA">
        <w:t>[minimum age of criminal responsibility]</w:t>
      </w:r>
      <w:r w:rsidRPr="00EC02CA">
        <w:t xml:space="preserve"> should be clarified by statute.</w:t>
      </w:r>
      <w:r w:rsidRPr="00EC02CA">
        <w:rPr>
          <w:rStyle w:val="FootnoteReference"/>
        </w:rPr>
        <w:footnoteReference w:id="335"/>
      </w:r>
    </w:p>
    <w:p w14:paraId="37DB50E8" w14:textId="558B5BFC" w:rsidR="00554038" w:rsidRPr="00EC02CA" w:rsidRDefault="00554038" w:rsidP="00A920EC">
      <w:pPr>
        <w:pStyle w:val="NormalNumberedTextTLRI"/>
      </w:pPr>
      <w:r w:rsidRPr="00EC02CA">
        <w:t xml:space="preserve">The TLRI </w:t>
      </w:r>
      <w:r w:rsidR="00BE6648" w:rsidRPr="00EC02CA">
        <w:t xml:space="preserve">also </w:t>
      </w:r>
      <w:r w:rsidRPr="00EC02CA">
        <w:t xml:space="preserve">considered that </w:t>
      </w:r>
      <w:r w:rsidR="00C46856" w:rsidRPr="00EC02CA">
        <w:t xml:space="preserve">there was a need for </w:t>
      </w:r>
      <w:r w:rsidRPr="00EC02CA">
        <w:t>transparency in the diversionary pathways</w:t>
      </w:r>
      <w:r w:rsidR="00C46856" w:rsidRPr="00EC02CA">
        <w:t xml:space="preserve"> available </w:t>
      </w:r>
      <w:r w:rsidRPr="00EC02CA">
        <w:t>for children under the age of criminal responsibility.</w:t>
      </w:r>
      <w:r w:rsidRPr="00EC02CA">
        <w:rPr>
          <w:rStyle w:val="FootnoteReference"/>
        </w:rPr>
        <w:footnoteReference w:id="336"/>
      </w:r>
    </w:p>
    <w:p w14:paraId="73BBAFD7" w14:textId="6DCC30A9" w:rsidR="00554038" w:rsidRPr="00EC02CA" w:rsidRDefault="00554038" w:rsidP="002F0007">
      <w:pPr>
        <w:pStyle w:val="NormalNumberedTextTLRI"/>
      </w:pPr>
      <w:r w:rsidRPr="00EC02CA">
        <w:t xml:space="preserve">In relation to harmful sexual behaviour, the TLRI </w:t>
      </w:r>
      <w:r w:rsidR="00A8724D" w:rsidRPr="00EC02CA">
        <w:t xml:space="preserve">addressed the issue of police powers </w:t>
      </w:r>
      <w:r w:rsidR="00AC26C5" w:rsidRPr="00EC02CA">
        <w:t>and</w:t>
      </w:r>
      <w:r w:rsidR="00A8724D" w:rsidRPr="00EC02CA">
        <w:t xml:space="preserve"> </w:t>
      </w:r>
      <w:r w:rsidR="00AC26C5" w:rsidRPr="00EC02CA">
        <w:t>also</w:t>
      </w:r>
      <w:r w:rsidR="00A8724D" w:rsidRPr="00EC02CA">
        <w:t xml:space="preserve"> </w:t>
      </w:r>
      <w:r w:rsidR="00AC26C5" w:rsidRPr="00EC02CA">
        <w:t>statutory powers of diversion. It expressed the view that</w:t>
      </w:r>
      <w:r w:rsidRPr="00EC02CA">
        <w:t>:</w:t>
      </w:r>
    </w:p>
    <w:p w14:paraId="0255C9F7" w14:textId="42EDE520" w:rsidR="00554038" w:rsidRPr="00EC02CA" w:rsidRDefault="00BE6648" w:rsidP="00554038">
      <w:pPr>
        <w:pStyle w:val="Indentedquote"/>
      </w:pPr>
      <w:r w:rsidRPr="00EC02CA">
        <w:t>[</w:t>
      </w:r>
      <w:r w:rsidR="00AC26C5" w:rsidRPr="00EC02CA">
        <w:t xml:space="preserve">It </w:t>
      </w:r>
      <w:r w:rsidRPr="00EC02CA">
        <w:t>is</w:t>
      </w:r>
      <w:r w:rsidR="00AC26C5" w:rsidRPr="00EC02CA">
        <w:t>] e</w:t>
      </w:r>
      <w:r w:rsidR="00554038" w:rsidRPr="00EC02CA">
        <w:t>ssential that there are clearly defined, appropriate and proportionate police powers to investigate and respond to harmful conduct, regardless of the age of the person who has conducted it.</w:t>
      </w:r>
      <w:r w:rsidR="00554038" w:rsidRPr="00EC02CA">
        <w:rPr>
          <w:rStyle w:val="FootnoteReference"/>
        </w:rPr>
        <w:footnoteReference w:id="337"/>
      </w:r>
    </w:p>
    <w:p w14:paraId="15FBB734" w14:textId="1AE4CDA0" w:rsidR="00554038" w:rsidRPr="00EC02CA" w:rsidRDefault="00554038" w:rsidP="00A920EC">
      <w:pPr>
        <w:pStyle w:val="NormalNumberedTextTLRI"/>
      </w:pPr>
      <w:r w:rsidRPr="00EC02CA">
        <w:t xml:space="preserve">Accordingly, the TLRI considered that ‘ensuring that the powers, roles and responsibilities of police as first responders to all forms of harmful </w:t>
      </w:r>
      <w:r w:rsidR="002155D5" w:rsidRPr="00EC02CA">
        <w:t xml:space="preserve">sexual </w:t>
      </w:r>
      <w:r w:rsidRPr="00EC02CA">
        <w:t>behaviour, regardless of who is causing it, should be a central consideration in law reform’.</w:t>
      </w:r>
      <w:r w:rsidRPr="00EC02CA">
        <w:rPr>
          <w:rStyle w:val="FootnoteReference"/>
        </w:rPr>
        <w:footnoteReference w:id="338"/>
      </w:r>
      <w:r w:rsidRPr="00EC02CA">
        <w:t xml:space="preserve"> Police, in this role, would work collaboratively with child protection officers.</w:t>
      </w:r>
      <w:r w:rsidRPr="00EC02CA">
        <w:rPr>
          <w:rStyle w:val="FootnoteReference"/>
        </w:rPr>
        <w:footnoteReference w:id="339"/>
      </w:r>
      <w:r w:rsidR="00771434" w:rsidRPr="00EC02CA">
        <w:t xml:space="preserve"> </w:t>
      </w:r>
      <w:r w:rsidRPr="00EC02CA">
        <w:t>The TLRI observed that an approach that could be taken ‘to balance the goals of individual responsibility and community protection, while avoiding the general effects of lengthy engagement with the criminal justice system, is to provide an age threshold under which children may be investigated but not prosecuted</w:t>
      </w:r>
      <w:r w:rsidR="00D97B60" w:rsidRPr="00EC02CA">
        <w:t>’</w:t>
      </w:r>
      <w:r w:rsidRPr="00EC02CA">
        <w:t>.</w:t>
      </w:r>
      <w:r w:rsidRPr="00EC02CA">
        <w:rPr>
          <w:rStyle w:val="FootnoteReference"/>
        </w:rPr>
        <w:footnoteReference w:id="340"/>
      </w:r>
      <w:r w:rsidRPr="00EC02CA">
        <w:t xml:space="preserve"> It considered the Canadian approach a compelling model</w:t>
      </w:r>
      <w:r w:rsidR="00771434" w:rsidRPr="00EC02CA">
        <w:t>.</w:t>
      </w:r>
      <w:r w:rsidRPr="00EC02CA">
        <w:rPr>
          <w:rStyle w:val="FootnoteReference"/>
        </w:rPr>
        <w:footnoteReference w:id="341"/>
      </w:r>
      <w:r w:rsidR="00FA2D62" w:rsidRPr="00EC02CA">
        <w:t xml:space="preserve"> The </w:t>
      </w:r>
      <w:r w:rsidR="00C96A5B" w:rsidRPr="00EC02CA">
        <w:t>Canadian</w:t>
      </w:r>
      <w:r w:rsidR="00FA2D62" w:rsidRPr="00EC02CA">
        <w:t xml:space="preserve"> model </w:t>
      </w:r>
      <w:r w:rsidR="00E02943" w:rsidRPr="00EC02CA">
        <w:t>provide</w:t>
      </w:r>
      <w:r w:rsidR="0044484B" w:rsidRPr="00EC02CA">
        <w:t>s</w:t>
      </w:r>
      <w:r w:rsidR="00E02943" w:rsidRPr="00EC02CA">
        <w:t xml:space="preserve"> for police to report a </w:t>
      </w:r>
      <w:r w:rsidR="00C96A5B" w:rsidRPr="00EC02CA">
        <w:t>young person</w:t>
      </w:r>
      <w:r w:rsidR="00E02943" w:rsidRPr="00EC02CA">
        <w:t xml:space="preserve"> to the appropriate child </w:t>
      </w:r>
      <w:r w:rsidR="00C96A5B" w:rsidRPr="00EC02CA">
        <w:t>protection</w:t>
      </w:r>
      <w:r w:rsidR="00E02943" w:rsidRPr="00EC02CA">
        <w:t xml:space="preserve"> </w:t>
      </w:r>
      <w:r w:rsidR="00C96A5B" w:rsidRPr="00EC02CA">
        <w:t>authorities, as well as a power to take the young person to either a safe place or parent</w:t>
      </w:r>
      <w:r w:rsidR="0044484B" w:rsidRPr="00EC02CA">
        <w:t>,</w:t>
      </w:r>
      <w:r w:rsidR="00C96A5B" w:rsidRPr="00EC02CA">
        <w:t xml:space="preserve"> or both.</w:t>
      </w:r>
      <w:r w:rsidR="00C96A5B" w:rsidRPr="00EC02CA">
        <w:rPr>
          <w:rStyle w:val="FootnoteReference"/>
        </w:rPr>
        <w:footnoteReference w:id="342"/>
      </w:r>
    </w:p>
    <w:p w14:paraId="1DF73E8F" w14:textId="77658442" w:rsidR="008D42FB" w:rsidRPr="00EC02CA" w:rsidRDefault="00771434" w:rsidP="002F0007">
      <w:pPr>
        <w:pStyle w:val="NormalNumberedTextTLRI"/>
      </w:pPr>
      <w:r w:rsidRPr="00EC02CA">
        <w:t xml:space="preserve">The need to provide </w:t>
      </w:r>
      <w:r w:rsidR="00495D5B" w:rsidRPr="00EC02CA">
        <w:t xml:space="preserve">a service response to young people under the age of criminal responsibility who engage in behaviour that would otherwise be an offence has also been recognised in the government response to the Commission of Inquiry, and in the </w:t>
      </w:r>
      <w:r w:rsidR="008D42FB" w:rsidRPr="00EC02CA">
        <w:rPr>
          <w:i/>
          <w:iCs/>
        </w:rPr>
        <w:t>Youth Justice Blueprint</w:t>
      </w:r>
      <w:r w:rsidR="0044484B" w:rsidRPr="00EC02CA">
        <w:t xml:space="preserve"> </w:t>
      </w:r>
      <w:r w:rsidR="0044484B" w:rsidRPr="00EC02CA">
        <w:rPr>
          <w:i/>
          <w:iCs/>
        </w:rPr>
        <w:t>2024–2034</w:t>
      </w:r>
      <w:r w:rsidR="008D42FB" w:rsidRPr="00EC02CA">
        <w:t>.</w:t>
      </w:r>
      <w:r w:rsidR="008D42FB" w:rsidRPr="00EC02CA">
        <w:rPr>
          <w:rStyle w:val="FootnoteReference"/>
        </w:rPr>
        <w:footnoteReference w:id="343"/>
      </w:r>
      <w:r w:rsidR="008D42FB" w:rsidRPr="00EC02CA">
        <w:t xml:space="preserve"> </w:t>
      </w:r>
    </w:p>
    <w:p w14:paraId="23BC7214" w14:textId="23853700" w:rsidR="00A45EFD" w:rsidRPr="00EC02CA" w:rsidRDefault="00A45EFD" w:rsidP="00A920EC">
      <w:pPr>
        <w:pStyle w:val="TLRISubheading"/>
      </w:pPr>
      <w:bookmarkStart w:id="198" w:name="_Toc211849393"/>
      <w:bookmarkStart w:id="199" w:name="_Toc218157289"/>
      <w:r w:rsidRPr="00EC02CA">
        <w:t>TLRI interview</w:t>
      </w:r>
      <w:r w:rsidR="009A0F63" w:rsidRPr="00EC02CA">
        <w:t>ee</w:t>
      </w:r>
      <w:r w:rsidRPr="00EC02CA">
        <w:t>s</w:t>
      </w:r>
      <w:bookmarkEnd w:id="198"/>
      <w:r w:rsidR="00C31078" w:rsidRPr="00EC02CA">
        <w:t>’ views</w:t>
      </w:r>
      <w:bookmarkEnd w:id="199"/>
    </w:p>
    <w:p w14:paraId="459969BD" w14:textId="017E0813" w:rsidR="006E605F" w:rsidRPr="00EC02CA" w:rsidRDefault="006E605F" w:rsidP="002F0007">
      <w:pPr>
        <w:pStyle w:val="NormalNumberedTextTLRI"/>
      </w:pPr>
      <w:r w:rsidRPr="00EC02CA">
        <w:t xml:space="preserve">In the interviews, </w:t>
      </w:r>
      <w:r w:rsidR="00AC32CF" w:rsidRPr="00EC02CA">
        <w:t xml:space="preserve">the </w:t>
      </w:r>
      <w:r w:rsidR="00601FCC" w:rsidRPr="00EC02CA">
        <w:t xml:space="preserve">legislative framework </w:t>
      </w:r>
      <w:r w:rsidR="0044484B" w:rsidRPr="00EC02CA">
        <w:t xml:space="preserve">of </w:t>
      </w:r>
      <w:r w:rsidR="00601FCC" w:rsidRPr="00EC02CA">
        <w:t xml:space="preserve">the youth justice system was discussed in </w:t>
      </w:r>
      <w:r w:rsidR="002754A4" w:rsidRPr="00EC02CA">
        <w:t>eight</w:t>
      </w:r>
      <w:r w:rsidR="00601FCC" w:rsidRPr="00EC02CA">
        <w:t xml:space="preserve"> interviews, with </w:t>
      </w:r>
      <w:r w:rsidR="002754A4" w:rsidRPr="00EC02CA">
        <w:t>four</w:t>
      </w:r>
      <w:r w:rsidR="00E475E7" w:rsidRPr="00EC02CA">
        <w:t xml:space="preserve"> </w:t>
      </w:r>
      <w:r w:rsidR="007F702A" w:rsidRPr="00EC02CA">
        <w:t xml:space="preserve">participants commenting </w:t>
      </w:r>
      <w:r w:rsidR="00E475E7" w:rsidRPr="00EC02CA">
        <w:t>on the considerable</w:t>
      </w:r>
      <w:r w:rsidR="007F702A" w:rsidRPr="00EC02CA">
        <w:t xml:space="preserve"> challenges for the justice system if reports were made in relation to children aged under 14</w:t>
      </w:r>
      <w:r w:rsidR="004166FD" w:rsidRPr="00EC02CA">
        <w:t xml:space="preserve"> (where there is a presumption that a child is not criminally </w:t>
      </w:r>
      <w:r w:rsidR="006778A1" w:rsidRPr="00EC02CA">
        <w:t>responsible</w:t>
      </w:r>
      <w:r w:rsidR="0044484B" w:rsidRPr="00EC02CA">
        <w:t>)</w:t>
      </w:r>
      <w:r w:rsidR="004166FD" w:rsidRPr="00EC02CA">
        <w:t xml:space="preserve"> and under 10 (where there no criminal responsibility).</w:t>
      </w:r>
      <w:r w:rsidR="004166FD" w:rsidRPr="00EC02CA">
        <w:rPr>
          <w:rStyle w:val="FootnoteReference"/>
        </w:rPr>
        <w:footnoteReference w:id="344"/>
      </w:r>
      <w:r w:rsidR="00601FCC" w:rsidRPr="00EC02CA">
        <w:t xml:space="preserve"> </w:t>
      </w:r>
      <w:r w:rsidR="002B0DC1" w:rsidRPr="00EC02CA">
        <w:t xml:space="preserve">As discussed further at </w:t>
      </w:r>
      <w:r w:rsidR="000245D6" w:rsidRPr="00EC02CA">
        <w:t>[</w:t>
      </w:r>
      <w:r w:rsidR="00573142" w:rsidRPr="00EC02CA">
        <w:fldChar w:fldCharType="begin"/>
      </w:r>
      <w:r w:rsidR="00573142" w:rsidRPr="00EC02CA">
        <w:instrText xml:space="preserve"> REF _Ref218240380 \r \h </w:instrText>
      </w:r>
      <w:r w:rsidR="00573142" w:rsidRPr="00EC02CA">
        <w:fldChar w:fldCharType="separate"/>
      </w:r>
      <w:r w:rsidR="007D7830">
        <w:t>6.5</w:t>
      </w:r>
      <w:r w:rsidR="00573142" w:rsidRPr="00EC02CA">
        <w:fldChar w:fldCharType="end"/>
      </w:r>
      <w:r w:rsidR="000245D6" w:rsidRPr="00EC02CA">
        <w:t>]</w:t>
      </w:r>
      <w:r w:rsidR="002B0DC1" w:rsidRPr="00EC02CA">
        <w:t xml:space="preserve">, it was </w:t>
      </w:r>
      <w:r w:rsidR="00030DD8" w:rsidRPr="00EC02CA">
        <w:t xml:space="preserve">observed that the options </w:t>
      </w:r>
      <w:r w:rsidR="0044484B" w:rsidRPr="00EC02CA">
        <w:t xml:space="preserve">available </w:t>
      </w:r>
      <w:r w:rsidR="00030DD8" w:rsidRPr="00EC02CA">
        <w:t xml:space="preserve">for police to respond </w:t>
      </w:r>
      <w:r w:rsidR="0044484B" w:rsidRPr="00EC02CA">
        <w:t xml:space="preserve">in these circumstances </w:t>
      </w:r>
      <w:r w:rsidR="00030DD8" w:rsidRPr="00EC02CA">
        <w:t>were very limited</w:t>
      </w:r>
      <w:r w:rsidR="00263320" w:rsidRPr="00EC02CA">
        <w:t>.</w:t>
      </w:r>
    </w:p>
    <w:p w14:paraId="4D78E2F2" w14:textId="1E6F026A" w:rsidR="00BB6C3C" w:rsidRPr="00EC02CA" w:rsidRDefault="00BB6C3C" w:rsidP="00A920EC">
      <w:pPr>
        <w:pStyle w:val="TLRISubheading"/>
        <w:keepNext/>
        <w:keepLines/>
      </w:pPr>
      <w:bookmarkStart w:id="200" w:name="_Toc211849394"/>
      <w:bookmarkStart w:id="201" w:name="_Toc218157290"/>
      <w:r w:rsidRPr="00EC02CA">
        <w:t>TLRI views and recommendations</w:t>
      </w:r>
      <w:bookmarkEnd w:id="200"/>
      <w:bookmarkEnd w:id="201"/>
    </w:p>
    <w:p w14:paraId="36B49912" w14:textId="60DFB5B2" w:rsidR="00D33229" w:rsidRPr="00EC02CA" w:rsidRDefault="0057691C" w:rsidP="00A920EC">
      <w:pPr>
        <w:pStyle w:val="NormalNumberedTextTLRI"/>
        <w:keepNext/>
        <w:keepLines/>
      </w:pPr>
      <w:r w:rsidRPr="00EC02CA">
        <w:t>The</w:t>
      </w:r>
      <w:r w:rsidR="008C5FC9" w:rsidRPr="00EC02CA">
        <w:t xml:space="preserve"> TLRI’s views in relation to the minimum age of criminal responsibility reflect an assumption that the age will be raised</w:t>
      </w:r>
      <w:r w:rsidRPr="00EC02CA">
        <w:t xml:space="preserve">, </w:t>
      </w:r>
      <w:r w:rsidR="0044484B" w:rsidRPr="00EC02CA">
        <w:t xml:space="preserve">consistent </w:t>
      </w:r>
      <w:r w:rsidRPr="00EC02CA">
        <w:t>with its prior consideration of this issue</w:t>
      </w:r>
      <w:r w:rsidR="00C3444D" w:rsidRPr="00EC02CA">
        <w:t xml:space="preserve">. </w:t>
      </w:r>
      <w:r w:rsidR="00592A7F" w:rsidRPr="00EC02CA">
        <w:t xml:space="preserve">Beyond the issues previously raised by the TLRI concerning the raising of the minimum age of criminal responsibility, the TLRI </w:t>
      </w:r>
      <w:r w:rsidR="00741DF8" w:rsidRPr="00EC02CA">
        <w:t>notes that for</w:t>
      </w:r>
      <w:r w:rsidR="00592A7F" w:rsidRPr="00EC02CA">
        <w:t xml:space="preserve"> young people aged 10–13 (who </w:t>
      </w:r>
      <w:r w:rsidR="008428E7" w:rsidRPr="00EC02CA">
        <w:t>are</w:t>
      </w:r>
      <w:r w:rsidR="00592A7F" w:rsidRPr="00EC02CA">
        <w:t xml:space="preserve"> currently within the scope of the youth justice system)</w:t>
      </w:r>
      <w:r w:rsidR="0068752B" w:rsidRPr="00EC02CA">
        <w:t>,</w:t>
      </w:r>
      <w:r w:rsidR="00592A7F" w:rsidRPr="00EC02CA">
        <w:t xml:space="preserve"> </w:t>
      </w:r>
      <w:r w:rsidR="0068752B" w:rsidRPr="00EC02CA">
        <w:t>t</w:t>
      </w:r>
      <w:r w:rsidR="00A21F96" w:rsidRPr="00EC02CA">
        <w:t xml:space="preserve">here are no </w:t>
      </w:r>
      <w:r w:rsidR="00B71662" w:rsidRPr="00EC02CA">
        <w:t>prescribed</w:t>
      </w:r>
      <w:r w:rsidR="00A21F96" w:rsidRPr="00EC02CA">
        <w:t xml:space="preserve"> sexual offences, and so the </w:t>
      </w:r>
      <w:r w:rsidR="00A21F96" w:rsidRPr="00EC02CA">
        <w:rPr>
          <w:i/>
        </w:rPr>
        <w:t xml:space="preserve">Youth Justice </w:t>
      </w:r>
      <w:r w:rsidR="00A769F8" w:rsidRPr="00EC02CA">
        <w:rPr>
          <w:i/>
          <w:iCs/>
        </w:rPr>
        <w:t xml:space="preserve">Act 1997 </w:t>
      </w:r>
      <w:r w:rsidR="00A769F8" w:rsidRPr="00EC02CA">
        <w:t>(Tas) applies</w:t>
      </w:r>
      <w:r w:rsidR="00CF2B09">
        <w:t>,</w:t>
      </w:r>
      <w:r w:rsidR="00A769F8" w:rsidRPr="00EC02CA">
        <w:t xml:space="preserve"> </w:t>
      </w:r>
      <w:r w:rsidR="00A21F96" w:rsidRPr="00EC02CA">
        <w:t xml:space="preserve">and the Youth Justice </w:t>
      </w:r>
      <w:r w:rsidR="00B71662" w:rsidRPr="00EC02CA">
        <w:t>Division</w:t>
      </w:r>
      <w:r w:rsidR="00A21F96" w:rsidRPr="00EC02CA">
        <w:t xml:space="preserve"> </w:t>
      </w:r>
      <w:r w:rsidR="00A769F8" w:rsidRPr="00EC02CA">
        <w:t xml:space="preserve">can </w:t>
      </w:r>
      <w:r w:rsidR="00F25F1A" w:rsidRPr="00EC02CA">
        <w:t>respond to them</w:t>
      </w:r>
      <w:r w:rsidR="0068752B" w:rsidRPr="00EC02CA">
        <w:t xml:space="preserve">. </w:t>
      </w:r>
      <w:r w:rsidR="004C465A" w:rsidRPr="00EC02CA">
        <w:t>As noted, if the minimum age of criminal responsibility</w:t>
      </w:r>
      <w:r w:rsidR="0044484B" w:rsidRPr="00EC02CA">
        <w:t xml:space="preserve"> is raised</w:t>
      </w:r>
      <w:r w:rsidR="004C465A" w:rsidRPr="00EC02CA">
        <w:t xml:space="preserve">, the youth justice system </w:t>
      </w:r>
      <w:r w:rsidR="0044484B" w:rsidRPr="00EC02CA">
        <w:t xml:space="preserve">will </w:t>
      </w:r>
      <w:r w:rsidR="004C465A" w:rsidRPr="00EC02CA">
        <w:t>not have a role</w:t>
      </w:r>
      <w:r w:rsidR="0068752B" w:rsidRPr="00EC02CA">
        <w:t xml:space="preserve"> for</w:t>
      </w:r>
      <w:r w:rsidR="00FD2EBB" w:rsidRPr="00EC02CA">
        <w:t xml:space="preserve"> responding to</w:t>
      </w:r>
      <w:r w:rsidR="0068752B" w:rsidRPr="00EC02CA">
        <w:t xml:space="preserve"> these young people</w:t>
      </w:r>
      <w:r w:rsidR="004C465A" w:rsidRPr="00EC02CA">
        <w:t xml:space="preserve">, and police </w:t>
      </w:r>
      <w:r w:rsidR="0068752B" w:rsidRPr="00EC02CA">
        <w:t>will</w:t>
      </w:r>
      <w:r w:rsidR="00FD2EBB" w:rsidRPr="00EC02CA">
        <w:t xml:space="preserve"> accordingly</w:t>
      </w:r>
      <w:r w:rsidR="0068752B" w:rsidRPr="00EC02CA">
        <w:t xml:space="preserve"> </w:t>
      </w:r>
      <w:r w:rsidR="004C465A" w:rsidRPr="00EC02CA">
        <w:t xml:space="preserve">have very limited scope to intervene. </w:t>
      </w:r>
      <w:r w:rsidR="00677A32" w:rsidRPr="00EC02CA">
        <w:t>However, as</w:t>
      </w:r>
      <w:r w:rsidR="00B03AD9" w:rsidRPr="00EC02CA">
        <w:t xml:space="preserve"> recognised in the interviews, </w:t>
      </w:r>
      <w:r w:rsidR="0044484B" w:rsidRPr="00EC02CA">
        <w:t xml:space="preserve">the </w:t>
      </w:r>
      <w:r w:rsidR="00DF5C17" w:rsidRPr="00EC02CA">
        <w:t xml:space="preserve">police are still the main agency </w:t>
      </w:r>
      <w:r w:rsidR="00A90DA3" w:rsidRPr="00EC02CA">
        <w:t xml:space="preserve">that people report </w:t>
      </w:r>
      <w:r w:rsidR="00F034DE" w:rsidRPr="00EC02CA">
        <w:t>allegations</w:t>
      </w:r>
      <w:r w:rsidR="00A90DA3" w:rsidRPr="00EC02CA">
        <w:t xml:space="preserve"> of sexual offending</w:t>
      </w:r>
      <w:r w:rsidR="0044484B" w:rsidRPr="00EC02CA">
        <w:t xml:space="preserve"> to</w:t>
      </w:r>
      <w:r w:rsidR="00A90DA3" w:rsidRPr="00EC02CA">
        <w:t xml:space="preserve">, </w:t>
      </w:r>
      <w:r w:rsidR="00677A32" w:rsidRPr="00EC02CA">
        <w:t>even if</w:t>
      </w:r>
      <w:r w:rsidR="002A7AB8" w:rsidRPr="00EC02CA">
        <w:t xml:space="preserve"> the</w:t>
      </w:r>
      <w:r w:rsidR="0057646D" w:rsidRPr="00EC02CA">
        <w:t xml:space="preserve"> young person is under 10.</w:t>
      </w:r>
      <w:r w:rsidR="005C73FB" w:rsidRPr="00EC02CA">
        <w:rPr>
          <w:rStyle w:val="FootnoteReference"/>
        </w:rPr>
        <w:footnoteReference w:id="345"/>
      </w:r>
      <w:r w:rsidR="0057646D" w:rsidRPr="00EC02CA">
        <w:t xml:space="preserve"> </w:t>
      </w:r>
      <w:r w:rsidR="0044484B" w:rsidRPr="00EC02CA">
        <w:t>The</w:t>
      </w:r>
      <w:r w:rsidR="0062143F" w:rsidRPr="00EC02CA">
        <w:t xml:space="preserve"> d</w:t>
      </w:r>
      <w:r w:rsidR="005C73FB" w:rsidRPr="00EC02CA">
        <w:t>ifficulties</w:t>
      </w:r>
      <w:r w:rsidR="00F034DE" w:rsidRPr="00EC02CA">
        <w:t xml:space="preserve"> in providing a justice response for young people aged between 10 and 14</w:t>
      </w:r>
      <w:r w:rsidR="0044484B" w:rsidRPr="00EC02CA">
        <w:t xml:space="preserve"> </w:t>
      </w:r>
      <w:r w:rsidR="00461545" w:rsidRPr="00EC02CA">
        <w:t xml:space="preserve">(under the current </w:t>
      </w:r>
      <w:r w:rsidR="001B4C6E" w:rsidRPr="00EC02CA">
        <w:t xml:space="preserve">laws) </w:t>
      </w:r>
      <w:r w:rsidR="0044484B" w:rsidRPr="00EC02CA">
        <w:t>were also noted in interviews</w:t>
      </w:r>
      <w:r w:rsidR="005C73FB" w:rsidRPr="00EC02CA">
        <w:t>.</w:t>
      </w:r>
      <w:r w:rsidR="005C73FB" w:rsidRPr="00EC02CA">
        <w:rPr>
          <w:rStyle w:val="FootnoteReference"/>
        </w:rPr>
        <w:footnoteReference w:id="346"/>
      </w:r>
    </w:p>
    <w:p w14:paraId="0758ABB0" w14:textId="6F3A3557" w:rsidR="004C465A" w:rsidRPr="00EC02CA" w:rsidRDefault="00B80F5C" w:rsidP="002F0007">
      <w:pPr>
        <w:pStyle w:val="NormalNumberedTextTLRI"/>
      </w:pPr>
      <w:r w:rsidRPr="00EC02CA">
        <w:t>Addressing these</w:t>
      </w:r>
      <w:r w:rsidR="002F2964" w:rsidRPr="00EC02CA">
        <w:t xml:space="preserve"> issues </w:t>
      </w:r>
      <w:r w:rsidR="00592A7F" w:rsidRPr="00EC02CA">
        <w:t>will require careful consideration in develop</w:t>
      </w:r>
      <w:r w:rsidR="004E55DC" w:rsidRPr="00EC02CA">
        <w:t>ing</w:t>
      </w:r>
      <w:r w:rsidR="00592A7F" w:rsidRPr="00EC02CA">
        <w:t xml:space="preserve"> legislative and policy responses to guard against disproportionate responses to children and young people.</w:t>
      </w:r>
      <w:r w:rsidR="00592A7F" w:rsidRPr="00EC02CA">
        <w:rPr>
          <w:rStyle w:val="FootnoteReference"/>
        </w:rPr>
        <w:footnoteReference w:id="347"/>
      </w:r>
      <w:r w:rsidR="00592A7F" w:rsidRPr="00EC02CA">
        <w:t xml:space="preserve"> </w:t>
      </w:r>
      <w:r w:rsidR="00927544" w:rsidRPr="00EC02CA">
        <w:t xml:space="preserve">The TLRI urges </w:t>
      </w:r>
      <w:r w:rsidR="009406CD" w:rsidRPr="00EC02CA">
        <w:t>caution</w:t>
      </w:r>
      <w:r w:rsidR="00927544" w:rsidRPr="00EC02CA">
        <w:t xml:space="preserve"> in relation to </w:t>
      </w:r>
      <w:r w:rsidR="009406CD" w:rsidRPr="00EC02CA">
        <w:t>reforms</w:t>
      </w:r>
      <w:r w:rsidR="00C82DCF" w:rsidRPr="00EC02CA">
        <w:t xml:space="preserve"> that </w:t>
      </w:r>
      <w:r w:rsidR="009E463A" w:rsidRPr="00EC02CA">
        <w:t xml:space="preserve">would </w:t>
      </w:r>
      <w:r w:rsidR="00EB0328" w:rsidRPr="00EC02CA">
        <w:t>dimi</w:t>
      </w:r>
      <w:r w:rsidR="00EC03D5" w:rsidRPr="00EC02CA">
        <w:t>ni</w:t>
      </w:r>
      <w:r w:rsidR="00EB0328" w:rsidRPr="00EC02CA">
        <w:t xml:space="preserve">sh the importance of due process </w:t>
      </w:r>
      <w:r w:rsidR="005E5B22" w:rsidRPr="00EC02CA">
        <w:t xml:space="preserve">and </w:t>
      </w:r>
      <w:r w:rsidR="009E463A" w:rsidRPr="00EC02CA">
        <w:t>re</w:t>
      </w:r>
      <w:r w:rsidR="003117A8" w:rsidRPr="00EC02CA">
        <w:t xml:space="preserve">introduce the excess of state </w:t>
      </w:r>
      <w:r w:rsidR="009406CD" w:rsidRPr="00EC02CA">
        <w:t>intervention</w:t>
      </w:r>
      <w:r w:rsidR="003117A8" w:rsidRPr="00EC02CA">
        <w:t xml:space="preserve"> </w:t>
      </w:r>
      <w:r w:rsidR="00EE1C73" w:rsidRPr="00EC02CA">
        <w:t xml:space="preserve">– </w:t>
      </w:r>
      <w:r w:rsidR="007A5D74" w:rsidRPr="00EC02CA">
        <w:t xml:space="preserve">leading to </w:t>
      </w:r>
      <w:r w:rsidR="007B4259" w:rsidRPr="00EC02CA">
        <w:t>net-widening</w:t>
      </w:r>
      <w:r w:rsidR="00752CFF" w:rsidRPr="00EC02CA">
        <w:t xml:space="preserve"> of one form or another</w:t>
      </w:r>
      <w:r w:rsidR="009406CD" w:rsidRPr="00EC02CA">
        <w:t xml:space="preserve">. </w:t>
      </w:r>
      <w:r w:rsidR="002A7AB8" w:rsidRPr="00EC02CA">
        <w:t>Accordingly</w:t>
      </w:r>
      <w:r w:rsidR="00170E36" w:rsidRPr="00EC02CA">
        <w:t xml:space="preserve">, the TLRI reiterates </w:t>
      </w:r>
      <w:r w:rsidR="008E5B7C" w:rsidRPr="00EC02CA">
        <w:t xml:space="preserve">its </w:t>
      </w:r>
      <w:r w:rsidR="00170E36" w:rsidRPr="00EC02CA">
        <w:t>previous recommendations that a transparent and structure</w:t>
      </w:r>
      <w:r w:rsidR="008E5B7C" w:rsidRPr="00EC02CA">
        <w:t>d</w:t>
      </w:r>
      <w:r w:rsidR="00170E36" w:rsidRPr="00EC02CA">
        <w:t xml:space="preserve"> framework </w:t>
      </w:r>
      <w:r w:rsidR="001A7778" w:rsidRPr="00EC02CA">
        <w:t xml:space="preserve">is required </w:t>
      </w:r>
      <w:r w:rsidR="00170E36" w:rsidRPr="00EC02CA">
        <w:t xml:space="preserve">for </w:t>
      </w:r>
      <w:r w:rsidR="008E5B7C" w:rsidRPr="00EC02CA">
        <w:t xml:space="preserve">a </w:t>
      </w:r>
      <w:r w:rsidR="00170E36" w:rsidRPr="00EC02CA">
        <w:t xml:space="preserve">response </w:t>
      </w:r>
      <w:r w:rsidR="008E5B7C" w:rsidRPr="00EC02CA">
        <w:t xml:space="preserve">within </w:t>
      </w:r>
      <w:r w:rsidR="00170E36" w:rsidRPr="00EC02CA">
        <w:t xml:space="preserve">in the </w:t>
      </w:r>
      <w:r w:rsidR="00170E36" w:rsidRPr="00EC02CA">
        <w:rPr>
          <w:i/>
          <w:iCs/>
        </w:rPr>
        <w:t>Children, Young Person</w:t>
      </w:r>
      <w:r w:rsidR="004E55DC" w:rsidRPr="00EC02CA">
        <w:rPr>
          <w:i/>
          <w:iCs/>
        </w:rPr>
        <w:t>s</w:t>
      </w:r>
      <w:r w:rsidR="00170E36" w:rsidRPr="00EC02CA">
        <w:rPr>
          <w:i/>
          <w:iCs/>
        </w:rPr>
        <w:t xml:space="preserve"> and Their Families Act </w:t>
      </w:r>
      <w:r w:rsidR="00170E36" w:rsidRPr="00EC02CA">
        <w:t>(Tas)</w:t>
      </w:r>
      <w:r w:rsidR="00E76A79" w:rsidRPr="00EC02CA">
        <w:t xml:space="preserve"> to children under the age of criminal responsibility</w:t>
      </w:r>
      <w:r w:rsidR="00C871FB" w:rsidRPr="00EC02CA">
        <w:t>,</w:t>
      </w:r>
      <w:r w:rsidR="00170E36" w:rsidRPr="00EC02CA">
        <w:t xml:space="preserve"> </w:t>
      </w:r>
      <w:r w:rsidR="00DE6AFB" w:rsidRPr="00EC02CA">
        <w:t>an</w:t>
      </w:r>
      <w:r w:rsidR="00B7252E" w:rsidRPr="00EC02CA">
        <w:t>d</w:t>
      </w:r>
      <w:r w:rsidR="00DE6AFB" w:rsidRPr="00EC02CA">
        <w:t xml:space="preserve"> </w:t>
      </w:r>
      <w:r w:rsidR="00584975" w:rsidRPr="00EC02CA">
        <w:t>further</w:t>
      </w:r>
      <w:r w:rsidR="00C871FB" w:rsidRPr="00EC02CA">
        <w:t>,</w:t>
      </w:r>
      <w:r w:rsidR="00584975" w:rsidRPr="00EC02CA">
        <w:t xml:space="preserve"> </w:t>
      </w:r>
      <w:r w:rsidR="00DE6AFB" w:rsidRPr="00EC02CA">
        <w:t xml:space="preserve">that the powers of police </w:t>
      </w:r>
      <w:r w:rsidR="008E5B7C" w:rsidRPr="00EC02CA">
        <w:t>to respond</w:t>
      </w:r>
      <w:r w:rsidR="00DE6AFB" w:rsidRPr="00EC02CA">
        <w:t xml:space="preserve"> should be provided in legislation. </w:t>
      </w:r>
      <w:r w:rsidR="00C871FB" w:rsidRPr="00EC02CA">
        <w:t>I</w:t>
      </w:r>
      <w:r w:rsidR="00584975" w:rsidRPr="00EC02CA">
        <w:t xml:space="preserve">n providing a response outside of the criminal </w:t>
      </w:r>
      <w:r w:rsidR="00E94EF0" w:rsidRPr="00EC02CA">
        <w:t>justice</w:t>
      </w:r>
      <w:r w:rsidR="00584975" w:rsidRPr="00EC02CA">
        <w:t xml:space="preserve"> </w:t>
      </w:r>
      <w:r w:rsidR="00E94EF0" w:rsidRPr="00EC02CA">
        <w:t>system</w:t>
      </w:r>
      <w:r w:rsidR="00584975" w:rsidRPr="00EC02CA">
        <w:t xml:space="preserve"> for children under the age of criminal </w:t>
      </w:r>
      <w:r w:rsidR="00E94EF0" w:rsidRPr="00EC02CA">
        <w:t>responsibility</w:t>
      </w:r>
      <w:r w:rsidR="00584975" w:rsidRPr="00EC02CA">
        <w:t xml:space="preserve">, it is important to keep firmly in mind the </w:t>
      </w:r>
      <w:r w:rsidR="00404C33" w:rsidRPr="00EC02CA">
        <w:t>concerns that existed about the use of a</w:t>
      </w:r>
      <w:r w:rsidR="007107F8" w:rsidRPr="00EC02CA">
        <w:t>n excessive</w:t>
      </w:r>
      <w:r w:rsidR="00404C33" w:rsidRPr="00EC02CA">
        <w:t xml:space="preserve"> ‘welfare’ approach to young people.</w:t>
      </w:r>
      <w:r w:rsidR="00404C33" w:rsidRPr="00EC02CA">
        <w:rPr>
          <w:rStyle w:val="FootnoteReference"/>
        </w:rPr>
        <w:footnoteReference w:id="348"/>
      </w:r>
      <w:r w:rsidR="00404C33" w:rsidRPr="00EC02CA">
        <w:t xml:space="preserve"> </w:t>
      </w:r>
      <w:r w:rsidR="007824B0" w:rsidRPr="00EC02CA">
        <w:t>However, t</w:t>
      </w:r>
      <w:r w:rsidR="005F4D0A" w:rsidRPr="00EC02CA">
        <w:t xml:space="preserve">his should not be misinterpreted to mean that the TLRI is in favour </w:t>
      </w:r>
      <w:r w:rsidR="00810EF4" w:rsidRPr="00EC02CA">
        <w:t xml:space="preserve">of </w:t>
      </w:r>
      <w:r w:rsidR="00FE4087" w:rsidRPr="00EC02CA">
        <w:t xml:space="preserve">excessive </w:t>
      </w:r>
      <w:r w:rsidR="00C871FB" w:rsidRPr="00EC02CA">
        <w:t>‘</w:t>
      </w:r>
      <w:r w:rsidR="00FE4087" w:rsidRPr="00EC02CA">
        <w:t>justice</w:t>
      </w:r>
      <w:r w:rsidR="00C871FB" w:rsidRPr="00EC02CA">
        <w:t>’</w:t>
      </w:r>
      <w:r w:rsidR="00FE4087" w:rsidRPr="00EC02CA">
        <w:t xml:space="preserve"> model responses</w:t>
      </w:r>
      <w:r w:rsidR="00C2094C" w:rsidRPr="00EC02CA">
        <w:t xml:space="preserve">, such as </w:t>
      </w:r>
      <w:r w:rsidR="00A86793" w:rsidRPr="00EC02CA">
        <w:t xml:space="preserve">punitive </w:t>
      </w:r>
      <w:r w:rsidR="001205EB" w:rsidRPr="00EC02CA">
        <w:t xml:space="preserve">‘adult crime, adult time’ </w:t>
      </w:r>
      <w:r w:rsidR="007824B0" w:rsidRPr="00EC02CA">
        <w:t>policies.</w:t>
      </w:r>
      <w:r w:rsidR="001205EB" w:rsidRPr="00EC02CA">
        <w:t xml:space="preserve"> </w:t>
      </w:r>
      <w:r w:rsidR="007824B0" w:rsidRPr="00EC02CA">
        <w:t>These issues are</w:t>
      </w:r>
      <w:r w:rsidR="00404C33" w:rsidRPr="00EC02CA">
        <w:t xml:space="preserve"> considered further in t</w:t>
      </w:r>
      <w:r w:rsidR="008E5B7C" w:rsidRPr="00EC02CA">
        <w:t xml:space="preserve">he TLRI </w:t>
      </w:r>
      <w:r w:rsidR="00404C33" w:rsidRPr="00EC02CA">
        <w:t>discussion</w:t>
      </w:r>
      <w:r w:rsidR="008E5B7C" w:rsidRPr="00EC02CA">
        <w:t xml:space="preserve"> in relation to the creation of a </w:t>
      </w:r>
      <w:r w:rsidR="006D19FE" w:rsidRPr="00EC02CA">
        <w:t>therapeutic</w:t>
      </w:r>
      <w:r w:rsidR="008E5B7C" w:rsidRPr="00EC02CA">
        <w:t xml:space="preserve"> treatment order</w:t>
      </w:r>
      <w:r w:rsidR="00E76A79" w:rsidRPr="00EC02CA">
        <w:t xml:space="preserve"> (independent of the youth justice system)</w:t>
      </w:r>
      <w:r w:rsidR="00C871FB" w:rsidRPr="00EC02CA">
        <w:t xml:space="preserve"> </w:t>
      </w:r>
      <w:r w:rsidR="004C465A" w:rsidRPr="00EC02CA">
        <w:t xml:space="preserve">at </w:t>
      </w:r>
      <w:r w:rsidR="001B05BD" w:rsidRPr="00EC02CA">
        <w:t>[</w:t>
      </w:r>
      <w:r w:rsidR="00573142" w:rsidRPr="00EC02CA">
        <w:fldChar w:fldCharType="begin"/>
      </w:r>
      <w:r w:rsidR="00573142" w:rsidRPr="00EC02CA">
        <w:instrText xml:space="preserve"> REF _Ref218240404 \r \h </w:instrText>
      </w:r>
      <w:r w:rsidR="00573142" w:rsidRPr="00EC02CA">
        <w:fldChar w:fldCharType="separate"/>
      </w:r>
      <w:r w:rsidR="007D7830">
        <w:t>6.5</w:t>
      </w:r>
      <w:r w:rsidR="00573142" w:rsidRPr="00EC02CA">
        <w:fldChar w:fldCharType="end"/>
      </w:r>
      <w:r w:rsidR="001B05BD" w:rsidRPr="00EC02CA">
        <w:t>]</w:t>
      </w:r>
      <w:r w:rsidR="004C465A" w:rsidRPr="00EC02CA">
        <w:t>.</w:t>
      </w:r>
    </w:p>
    <w:p w14:paraId="6FBF2E5D" w14:textId="77777777" w:rsidR="004C465A" w:rsidRPr="00EC02CA" w:rsidRDefault="004C465A" w:rsidP="00114DD3">
      <w:pPr>
        <w:pStyle w:val="NumberedHeadingTLRI"/>
      </w:pPr>
      <w:bookmarkStart w:id="202" w:name="_Toc211849395"/>
      <w:bookmarkStart w:id="203" w:name="_Toc218157291"/>
      <w:bookmarkStart w:id="204" w:name="_Ref218240629"/>
      <w:bookmarkStart w:id="205" w:name="_Ref218252780"/>
      <w:bookmarkStart w:id="206" w:name="_Ref218253178"/>
      <w:r w:rsidRPr="00EC02CA">
        <w:t>Sexual offences in Tasmania</w:t>
      </w:r>
      <w:bookmarkEnd w:id="202"/>
      <w:bookmarkEnd w:id="203"/>
      <w:bookmarkEnd w:id="204"/>
      <w:bookmarkEnd w:id="205"/>
      <w:bookmarkEnd w:id="206"/>
    </w:p>
    <w:p w14:paraId="1AC27C0B" w14:textId="77777777" w:rsidR="00E76A79" w:rsidRPr="00EC02CA" w:rsidRDefault="004C465A" w:rsidP="002F0007">
      <w:pPr>
        <w:pStyle w:val="NormalNumberedTextTLRI"/>
      </w:pPr>
      <w:r w:rsidRPr="00EC02CA">
        <w:t xml:space="preserve">Sexual offending in Tasmania can be broadly divided into two categories of offences: </w:t>
      </w:r>
    </w:p>
    <w:p w14:paraId="1164C257" w14:textId="7E41F83F" w:rsidR="003D61B3" w:rsidRPr="00EC02CA" w:rsidRDefault="004C465A" w:rsidP="00A920EC">
      <w:pPr>
        <w:pStyle w:val="NumberlessNormalText"/>
        <w:numPr>
          <w:ilvl w:val="0"/>
          <w:numId w:val="199"/>
        </w:numPr>
      </w:pPr>
      <w:r w:rsidRPr="00EC02CA">
        <w:t>physical offences</w:t>
      </w:r>
      <w:r w:rsidR="00BA5B8C" w:rsidRPr="00EC02CA">
        <w:t>;</w:t>
      </w:r>
      <w:r w:rsidRPr="00EC02CA">
        <w:t xml:space="preserve"> and </w:t>
      </w:r>
    </w:p>
    <w:p w14:paraId="31179319" w14:textId="580BBF28" w:rsidR="00E76A79" w:rsidRPr="00EC02CA" w:rsidRDefault="004C465A" w:rsidP="00A920EC">
      <w:pPr>
        <w:pStyle w:val="NumberlessNormalText"/>
      </w:pPr>
      <w:r w:rsidRPr="00EC02CA">
        <w:t xml:space="preserve">online offences. </w:t>
      </w:r>
    </w:p>
    <w:p w14:paraId="0DE01EED" w14:textId="77777777" w:rsidR="003D61B3" w:rsidRPr="00EC02CA" w:rsidRDefault="004C465A" w:rsidP="00A920EC">
      <w:pPr>
        <w:pStyle w:val="NormalNumberedTextTLRI"/>
      </w:pPr>
      <w:r w:rsidRPr="00EC02CA">
        <w:t xml:space="preserve">Offences are also divided into two categories related to the seriousness of the offence: </w:t>
      </w:r>
    </w:p>
    <w:p w14:paraId="6013EBE7" w14:textId="0BBEFA33" w:rsidR="003D61B3" w:rsidRPr="00EC02CA" w:rsidRDefault="004C465A" w:rsidP="00A920EC">
      <w:pPr>
        <w:pStyle w:val="NumberlessNormalText"/>
        <w:numPr>
          <w:ilvl w:val="0"/>
          <w:numId w:val="200"/>
        </w:numPr>
      </w:pPr>
      <w:r w:rsidRPr="00EC02CA">
        <w:t>crimes or indictable offences</w:t>
      </w:r>
      <w:r w:rsidR="00916AD1" w:rsidRPr="00EC02CA">
        <w:t>;</w:t>
      </w:r>
      <w:r w:rsidRPr="00EC02CA">
        <w:t xml:space="preserve"> and </w:t>
      </w:r>
    </w:p>
    <w:p w14:paraId="1462A52B" w14:textId="38912AD4" w:rsidR="004C465A" w:rsidRPr="00EC02CA" w:rsidRDefault="004C465A" w:rsidP="00A920EC">
      <w:pPr>
        <w:pStyle w:val="NumberlessNormalText"/>
      </w:pPr>
      <w:r w:rsidRPr="00EC02CA">
        <w:t>summary offences.</w:t>
      </w:r>
    </w:p>
    <w:p w14:paraId="27670E02" w14:textId="0496D176" w:rsidR="004C465A" w:rsidRPr="00EC02CA" w:rsidRDefault="004C465A" w:rsidP="002F0007">
      <w:pPr>
        <w:pStyle w:val="NormalNumberedTextTLRI"/>
      </w:pPr>
      <w:r w:rsidRPr="00EC02CA">
        <w:rPr>
          <w:b/>
          <w:bCs/>
        </w:rPr>
        <w:t>Physical offences</w:t>
      </w:r>
      <w:r w:rsidRPr="00EC02CA">
        <w:t xml:space="preserve"> refer to offending that takes place in the ‘real’ world and may be either contact offences (such as rape, persistent sexual abuse of a young person, penetrative sexual abuse of a young person</w:t>
      </w:r>
      <w:r w:rsidR="00E8523C" w:rsidRPr="00EC02CA">
        <w:t>,</w:t>
      </w:r>
      <w:r w:rsidRPr="00EC02CA">
        <w:t xml:space="preserve"> or indecent assault) or non-contact offences (such as </w:t>
      </w:r>
      <w:r w:rsidR="00D94EE2" w:rsidRPr="00EC02CA">
        <w:t>procuring a</w:t>
      </w:r>
      <w:r w:rsidR="00E20947" w:rsidRPr="00EC02CA">
        <w:t xml:space="preserve"> </w:t>
      </w:r>
      <w:r w:rsidR="00D94EE2" w:rsidRPr="00EC02CA">
        <w:t xml:space="preserve">young </w:t>
      </w:r>
      <w:r w:rsidR="00E20947" w:rsidRPr="00EC02CA">
        <w:t>person</w:t>
      </w:r>
      <w:r w:rsidR="00D94EE2" w:rsidRPr="00EC02CA">
        <w:t xml:space="preserve"> for </w:t>
      </w:r>
      <w:r w:rsidR="00E20947" w:rsidRPr="00EC02CA">
        <w:t>sexual</w:t>
      </w:r>
      <w:r w:rsidR="00D94EE2" w:rsidRPr="00EC02CA">
        <w:t xml:space="preserve"> intercourse</w:t>
      </w:r>
      <w:r w:rsidRPr="00EC02CA">
        <w:t xml:space="preserve">). There are some offences that apply to </w:t>
      </w:r>
      <w:r w:rsidR="00E8523C" w:rsidRPr="00EC02CA">
        <w:t xml:space="preserve">both </w:t>
      </w:r>
      <w:r w:rsidRPr="00EC02CA">
        <w:t xml:space="preserve">adult and child complainants (such as rape) and some offences that only apply where the complainant is </w:t>
      </w:r>
      <w:r w:rsidR="00E8523C" w:rsidRPr="00EC02CA">
        <w:t xml:space="preserve">aged </w:t>
      </w:r>
      <w:r w:rsidRPr="00EC02CA">
        <w:t xml:space="preserve">under 18 (such as persistent sexual abuse of a young person, </w:t>
      </w:r>
      <w:r w:rsidR="00E8523C" w:rsidRPr="00EC02CA">
        <w:t xml:space="preserve">or </w:t>
      </w:r>
      <w:r w:rsidRPr="00EC02CA">
        <w:t>penetrative sexual abuse of a young person). Some offences apply to other particular categories of complainant (such as penetrative sexual abuse of a person with a mental impairment</w:t>
      </w:r>
      <w:r w:rsidR="00E20947" w:rsidRPr="00EC02CA">
        <w:t>)</w:t>
      </w:r>
      <w:r w:rsidRPr="00EC02CA">
        <w:t xml:space="preserve">. These offences are predominately contained in the </w:t>
      </w:r>
      <w:r w:rsidRPr="00EC02CA">
        <w:rPr>
          <w:i/>
          <w:iCs/>
        </w:rPr>
        <w:t xml:space="preserve">Criminal Code </w:t>
      </w:r>
      <w:r w:rsidRPr="00EC02CA">
        <w:t>(Tas).</w:t>
      </w:r>
    </w:p>
    <w:p w14:paraId="5507AF4F" w14:textId="40AB73E7" w:rsidR="004C465A" w:rsidRPr="00EC02CA" w:rsidRDefault="004C465A" w:rsidP="002F0007">
      <w:pPr>
        <w:pStyle w:val="NormalNumberedTextTLRI"/>
      </w:pPr>
      <w:r w:rsidRPr="00EC02CA">
        <w:t xml:space="preserve">The term </w:t>
      </w:r>
      <w:r w:rsidR="00E8523C" w:rsidRPr="00EC02CA">
        <w:t>‘</w:t>
      </w:r>
      <w:r w:rsidRPr="00EC02CA">
        <w:rPr>
          <w:b/>
          <w:bCs/>
        </w:rPr>
        <w:t>online offence</w:t>
      </w:r>
      <w:r w:rsidR="00E8523C" w:rsidRPr="00EC02CA">
        <w:rPr>
          <w:b/>
          <w:bCs/>
        </w:rPr>
        <w:t>s</w:t>
      </w:r>
      <w:r w:rsidR="00E8523C" w:rsidRPr="00EC02CA">
        <w:t>’</w:t>
      </w:r>
      <w:r w:rsidRPr="00EC02CA">
        <w:t xml:space="preserve"> is used to refer to offending that involves the images of a person</w:t>
      </w:r>
      <w:r w:rsidR="00E8523C" w:rsidRPr="00EC02CA">
        <w:t>,</w:t>
      </w:r>
      <w:r w:rsidRPr="00EC02CA">
        <w:t xml:space="preserve"> such as the production, possession </w:t>
      </w:r>
      <w:r w:rsidR="00E8523C" w:rsidRPr="00EC02CA">
        <w:t xml:space="preserve">or </w:t>
      </w:r>
      <w:r w:rsidRPr="00EC02CA">
        <w:t>distribution of child abuse material</w:t>
      </w:r>
      <w:r w:rsidR="00C34079" w:rsidRPr="00EC02CA">
        <w:t xml:space="preserve">. </w:t>
      </w:r>
      <w:r w:rsidRPr="00EC02CA">
        <w:t xml:space="preserve">These offences fall within the category of ‘child abuse material’. </w:t>
      </w:r>
      <w:r w:rsidR="00C34079" w:rsidRPr="00EC02CA">
        <w:t xml:space="preserve">There are other offences that apply more broadly to intimate images. </w:t>
      </w:r>
      <w:r w:rsidRPr="00EC02CA">
        <w:t xml:space="preserve">Online offences are set out in Tasmanian legislation (the </w:t>
      </w:r>
      <w:r w:rsidRPr="00EC02CA">
        <w:rPr>
          <w:i/>
          <w:iCs/>
        </w:rPr>
        <w:t>Classification (Publications, Films and Computer Games) Enforcement Act 1995</w:t>
      </w:r>
      <w:r w:rsidRPr="00EC02CA">
        <w:t xml:space="preserve"> (Tas), the </w:t>
      </w:r>
      <w:r w:rsidRPr="00EC02CA">
        <w:rPr>
          <w:i/>
          <w:iCs/>
        </w:rPr>
        <w:t>Criminal Code</w:t>
      </w:r>
      <w:r w:rsidRPr="00EC02CA">
        <w:t xml:space="preserve">, the </w:t>
      </w:r>
      <w:r w:rsidRPr="00EC02CA">
        <w:rPr>
          <w:i/>
          <w:iCs/>
        </w:rPr>
        <w:t xml:space="preserve">Police Offences Act 1935 </w:t>
      </w:r>
      <w:r w:rsidRPr="00EC02CA">
        <w:t>(Tas)) and Commonwealth legislation (</w:t>
      </w:r>
      <w:r w:rsidRPr="00EC02CA">
        <w:rPr>
          <w:i/>
          <w:iCs/>
        </w:rPr>
        <w:t xml:space="preserve">Criminal Code 1995 </w:t>
      </w:r>
      <w:r w:rsidRPr="00EC02CA">
        <w:t>(Cth)).</w:t>
      </w:r>
      <w:r w:rsidRPr="00EC02CA">
        <w:rPr>
          <w:rStyle w:val="FootnoteReference"/>
        </w:rPr>
        <w:footnoteReference w:id="349"/>
      </w:r>
    </w:p>
    <w:p w14:paraId="22DD5C31" w14:textId="77777777" w:rsidR="004C465A" w:rsidRPr="00EC02CA" w:rsidRDefault="004C465A" w:rsidP="00ED2E47">
      <w:pPr>
        <w:pStyle w:val="Sub-HeadingTLRI"/>
      </w:pPr>
      <w:bookmarkStart w:id="207" w:name="_Toc211849396"/>
      <w:bookmarkStart w:id="208" w:name="_Toc218157292"/>
      <w:r w:rsidRPr="00EC02CA">
        <w:t>Physical offending</w:t>
      </w:r>
      <w:bookmarkEnd w:id="207"/>
      <w:bookmarkEnd w:id="208"/>
    </w:p>
    <w:p w14:paraId="3654D5D0" w14:textId="782B26FB" w:rsidR="00890B1E" w:rsidRPr="00EC02CA" w:rsidRDefault="004C465A" w:rsidP="002F0007">
      <w:pPr>
        <w:pStyle w:val="NormalNumberedTextTLRI"/>
        <w:rPr>
          <w:b/>
          <w:bCs/>
        </w:rPr>
      </w:pPr>
      <w:r w:rsidRPr="00EC02CA">
        <w:t xml:space="preserve">Physical sexual offences are contained in the </w:t>
      </w:r>
      <w:r w:rsidRPr="00EC02CA">
        <w:rPr>
          <w:i/>
          <w:iCs/>
        </w:rPr>
        <w:t xml:space="preserve">Criminal Code </w:t>
      </w:r>
      <w:r w:rsidRPr="00EC02CA">
        <w:t>(Tas), with the maximum penalty being 21 years</w:t>
      </w:r>
      <w:r w:rsidR="00C73B99" w:rsidRPr="00EC02CA">
        <w:t>’</w:t>
      </w:r>
      <w:r w:rsidRPr="00EC02CA">
        <w:t xml:space="preserve"> imprisonment or </w:t>
      </w:r>
      <w:r w:rsidR="006F3F69" w:rsidRPr="00EC02CA">
        <w:t xml:space="preserve">a </w:t>
      </w:r>
      <w:r w:rsidRPr="00EC02CA">
        <w:t>fine</w:t>
      </w:r>
      <w:r w:rsidR="00A621C0" w:rsidRPr="00EC02CA">
        <w:t>,</w:t>
      </w:r>
      <w:r w:rsidRPr="00EC02CA">
        <w:t xml:space="preserve"> or both.</w:t>
      </w:r>
      <w:r w:rsidRPr="00EC02CA">
        <w:rPr>
          <w:rStyle w:val="FootnoteReference"/>
        </w:rPr>
        <w:footnoteReference w:id="350"/>
      </w:r>
      <w:r w:rsidRPr="00EC02CA">
        <w:t xml:space="preserve"> </w:t>
      </w:r>
      <w:r w:rsidR="00952CD6" w:rsidRPr="00EC02CA">
        <w:t>For youth offenders, t</w:t>
      </w:r>
      <w:r w:rsidRPr="00EC02CA">
        <w:t>he majority of these offences are able to be dealt with in the Youth Justice Division. The exceptions are rape (s 185)</w:t>
      </w:r>
      <w:r w:rsidR="006D19FE" w:rsidRPr="00EC02CA">
        <w:t>, aggravated sexual assault (s 127A (now repealed))</w:t>
      </w:r>
      <w:r w:rsidRPr="00EC02CA">
        <w:t xml:space="preserve"> and persistent sexual abuse of a child or young person </w:t>
      </w:r>
      <w:r w:rsidR="00A94C09" w:rsidRPr="00EC02CA">
        <w:t xml:space="preserve">(s </w:t>
      </w:r>
      <w:r w:rsidR="00890B1E" w:rsidRPr="00EC02CA">
        <w:t>124)</w:t>
      </w:r>
      <w:r w:rsidR="00952CD6" w:rsidRPr="00EC02CA">
        <w:t>. These</w:t>
      </w:r>
      <w:r w:rsidR="00890B1E" w:rsidRPr="00EC02CA">
        <w:t xml:space="preserve"> </w:t>
      </w:r>
      <w:r w:rsidRPr="00EC02CA">
        <w:t xml:space="preserve">are prescribed offences for youth offenders aged 14–17 </w:t>
      </w:r>
      <w:r w:rsidR="00952CD6" w:rsidRPr="00EC02CA">
        <w:t xml:space="preserve">and must </w:t>
      </w:r>
      <w:r w:rsidRPr="00EC02CA">
        <w:t>be heard in the Supreme Court.</w:t>
      </w:r>
      <w:r w:rsidRPr="00EC02CA">
        <w:rPr>
          <w:rStyle w:val="FootnoteReference"/>
        </w:rPr>
        <w:footnoteReference w:id="351"/>
      </w:r>
      <w:r w:rsidRPr="00EC02CA">
        <w:t xml:space="preserve"> </w:t>
      </w:r>
    </w:p>
    <w:p w14:paraId="21268C42" w14:textId="6A1B2684" w:rsidR="004C465A" w:rsidRPr="00EC02CA" w:rsidRDefault="004C465A" w:rsidP="002F0007">
      <w:pPr>
        <w:pStyle w:val="NormalNumberedTextTLRI"/>
        <w:rPr>
          <w:b/>
          <w:bCs/>
        </w:rPr>
      </w:pPr>
      <w:r w:rsidRPr="00EC02CA">
        <w:t>Rape is sexual intercourse without consent.</w:t>
      </w:r>
      <w:r w:rsidRPr="00EC02CA">
        <w:rPr>
          <w:rStyle w:val="FootnoteReference"/>
        </w:rPr>
        <w:footnoteReference w:id="352"/>
      </w:r>
      <w:r w:rsidRPr="00EC02CA">
        <w:t xml:space="preserve"> Sexual intercourse includes the penetration, to the least degree, or the continuation of an act of penetration</w:t>
      </w:r>
      <w:r w:rsidR="00191D68" w:rsidRPr="00EC02CA">
        <w:t>,</w:t>
      </w:r>
      <w:r w:rsidRPr="00EC02CA">
        <w:t xml:space="preserve"> of a person’s:</w:t>
      </w:r>
    </w:p>
    <w:p w14:paraId="5EDF8C41" w14:textId="2A83731B" w:rsidR="004C465A" w:rsidRPr="00EC02CA" w:rsidRDefault="004C465A" w:rsidP="004C465A">
      <w:pPr>
        <w:pStyle w:val="DotPointTLRI"/>
        <w:rPr>
          <w:b/>
          <w:bCs/>
        </w:rPr>
      </w:pPr>
      <w:r w:rsidRPr="00EC02CA">
        <w:t>vagina, genitalia, anus or mouth by a penis</w:t>
      </w:r>
      <w:r w:rsidR="00BA5B8C" w:rsidRPr="00EC02CA">
        <w:t>;</w:t>
      </w:r>
    </w:p>
    <w:p w14:paraId="41147002" w14:textId="0FE39978" w:rsidR="004C465A" w:rsidRPr="00EC02CA" w:rsidRDefault="004C465A" w:rsidP="004C465A">
      <w:pPr>
        <w:pStyle w:val="DotPointTLRI"/>
        <w:rPr>
          <w:b/>
          <w:bCs/>
        </w:rPr>
      </w:pPr>
      <w:r w:rsidRPr="00EC02CA">
        <w:t>vagina, genitalia or anus by a body part other than a penis</w:t>
      </w:r>
      <w:r w:rsidR="00BA5B8C" w:rsidRPr="00EC02CA">
        <w:t>;</w:t>
      </w:r>
      <w:r w:rsidR="00337649" w:rsidRPr="00EC02CA">
        <w:rPr>
          <w:rStyle w:val="FootnoteReference"/>
        </w:rPr>
        <w:footnoteReference w:id="353"/>
      </w:r>
    </w:p>
    <w:p w14:paraId="4819C0C3" w14:textId="77777777" w:rsidR="004C465A" w:rsidRPr="00EC02CA" w:rsidRDefault="004C465A" w:rsidP="004C465A">
      <w:pPr>
        <w:pStyle w:val="DotPointTLRI"/>
        <w:rPr>
          <w:b/>
          <w:bCs/>
        </w:rPr>
      </w:pPr>
      <w:r w:rsidRPr="00EC02CA">
        <w:t>vagina, genitalia or anus by an object.</w:t>
      </w:r>
      <w:r w:rsidRPr="00EC02CA">
        <w:rPr>
          <w:rStyle w:val="FootnoteReference"/>
        </w:rPr>
        <w:footnoteReference w:id="354"/>
      </w:r>
    </w:p>
    <w:p w14:paraId="6F732B99" w14:textId="2D7DC534" w:rsidR="00B65894" w:rsidRPr="00EC02CA" w:rsidRDefault="00D94855" w:rsidP="002F0007">
      <w:pPr>
        <w:pStyle w:val="NormalNumberedTextTLRI"/>
      </w:pPr>
      <w:r w:rsidRPr="00EC02CA">
        <w:t xml:space="preserve">The </w:t>
      </w:r>
      <w:r w:rsidR="004C465A" w:rsidRPr="00EC02CA">
        <w:t xml:space="preserve">crime of persistent sexual abuse of a child or young person </w:t>
      </w:r>
      <w:r w:rsidR="00F10558" w:rsidRPr="00EC02CA">
        <w:t>is a</w:t>
      </w:r>
      <w:r w:rsidR="00890B1E" w:rsidRPr="00EC02CA">
        <w:t>ls</w:t>
      </w:r>
      <w:r w:rsidR="00A52F19" w:rsidRPr="00EC02CA">
        <w:t>o a</w:t>
      </w:r>
      <w:r w:rsidR="00F10558" w:rsidRPr="00EC02CA">
        <w:t xml:space="preserve"> prescribed offence and </w:t>
      </w:r>
      <w:r w:rsidR="004C465A" w:rsidRPr="00EC02CA">
        <w:t>applies where a person commits an unlawful sexual act in relation to a young person on at least three occasions and the young person was not married to the accused.</w:t>
      </w:r>
      <w:r w:rsidR="004C465A" w:rsidRPr="00EC02CA">
        <w:rPr>
          <w:rStyle w:val="FootnoteReference"/>
        </w:rPr>
        <w:footnoteReference w:id="355"/>
      </w:r>
      <w:r w:rsidR="004C465A" w:rsidRPr="00EC02CA">
        <w:t xml:space="preserve"> </w:t>
      </w:r>
      <w:r w:rsidR="00401264" w:rsidRPr="00EC02CA">
        <w:t xml:space="preserve">Unlawful sexual acts are the </w:t>
      </w:r>
      <w:r w:rsidR="005143BC" w:rsidRPr="00EC02CA">
        <w:t xml:space="preserve">offences </w:t>
      </w:r>
      <w:r w:rsidR="00401264" w:rsidRPr="00EC02CA">
        <w:t xml:space="preserve">of </w:t>
      </w:r>
      <w:r w:rsidR="005143BC" w:rsidRPr="00EC02CA">
        <w:t>penet</w:t>
      </w:r>
      <w:r w:rsidR="00E6497E" w:rsidRPr="00EC02CA">
        <w:t>rative</w:t>
      </w:r>
      <w:r w:rsidR="005143BC" w:rsidRPr="00EC02CA">
        <w:t xml:space="preserve"> sexual abuse, </w:t>
      </w:r>
      <w:r w:rsidR="00E6497E" w:rsidRPr="00EC02CA">
        <w:t>indecent</w:t>
      </w:r>
      <w:r w:rsidR="005143BC" w:rsidRPr="00EC02CA">
        <w:t xml:space="preserve"> assault, aggravated sexual </w:t>
      </w:r>
      <w:r w:rsidR="00E6497E" w:rsidRPr="00EC02CA">
        <w:t>assault</w:t>
      </w:r>
      <w:r w:rsidR="00A621C0" w:rsidRPr="00EC02CA">
        <w:t>,</w:t>
      </w:r>
      <w:r w:rsidR="005143BC" w:rsidRPr="00EC02CA">
        <w:t xml:space="preserve"> and rape</w:t>
      </w:r>
      <w:r w:rsidR="00E6497E" w:rsidRPr="00EC02CA">
        <w:t xml:space="preserve">. </w:t>
      </w:r>
      <w:r w:rsidR="004C465A" w:rsidRPr="00EC02CA">
        <w:t xml:space="preserve">It is noted that a prosecution for this crime </w:t>
      </w:r>
      <w:r w:rsidR="00A621C0" w:rsidRPr="00EC02CA">
        <w:t>can only</w:t>
      </w:r>
      <w:r w:rsidR="004C465A" w:rsidRPr="00EC02CA">
        <w:t xml:space="preserve"> be commenced with the written authority of the Director of Public Prosecutions.</w:t>
      </w:r>
      <w:r w:rsidR="004C465A" w:rsidRPr="00EC02CA">
        <w:rPr>
          <w:rStyle w:val="FootnoteReference"/>
        </w:rPr>
        <w:footnoteReference w:id="356"/>
      </w:r>
    </w:p>
    <w:p w14:paraId="16ABB38B" w14:textId="5E7DCAA2" w:rsidR="004C465A" w:rsidRPr="00EC02CA" w:rsidRDefault="00E966AF" w:rsidP="002F0007">
      <w:pPr>
        <w:pStyle w:val="NormalNumberedTextTLRI"/>
      </w:pPr>
      <w:bookmarkStart w:id="209" w:name="_Ref217306183"/>
      <w:r w:rsidRPr="00EC02CA">
        <w:t xml:space="preserve">Consent is </w:t>
      </w:r>
      <w:r w:rsidR="00A621C0" w:rsidRPr="00EC02CA">
        <w:t xml:space="preserve">generally </w:t>
      </w:r>
      <w:r w:rsidRPr="00EC02CA">
        <w:t xml:space="preserve">not </w:t>
      </w:r>
      <w:r w:rsidR="00A621C0" w:rsidRPr="00EC02CA">
        <w:t>a defence to</w:t>
      </w:r>
      <w:r w:rsidRPr="00EC02CA">
        <w:t xml:space="preserve"> child sexual abuse offences</w:t>
      </w:r>
      <w:r w:rsidR="008D4E55" w:rsidRPr="00EC02CA">
        <w:t xml:space="preserve">, and </w:t>
      </w:r>
      <w:r w:rsidR="00A16D63" w:rsidRPr="00EC02CA">
        <w:t>in Tasmania</w:t>
      </w:r>
      <w:r w:rsidR="00A621C0" w:rsidRPr="00EC02CA">
        <w:t>,</w:t>
      </w:r>
      <w:r w:rsidR="00A16D63" w:rsidRPr="00EC02CA">
        <w:t xml:space="preserve"> the</w:t>
      </w:r>
      <w:r w:rsidR="008D4E55" w:rsidRPr="00EC02CA">
        <w:t xml:space="preserve"> age of consent is 17. However, f</w:t>
      </w:r>
      <w:r w:rsidR="009B71D3" w:rsidRPr="00EC02CA">
        <w:t>or young people, there are</w:t>
      </w:r>
      <w:r w:rsidR="004C465A" w:rsidRPr="00EC02CA">
        <w:t xml:space="preserve"> age-related defences </w:t>
      </w:r>
      <w:r w:rsidR="009B71D3" w:rsidRPr="00EC02CA">
        <w:t xml:space="preserve">that would </w:t>
      </w:r>
      <w:r w:rsidR="004C465A" w:rsidRPr="00EC02CA">
        <w:t>apply to make consent a defence</w:t>
      </w:r>
      <w:r w:rsidR="00A16D63" w:rsidRPr="00EC02CA">
        <w:t>. These apply</w:t>
      </w:r>
      <w:r w:rsidR="004C465A" w:rsidRPr="00EC02CA">
        <w:t xml:space="preserve"> if the complainant was:</w:t>
      </w:r>
      <w:bookmarkEnd w:id="209"/>
    </w:p>
    <w:p w14:paraId="5413896D" w14:textId="719DE1D6" w:rsidR="004C465A" w:rsidRPr="00EC02CA" w:rsidRDefault="00BA5B8C" w:rsidP="004C465A">
      <w:pPr>
        <w:pStyle w:val="DotPointTLRI"/>
      </w:pPr>
      <w:r w:rsidRPr="00EC02CA">
        <w:t xml:space="preserve">aged </w:t>
      </w:r>
      <w:r w:rsidR="004C465A" w:rsidRPr="00EC02CA">
        <w:t xml:space="preserve">15 or older and </w:t>
      </w:r>
      <w:r w:rsidRPr="00EC02CA">
        <w:t xml:space="preserve">the </w:t>
      </w:r>
      <w:r w:rsidR="004C465A" w:rsidRPr="00EC02CA">
        <w:t xml:space="preserve">accused person </w:t>
      </w:r>
      <w:r w:rsidRPr="00EC02CA">
        <w:t xml:space="preserve">was </w:t>
      </w:r>
      <w:r w:rsidR="004C465A" w:rsidRPr="00EC02CA">
        <w:t>not more than 5 years older</w:t>
      </w:r>
      <w:r w:rsidR="00A621C0" w:rsidRPr="00EC02CA">
        <w:t xml:space="preserve"> than the complainant</w:t>
      </w:r>
      <w:r w:rsidR="004C465A" w:rsidRPr="00EC02CA">
        <w:t xml:space="preserve"> (eg </w:t>
      </w:r>
      <w:r w:rsidR="00A621C0" w:rsidRPr="00EC02CA">
        <w:t>complainant</w:t>
      </w:r>
      <w:r w:rsidR="009B71D3" w:rsidRPr="00EC02CA">
        <w:t xml:space="preserve"> </w:t>
      </w:r>
      <w:r w:rsidR="004C465A" w:rsidRPr="00EC02CA">
        <w:t>is 1</w:t>
      </w:r>
      <w:r w:rsidR="009B71D3" w:rsidRPr="00EC02CA">
        <w:t>5</w:t>
      </w:r>
      <w:r w:rsidR="004C465A" w:rsidRPr="00EC02CA">
        <w:t xml:space="preserve"> and </w:t>
      </w:r>
      <w:r w:rsidR="00A621C0" w:rsidRPr="00EC02CA">
        <w:t>accused</w:t>
      </w:r>
      <w:r w:rsidR="004C465A" w:rsidRPr="00EC02CA">
        <w:t xml:space="preserve"> is 20)</w:t>
      </w:r>
      <w:r w:rsidR="006F3F69" w:rsidRPr="00EC02CA">
        <w:t>;</w:t>
      </w:r>
      <w:r w:rsidR="004C465A" w:rsidRPr="00EC02CA">
        <w:t xml:space="preserve"> or</w:t>
      </w:r>
    </w:p>
    <w:p w14:paraId="0C8C01B4" w14:textId="4B714AF5" w:rsidR="004C465A" w:rsidRPr="00EC02CA" w:rsidRDefault="00BA5B8C" w:rsidP="004C465A">
      <w:pPr>
        <w:pStyle w:val="DotPointTLRI"/>
      </w:pPr>
      <w:r w:rsidRPr="00EC02CA">
        <w:t xml:space="preserve">aged </w:t>
      </w:r>
      <w:r w:rsidR="004C465A" w:rsidRPr="00EC02CA">
        <w:t>1</w:t>
      </w:r>
      <w:r w:rsidR="007C53E0" w:rsidRPr="00EC02CA">
        <w:t>2</w:t>
      </w:r>
      <w:r w:rsidR="004C465A" w:rsidRPr="00EC02CA">
        <w:t xml:space="preserve"> or older and the accused person </w:t>
      </w:r>
      <w:r w:rsidRPr="00EC02CA">
        <w:t xml:space="preserve">was </w:t>
      </w:r>
      <w:r w:rsidR="004C465A" w:rsidRPr="00EC02CA">
        <w:t xml:space="preserve">not more than 3 years older (eg </w:t>
      </w:r>
      <w:r w:rsidR="00A621C0" w:rsidRPr="00EC02CA">
        <w:t>complainant</w:t>
      </w:r>
      <w:r w:rsidR="004C465A" w:rsidRPr="00EC02CA">
        <w:t xml:space="preserve"> is 1</w:t>
      </w:r>
      <w:r w:rsidR="008B1019" w:rsidRPr="00EC02CA">
        <w:t>2</w:t>
      </w:r>
      <w:r w:rsidR="004C465A" w:rsidRPr="00EC02CA">
        <w:t xml:space="preserve"> and </w:t>
      </w:r>
      <w:r w:rsidR="00A621C0" w:rsidRPr="00EC02CA">
        <w:t>accused</w:t>
      </w:r>
      <w:r w:rsidR="004C465A" w:rsidRPr="00EC02CA">
        <w:t xml:space="preserve"> is 1</w:t>
      </w:r>
      <w:r w:rsidR="008B1019" w:rsidRPr="00EC02CA">
        <w:t>5</w:t>
      </w:r>
      <w:r w:rsidR="004C465A" w:rsidRPr="00EC02CA">
        <w:t>).</w:t>
      </w:r>
    </w:p>
    <w:p w14:paraId="1EBF845D" w14:textId="5FDD6D70" w:rsidR="000B352F" w:rsidRPr="00EC02CA" w:rsidRDefault="0022416A" w:rsidP="00A920EC">
      <w:pPr>
        <w:pStyle w:val="NormalNumberedTextTLRI"/>
      </w:pPr>
      <w:bookmarkStart w:id="210" w:name="_Ref217306185"/>
      <w:r w:rsidRPr="00EC02CA">
        <w:t>Under these provisions, a</w:t>
      </w:r>
      <w:r w:rsidR="00AA057E" w:rsidRPr="00EC02CA">
        <w:t xml:space="preserve"> child under 1</w:t>
      </w:r>
      <w:r w:rsidR="008B1019" w:rsidRPr="00EC02CA">
        <w:t>2</w:t>
      </w:r>
      <w:r w:rsidR="00AA057E" w:rsidRPr="00EC02CA">
        <w:t xml:space="preserve"> cannot consent</w:t>
      </w:r>
      <w:r w:rsidRPr="00EC02CA">
        <w:t xml:space="preserve"> </w:t>
      </w:r>
      <w:r w:rsidR="00A621C0" w:rsidRPr="00EC02CA">
        <w:t xml:space="preserve">under any circumstances, </w:t>
      </w:r>
      <w:r w:rsidRPr="00EC02CA">
        <w:t>and so it does not matter if the accused and the complainant are close in age</w:t>
      </w:r>
      <w:r w:rsidR="00A621C0" w:rsidRPr="00EC02CA">
        <w:t xml:space="preserve"> </w:t>
      </w:r>
      <w:r w:rsidR="00772B55" w:rsidRPr="00EC02CA">
        <w:t>where</w:t>
      </w:r>
      <w:r w:rsidR="00A621C0" w:rsidRPr="00EC02CA">
        <w:t xml:space="preserve"> the comp</w:t>
      </w:r>
      <w:r w:rsidR="00491C85" w:rsidRPr="00EC02CA">
        <w:t>l</w:t>
      </w:r>
      <w:r w:rsidR="00A621C0" w:rsidRPr="00EC02CA">
        <w:t>ainant is under 12</w:t>
      </w:r>
      <w:r w:rsidR="00AA057E" w:rsidRPr="00EC02CA">
        <w:t>.</w:t>
      </w:r>
      <w:bookmarkEnd w:id="210"/>
    </w:p>
    <w:p w14:paraId="722A0777" w14:textId="77777777" w:rsidR="004C465A" w:rsidRPr="00EC02CA" w:rsidRDefault="004C465A" w:rsidP="00ED2E47">
      <w:pPr>
        <w:pStyle w:val="Sub-HeadingTLRI"/>
      </w:pPr>
      <w:bookmarkStart w:id="211" w:name="_Toc211849397"/>
      <w:bookmarkStart w:id="212" w:name="_Toc218157293"/>
      <w:r w:rsidRPr="00EC02CA">
        <w:t>Online offending</w:t>
      </w:r>
      <w:bookmarkEnd w:id="211"/>
      <w:bookmarkEnd w:id="212"/>
    </w:p>
    <w:p w14:paraId="6D254F7F" w14:textId="6E724530" w:rsidR="00CD331A" w:rsidRPr="00EC02CA" w:rsidRDefault="004C465A" w:rsidP="002F0007">
      <w:pPr>
        <w:pStyle w:val="NormalNumberedTextTLRI"/>
      </w:pPr>
      <w:r w:rsidRPr="00EC02CA">
        <w:t xml:space="preserve">There are several sources of online sexual offences that apply in Tasmania: the </w:t>
      </w:r>
      <w:r w:rsidRPr="00EC02CA">
        <w:rPr>
          <w:i/>
        </w:rPr>
        <w:t>Criminal Code</w:t>
      </w:r>
      <w:r w:rsidRPr="00EC02CA">
        <w:t xml:space="preserve"> (Tas), the </w:t>
      </w:r>
      <w:r w:rsidRPr="00EC02CA">
        <w:rPr>
          <w:i/>
        </w:rPr>
        <w:t>Classification (Publications, Films and Computer Games) Enforcement Act 1995</w:t>
      </w:r>
      <w:r w:rsidRPr="00EC02CA">
        <w:t xml:space="preserve"> (Tas), the </w:t>
      </w:r>
      <w:r w:rsidRPr="00EC02CA">
        <w:rPr>
          <w:i/>
          <w:iCs/>
        </w:rPr>
        <w:t>Police Offences Act 1935</w:t>
      </w:r>
      <w:r w:rsidRPr="00EC02CA">
        <w:t xml:space="preserve"> (Tas) and the </w:t>
      </w:r>
      <w:r w:rsidRPr="00EC02CA">
        <w:rPr>
          <w:i/>
          <w:iCs/>
        </w:rPr>
        <w:t>Criminal Code 1995</w:t>
      </w:r>
      <w:r w:rsidRPr="00EC02CA">
        <w:t xml:space="preserve"> (Cth).</w:t>
      </w:r>
      <w:r w:rsidRPr="00EC02CA">
        <w:rPr>
          <w:rStyle w:val="FootnoteReference"/>
        </w:rPr>
        <w:footnoteReference w:id="357"/>
      </w:r>
      <w:r w:rsidRPr="00EC02CA">
        <w:rPr>
          <w:szCs w:val="22"/>
        </w:rPr>
        <w:t xml:space="preserve"> </w:t>
      </w:r>
    </w:p>
    <w:p w14:paraId="1403F4B8" w14:textId="338AD189" w:rsidR="0074496D" w:rsidRPr="00EC02CA" w:rsidRDefault="004C465A" w:rsidP="002F0007">
      <w:pPr>
        <w:pStyle w:val="NormalNumberedTextTLRI"/>
      </w:pPr>
      <w:bookmarkStart w:id="213" w:name="_Ref218253381"/>
      <w:r w:rsidRPr="00EC02CA">
        <w:t xml:space="preserve">The offences under the </w:t>
      </w:r>
      <w:r w:rsidRPr="00EC02CA">
        <w:rPr>
          <w:i/>
          <w:iCs/>
        </w:rPr>
        <w:t>Criminal Code</w:t>
      </w:r>
      <w:r w:rsidRPr="00EC02CA">
        <w:t xml:space="preserve"> (Tas) and the </w:t>
      </w:r>
      <w:r w:rsidRPr="00EC02CA">
        <w:rPr>
          <w:i/>
          <w:iCs/>
        </w:rPr>
        <w:t>Criminal Code 1995</w:t>
      </w:r>
      <w:r w:rsidRPr="00EC02CA">
        <w:t xml:space="preserve"> (Cth) are indictable offences and heard in the Supreme Court for adult offenders. The offences in the </w:t>
      </w:r>
      <w:r w:rsidRPr="00EC02CA">
        <w:rPr>
          <w:i/>
          <w:iCs/>
        </w:rPr>
        <w:t xml:space="preserve">Classification (Publications, Films and Computer Games) Enforcement Act 1995 </w:t>
      </w:r>
      <w:r w:rsidRPr="00EC02CA">
        <w:t>(Tas</w:t>
      </w:r>
      <w:r w:rsidRPr="00EC02CA">
        <w:rPr>
          <w:sz w:val="20"/>
        </w:rPr>
        <w:t>)</w:t>
      </w:r>
      <w:r w:rsidRPr="00EC02CA">
        <w:t xml:space="preserve"> are summary offences and</w:t>
      </w:r>
      <w:r w:rsidR="00061467" w:rsidRPr="00EC02CA">
        <w:t>,</w:t>
      </w:r>
      <w:r w:rsidRPr="00EC02CA">
        <w:t xml:space="preserve"> for an adult offender, generally the Magistrates Court would hear these matters. </w:t>
      </w:r>
      <w:r w:rsidR="000D2B5C" w:rsidRPr="00EC02CA">
        <w:t>F</w:t>
      </w:r>
      <w:r w:rsidRPr="00EC02CA">
        <w:t xml:space="preserve">or youth offenders, as these offences are not prescribed offences </w:t>
      </w:r>
      <w:r w:rsidR="00061467" w:rsidRPr="00EC02CA">
        <w:t xml:space="preserve">under </w:t>
      </w:r>
      <w:r w:rsidRPr="00EC02CA">
        <w:t xml:space="preserve">the </w:t>
      </w:r>
      <w:r w:rsidRPr="00EC02CA">
        <w:rPr>
          <w:i/>
          <w:iCs/>
        </w:rPr>
        <w:t>Youth Justice Act 1997</w:t>
      </w:r>
      <w:r w:rsidRPr="00EC02CA">
        <w:t xml:space="preserve"> (Tas) s 161, the Youth Justice Division has jurisdiction to hear these matters.</w:t>
      </w:r>
      <w:bookmarkEnd w:id="213"/>
      <w:r w:rsidRPr="00EC02CA">
        <w:t xml:space="preserve"> </w:t>
      </w:r>
    </w:p>
    <w:p w14:paraId="14F33401" w14:textId="77777777" w:rsidR="00CF3831" w:rsidRPr="00EC02CA" w:rsidRDefault="004C465A" w:rsidP="002F0007">
      <w:pPr>
        <w:pStyle w:val="NormalNumberedTextTLRI"/>
      </w:pPr>
      <w:r w:rsidRPr="00EC02CA">
        <w:t xml:space="preserve">Under the </w:t>
      </w:r>
      <w:r w:rsidRPr="00EC02CA">
        <w:rPr>
          <w:i/>
          <w:iCs/>
        </w:rPr>
        <w:t xml:space="preserve">Criminal Code </w:t>
      </w:r>
      <w:r w:rsidRPr="00EC02CA">
        <w:t xml:space="preserve">(Tas), </w:t>
      </w:r>
      <w:r w:rsidR="00F46E9A" w:rsidRPr="00EC02CA">
        <w:t xml:space="preserve">it is an offence to </w:t>
      </w:r>
      <w:r w:rsidR="00656A25" w:rsidRPr="00EC02CA">
        <w:t>produce, distribute, possess</w:t>
      </w:r>
      <w:r w:rsidR="005D5218" w:rsidRPr="00EC02CA">
        <w:t>,</w:t>
      </w:r>
      <w:r w:rsidR="00656A25" w:rsidRPr="00EC02CA">
        <w:t xml:space="preserve"> or</w:t>
      </w:r>
      <w:r w:rsidR="005D5218" w:rsidRPr="00EC02CA">
        <w:t xml:space="preserve"> access</w:t>
      </w:r>
      <w:r w:rsidR="00B80943" w:rsidRPr="00EC02CA">
        <w:t xml:space="preserve"> </w:t>
      </w:r>
      <w:r w:rsidR="00656A25" w:rsidRPr="00EC02CA">
        <w:t>c</w:t>
      </w:r>
      <w:r w:rsidRPr="00EC02CA">
        <w:t>hild exploitation material</w:t>
      </w:r>
      <w:r w:rsidR="00656A25" w:rsidRPr="00EC02CA">
        <w:t>.</w:t>
      </w:r>
      <w:r w:rsidR="00656A25" w:rsidRPr="00EC02CA">
        <w:rPr>
          <w:rStyle w:val="FootnoteReference"/>
        </w:rPr>
        <w:footnoteReference w:id="358"/>
      </w:r>
      <w:r w:rsidRPr="00EC02CA">
        <w:t xml:space="preserve"> </w:t>
      </w:r>
      <w:r w:rsidR="001A1CE5" w:rsidRPr="00EC02CA">
        <w:t>Child</w:t>
      </w:r>
      <w:r w:rsidR="00656A25" w:rsidRPr="00EC02CA">
        <w:t xml:space="preserve"> exploitation material </w:t>
      </w:r>
      <w:r w:rsidRPr="00EC02CA">
        <w:t>covers material that</w:t>
      </w:r>
      <w:r w:rsidR="00CF3831" w:rsidRPr="00EC02CA">
        <w:t>:</w:t>
      </w:r>
    </w:p>
    <w:p w14:paraId="129B4B92" w14:textId="5439E39D" w:rsidR="00CF3831" w:rsidRPr="00EC02CA" w:rsidRDefault="004C465A" w:rsidP="00A920EC">
      <w:pPr>
        <w:pStyle w:val="Indentedquote"/>
      </w:pPr>
      <w:r w:rsidRPr="00EC02CA">
        <w:t>describes or depicts, in a way that a reasonable person would regard as being, in all the circumstances, offensive, a person who is or appears to be under the age of 18 years old engage</w:t>
      </w:r>
      <w:r w:rsidR="00CF3831" w:rsidRPr="00EC02CA">
        <w:t>d</w:t>
      </w:r>
      <w:r w:rsidRPr="00EC02CA">
        <w:t xml:space="preserve"> in sexual activity or in a sexual context or the subject of torture, cruelty of abuse (whether or not in a sexual context).</w:t>
      </w:r>
      <w:r w:rsidRPr="00EC02CA">
        <w:rPr>
          <w:rStyle w:val="FootnoteReference"/>
        </w:rPr>
        <w:footnoteReference w:id="359"/>
      </w:r>
      <w:r w:rsidRPr="00EC02CA">
        <w:t xml:space="preserve"> </w:t>
      </w:r>
    </w:p>
    <w:p w14:paraId="6BF3F5D3" w14:textId="56971224" w:rsidR="004C465A" w:rsidRPr="00EC02CA" w:rsidRDefault="002C5614" w:rsidP="002F0007">
      <w:pPr>
        <w:pStyle w:val="NormalNumberedTextTLRI"/>
      </w:pPr>
      <w:r w:rsidRPr="00EC02CA">
        <w:t>Accordingly</w:t>
      </w:r>
      <w:r w:rsidR="00A97727" w:rsidRPr="00EC02CA">
        <w:t xml:space="preserve">, </w:t>
      </w:r>
      <w:r w:rsidRPr="00EC02CA">
        <w:t>depending</w:t>
      </w:r>
      <w:r w:rsidR="00A97727" w:rsidRPr="00EC02CA">
        <w:t xml:space="preserve"> on the </w:t>
      </w:r>
      <w:r w:rsidRPr="00EC02CA">
        <w:t>nature</w:t>
      </w:r>
      <w:r w:rsidR="00A97727" w:rsidRPr="00EC02CA">
        <w:t xml:space="preserve"> of the </w:t>
      </w:r>
      <w:r w:rsidRPr="00EC02CA">
        <w:t>image</w:t>
      </w:r>
      <w:r w:rsidR="00A97727" w:rsidRPr="00EC02CA">
        <w:t>,</w:t>
      </w:r>
      <w:bookmarkStart w:id="214" w:name="_Ref217984282"/>
      <w:r w:rsidRPr="00EC02CA">
        <w:rPr>
          <w:rStyle w:val="FootnoteReference"/>
        </w:rPr>
        <w:footnoteReference w:id="360"/>
      </w:r>
      <w:bookmarkEnd w:id="214"/>
      <w:r w:rsidR="00A97727" w:rsidRPr="00EC02CA">
        <w:t xml:space="preserve"> </w:t>
      </w:r>
      <w:r w:rsidRPr="00EC02CA">
        <w:t>t</w:t>
      </w:r>
      <w:r w:rsidR="00990825" w:rsidRPr="00EC02CA">
        <w:t xml:space="preserve">his would include </w:t>
      </w:r>
      <w:r w:rsidR="002970B7" w:rsidRPr="00EC02CA">
        <w:t>taking and sending a phot</w:t>
      </w:r>
      <w:r w:rsidR="00B80943" w:rsidRPr="00EC02CA">
        <w:t>o</w:t>
      </w:r>
      <w:r w:rsidR="002970B7" w:rsidRPr="00EC02CA">
        <w:t xml:space="preserve"> or vi</w:t>
      </w:r>
      <w:r w:rsidR="00B80943" w:rsidRPr="00EC02CA">
        <w:t xml:space="preserve">deo </w:t>
      </w:r>
      <w:r w:rsidR="002970B7" w:rsidRPr="00EC02CA">
        <w:t xml:space="preserve">of a person </w:t>
      </w:r>
      <w:r w:rsidR="00CF3831" w:rsidRPr="00EC02CA">
        <w:t xml:space="preserve">aged </w:t>
      </w:r>
      <w:r w:rsidR="002970B7" w:rsidRPr="00EC02CA">
        <w:t xml:space="preserve">under 18 </w:t>
      </w:r>
      <w:r w:rsidR="00B80943" w:rsidRPr="00EC02CA">
        <w:t>if they</w:t>
      </w:r>
      <w:r w:rsidR="00BA4632" w:rsidRPr="00EC02CA">
        <w:t xml:space="preserve"> </w:t>
      </w:r>
      <w:r w:rsidR="00B80943" w:rsidRPr="00EC02CA">
        <w:t xml:space="preserve">are naked </w:t>
      </w:r>
      <w:r w:rsidR="00BA4632" w:rsidRPr="00EC02CA">
        <w:t xml:space="preserve">(for </w:t>
      </w:r>
      <w:r w:rsidR="00C41B7F" w:rsidRPr="00EC02CA">
        <w:t>example</w:t>
      </w:r>
      <w:r w:rsidR="00BA4632" w:rsidRPr="00EC02CA">
        <w:t>, an image focussed</w:t>
      </w:r>
      <w:r w:rsidR="00EE571F" w:rsidRPr="00EC02CA">
        <w:t xml:space="preserve"> on </w:t>
      </w:r>
      <w:r w:rsidR="00CF3831" w:rsidRPr="00EC02CA">
        <w:t xml:space="preserve">the </w:t>
      </w:r>
      <w:r w:rsidR="00EE571F" w:rsidRPr="00EC02CA">
        <w:t xml:space="preserve">anal or </w:t>
      </w:r>
      <w:r w:rsidR="00C41B7F" w:rsidRPr="00EC02CA">
        <w:t>genital</w:t>
      </w:r>
      <w:r w:rsidR="00EE571F" w:rsidRPr="00EC02CA">
        <w:t xml:space="preserve"> region or b</w:t>
      </w:r>
      <w:r w:rsidR="00C41B7F" w:rsidRPr="00EC02CA">
        <w:t>reasts</w:t>
      </w:r>
      <w:r w:rsidR="00EE571F" w:rsidRPr="00EC02CA">
        <w:t xml:space="preserve">) or in a </w:t>
      </w:r>
      <w:r w:rsidR="00C41B7F" w:rsidRPr="00EC02CA">
        <w:t>sexual</w:t>
      </w:r>
      <w:r w:rsidR="00EE571F" w:rsidRPr="00EC02CA">
        <w:t xml:space="preserve"> pose that a reasonable person would </w:t>
      </w:r>
      <w:r w:rsidR="00C41B7F" w:rsidRPr="00EC02CA">
        <w:t>regard as being offensive)</w:t>
      </w:r>
      <w:r w:rsidR="00C41B7F" w:rsidRPr="00EC02CA">
        <w:rPr>
          <w:rStyle w:val="FootnoteReference"/>
        </w:rPr>
        <w:footnoteReference w:id="361"/>
      </w:r>
      <w:r w:rsidR="00C41B7F" w:rsidRPr="00EC02CA">
        <w:t xml:space="preserve"> </w:t>
      </w:r>
      <w:r w:rsidR="00B80943" w:rsidRPr="00EC02CA">
        <w:t xml:space="preserve">or engaged in sexual </w:t>
      </w:r>
      <w:r w:rsidR="00510D2C" w:rsidRPr="00EC02CA">
        <w:t>activity (even if taken by the young person themselves)</w:t>
      </w:r>
      <w:r w:rsidR="00A3370D" w:rsidRPr="00EC02CA">
        <w:t>, or</w:t>
      </w:r>
      <w:r w:rsidR="00B80943" w:rsidRPr="00EC02CA">
        <w:t xml:space="preserve"> having the </w:t>
      </w:r>
      <w:r w:rsidR="00510D2C" w:rsidRPr="00EC02CA">
        <w:t>material</w:t>
      </w:r>
      <w:r w:rsidR="00B80943" w:rsidRPr="00EC02CA">
        <w:t xml:space="preserve"> on </w:t>
      </w:r>
      <w:r w:rsidR="00DE2359" w:rsidRPr="00EC02CA">
        <w:t xml:space="preserve">a </w:t>
      </w:r>
      <w:r w:rsidR="00B80943" w:rsidRPr="00EC02CA">
        <w:t xml:space="preserve">phone or computer. </w:t>
      </w:r>
      <w:r w:rsidR="004C465A" w:rsidRPr="00EC02CA">
        <w:t>It is defence to a charge if the material to which the offence relates depicts sexual activity between the accused and a young person that is not an unlawful sexual act.</w:t>
      </w:r>
      <w:r w:rsidR="004C465A" w:rsidRPr="00EC02CA">
        <w:rPr>
          <w:rStyle w:val="FootnoteReference"/>
        </w:rPr>
        <w:footnoteReference w:id="362"/>
      </w:r>
      <w:r w:rsidR="004C465A" w:rsidRPr="00EC02CA">
        <w:t xml:space="preserve"> This would include circumstances where the accused would be able to rely on an </w:t>
      </w:r>
      <w:r w:rsidR="007129F8" w:rsidRPr="00EC02CA">
        <w:t>age-related</w:t>
      </w:r>
      <w:r w:rsidR="004C465A" w:rsidRPr="00EC02CA">
        <w:t xml:space="preserve"> defence (as this is not an unlawful sexual act</w:t>
      </w:r>
      <w:r w:rsidR="009E1CB4" w:rsidRPr="00EC02CA">
        <w:t>)</w:t>
      </w:r>
      <w:r w:rsidR="004C465A" w:rsidRPr="00EC02CA">
        <w:t xml:space="preserve">. </w:t>
      </w:r>
      <w:r w:rsidR="00D7798A" w:rsidRPr="00EC02CA">
        <w:t xml:space="preserve">However, it </w:t>
      </w:r>
      <w:r w:rsidR="007129F8" w:rsidRPr="00EC02CA">
        <w:t>appears that</w:t>
      </w:r>
      <w:r w:rsidR="00D7798A" w:rsidRPr="00EC02CA">
        <w:t xml:space="preserve"> this defence does not apply if the </w:t>
      </w:r>
      <w:r w:rsidR="00BF7700" w:rsidRPr="00EC02CA">
        <w:t xml:space="preserve">material does not involve sexual activity with the accused. </w:t>
      </w:r>
      <w:r w:rsidR="004C465A" w:rsidRPr="00EC02CA">
        <w:t xml:space="preserve">In the </w:t>
      </w:r>
      <w:r w:rsidR="004C465A" w:rsidRPr="00EC02CA">
        <w:rPr>
          <w:i/>
          <w:iCs/>
        </w:rPr>
        <w:t xml:space="preserve">Classification (Publications, Films and Computer Games) Enforcement Act 1995 </w:t>
      </w:r>
      <w:r w:rsidR="004C465A" w:rsidRPr="00EC02CA">
        <w:t xml:space="preserve">(Tas), child exploitation material has the same definition, and the same age-related defence apply to material that depicts sexual activity between the defendant and a person under the age of 18 as set out in the provisions of the </w:t>
      </w:r>
      <w:r w:rsidR="004C465A" w:rsidRPr="00EC02CA">
        <w:rPr>
          <w:i/>
          <w:iCs/>
        </w:rPr>
        <w:t xml:space="preserve">Criminal Code </w:t>
      </w:r>
      <w:r w:rsidR="004C465A" w:rsidRPr="00EC02CA">
        <w:t>(Tas).</w:t>
      </w:r>
      <w:r w:rsidR="004C465A" w:rsidRPr="00EC02CA">
        <w:rPr>
          <w:rStyle w:val="FootnoteReference"/>
        </w:rPr>
        <w:footnoteReference w:id="363"/>
      </w:r>
      <w:r w:rsidR="001C6510" w:rsidRPr="00EC02CA">
        <w:t xml:space="preserve"> The </w:t>
      </w:r>
      <w:r w:rsidR="001515A1" w:rsidRPr="00EC02CA">
        <w:t>D</w:t>
      </w:r>
      <w:r w:rsidR="009E63E8" w:rsidRPr="00EC02CA">
        <w:t xml:space="preserve">irector of </w:t>
      </w:r>
      <w:r w:rsidR="001515A1" w:rsidRPr="00EC02CA">
        <w:t>P</w:t>
      </w:r>
      <w:r w:rsidR="009E63E8" w:rsidRPr="00EC02CA">
        <w:t xml:space="preserve">ublic </w:t>
      </w:r>
      <w:r w:rsidR="001515A1" w:rsidRPr="00EC02CA">
        <w:t>P</w:t>
      </w:r>
      <w:r w:rsidR="009E63E8" w:rsidRPr="00EC02CA">
        <w:t>rosecution’s</w:t>
      </w:r>
      <w:r w:rsidR="001515A1" w:rsidRPr="00EC02CA">
        <w:t xml:space="preserve"> </w:t>
      </w:r>
      <w:r w:rsidR="00687543" w:rsidRPr="00EC02CA">
        <w:rPr>
          <w:i/>
          <w:iCs/>
        </w:rPr>
        <w:t>Prosecution Policy and Guidelines</w:t>
      </w:r>
      <w:r w:rsidR="00687543" w:rsidRPr="00EC02CA">
        <w:t xml:space="preserve"> provide</w:t>
      </w:r>
      <w:r w:rsidR="00C76130" w:rsidRPr="00EC02CA">
        <w:t>s</w:t>
      </w:r>
      <w:r w:rsidR="00687543" w:rsidRPr="00EC02CA">
        <w:t xml:space="preserve"> </w:t>
      </w:r>
      <w:r w:rsidR="00C53613" w:rsidRPr="00EC02CA">
        <w:t xml:space="preserve">information about whether an offence should be charged as an indictable offence under the </w:t>
      </w:r>
      <w:r w:rsidR="00C53613" w:rsidRPr="00EC02CA">
        <w:rPr>
          <w:i/>
          <w:iCs/>
        </w:rPr>
        <w:t xml:space="preserve">Criminal Code </w:t>
      </w:r>
      <w:r w:rsidR="00C53613" w:rsidRPr="00EC02CA">
        <w:t xml:space="preserve">(Tas) or a </w:t>
      </w:r>
      <w:r w:rsidR="00AE7DE9" w:rsidRPr="00EC02CA">
        <w:t>summary offen</w:t>
      </w:r>
      <w:r w:rsidR="00C76130" w:rsidRPr="00EC02CA">
        <w:t>ce</w:t>
      </w:r>
      <w:r w:rsidR="00AE7DE9" w:rsidRPr="00EC02CA">
        <w:t xml:space="preserve"> under the </w:t>
      </w:r>
      <w:r w:rsidR="00AE7DE9" w:rsidRPr="00EC02CA">
        <w:rPr>
          <w:i/>
          <w:iCs/>
        </w:rPr>
        <w:t xml:space="preserve">Classification (Publications, Films and Computer Games) Enforcement Act 1995 </w:t>
      </w:r>
      <w:r w:rsidR="00AE7DE9" w:rsidRPr="00EC02CA">
        <w:t>(Tas).</w:t>
      </w:r>
      <w:r w:rsidR="00AF17CF" w:rsidRPr="00EC02CA">
        <w:rPr>
          <w:rStyle w:val="FootnoteReference"/>
        </w:rPr>
        <w:footnoteReference w:id="364"/>
      </w:r>
      <w:r w:rsidR="00AE7DE9" w:rsidRPr="00EC02CA">
        <w:t xml:space="preserve"> </w:t>
      </w:r>
    </w:p>
    <w:p w14:paraId="092A9631" w14:textId="0DD8F703" w:rsidR="004C465A" w:rsidRPr="00EC02CA" w:rsidRDefault="004C465A" w:rsidP="002F0007">
      <w:pPr>
        <w:pStyle w:val="NormalNumberedTextTLRI"/>
      </w:pPr>
      <w:r w:rsidRPr="00EC02CA">
        <w:t xml:space="preserve">There are also image-based abuse offences set out in the </w:t>
      </w:r>
      <w:r w:rsidRPr="00EC02CA">
        <w:rPr>
          <w:i/>
          <w:iCs/>
        </w:rPr>
        <w:t xml:space="preserve">Police Offences Act 1935 </w:t>
      </w:r>
      <w:r w:rsidRPr="00EC02CA">
        <w:t xml:space="preserve">(Tas). </w:t>
      </w:r>
      <w:r w:rsidR="00C76130" w:rsidRPr="00EC02CA">
        <w:t>Section</w:t>
      </w:r>
      <w:r w:rsidR="005323C9" w:rsidRPr="00EC02CA">
        <w:t xml:space="preserve"> </w:t>
      </w:r>
      <w:r w:rsidRPr="00EC02CA">
        <w:t>13A</w:t>
      </w:r>
      <w:r w:rsidR="00C76130" w:rsidRPr="00EC02CA">
        <w:t xml:space="preserve"> of that Act</w:t>
      </w:r>
      <w:r w:rsidRPr="00EC02CA">
        <w:t xml:space="preserve"> </w:t>
      </w:r>
      <w:r w:rsidR="006D2035" w:rsidRPr="00EC02CA">
        <w:t>creates an</w:t>
      </w:r>
      <w:r w:rsidRPr="00EC02CA">
        <w:t xml:space="preserve"> offence of recording in breach of privacy</w:t>
      </w:r>
      <w:r w:rsidR="006D2035" w:rsidRPr="00EC02CA">
        <w:t>, which</w:t>
      </w:r>
      <w:r w:rsidRPr="00EC02CA">
        <w:t xml:space="preserve"> applies to recordings made </w:t>
      </w:r>
      <w:r w:rsidR="00C76130" w:rsidRPr="00EC02CA">
        <w:t xml:space="preserve">without consent </w:t>
      </w:r>
      <w:r w:rsidRPr="00EC02CA">
        <w:t>in circumstances where a reasonable person would expect to be afforded privacy and when the other person is in a private place</w:t>
      </w:r>
      <w:r w:rsidR="00C76130" w:rsidRPr="00EC02CA">
        <w:t>,</w:t>
      </w:r>
      <w:r w:rsidRPr="00EC02CA">
        <w:t xml:space="preserve"> or is engaged in a private act</w:t>
      </w:r>
      <w:r w:rsidR="00C76130" w:rsidRPr="00EC02CA">
        <w:t>,</w:t>
      </w:r>
      <w:r w:rsidRPr="00EC02CA">
        <w:t xml:space="preserve"> and the recording is made for the purpose of recording a private act.</w:t>
      </w:r>
      <w:r w:rsidRPr="00EC02CA">
        <w:rPr>
          <w:rStyle w:val="FootnoteReference"/>
        </w:rPr>
        <w:footnoteReference w:id="365"/>
      </w:r>
      <w:r w:rsidRPr="00EC02CA">
        <w:t xml:space="preserve"> </w:t>
      </w:r>
      <w:r w:rsidR="00B47EEB" w:rsidRPr="00EC02CA">
        <w:t xml:space="preserve">It also </w:t>
      </w:r>
      <w:r w:rsidR="008212F8" w:rsidRPr="00EC02CA">
        <w:t xml:space="preserve">includes visually </w:t>
      </w:r>
      <w:r w:rsidR="00180EA2" w:rsidRPr="00EC02CA">
        <w:t>recording</w:t>
      </w:r>
      <w:r w:rsidR="008212F8" w:rsidRPr="00EC02CA">
        <w:t xml:space="preserve"> another person’s </w:t>
      </w:r>
      <w:r w:rsidR="00180EA2" w:rsidRPr="00EC02CA">
        <w:t>genital</w:t>
      </w:r>
      <w:r w:rsidR="008212F8" w:rsidRPr="00EC02CA">
        <w:t xml:space="preserve"> or </w:t>
      </w:r>
      <w:r w:rsidR="00180EA2" w:rsidRPr="00EC02CA">
        <w:t>anal</w:t>
      </w:r>
      <w:r w:rsidR="008212F8" w:rsidRPr="00EC02CA">
        <w:t xml:space="preserve"> re</w:t>
      </w:r>
      <w:r w:rsidR="00180EA2" w:rsidRPr="00EC02CA">
        <w:t>gio</w:t>
      </w:r>
      <w:r w:rsidR="008212F8" w:rsidRPr="00EC02CA">
        <w:t>ns</w:t>
      </w:r>
      <w:r w:rsidR="00C76130" w:rsidRPr="00EC02CA">
        <w:t>,</w:t>
      </w:r>
      <w:r w:rsidR="008212F8" w:rsidRPr="00EC02CA">
        <w:t xml:space="preserve"> in </w:t>
      </w:r>
      <w:r w:rsidR="00180EA2" w:rsidRPr="00EC02CA">
        <w:t>circumstances</w:t>
      </w:r>
      <w:r w:rsidR="008212F8" w:rsidRPr="00EC02CA">
        <w:t xml:space="preserve"> where a reasonable person would expect to be </w:t>
      </w:r>
      <w:r w:rsidR="00180EA2" w:rsidRPr="00EC02CA">
        <w:t>afforded</w:t>
      </w:r>
      <w:r w:rsidR="008212F8" w:rsidRPr="00EC02CA">
        <w:t xml:space="preserve"> privacy </w:t>
      </w:r>
      <w:r w:rsidR="00180EA2" w:rsidRPr="00EC02CA">
        <w:t>in</w:t>
      </w:r>
      <w:r w:rsidR="008212F8" w:rsidRPr="00EC02CA">
        <w:t xml:space="preserve"> relation to that region, </w:t>
      </w:r>
      <w:r w:rsidR="00C76130" w:rsidRPr="00EC02CA">
        <w:t xml:space="preserve">and </w:t>
      </w:r>
      <w:r w:rsidR="008212F8" w:rsidRPr="00EC02CA">
        <w:t xml:space="preserve">when the </w:t>
      </w:r>
      <w:r w:rsidR="00180EA2" w:rsidRPr="00EC02CA">
        <w:t>recording</w:t>
      </w:r>
      <w:r w:rsidR="008212F8" w:rsidRPr="00EC02CA">
        <w:t xml:space="preserve"> is made for </w:t>
      </w:r>
      <w:r w:rsidR="00180EA2" w:rsidRPr="00EC02CA">
        <w:t>the</w:t>
      </w:r>
      <w:r w:rsidR="008212F8" w:rsidRPr="00EC02CA">
        <w:t xml:space="preserve"> </w:t>
      </w:r>
      <w:r w:rsidR="004F4037" w:rsidRPr="00EC02CA">
        <w:t xml:space="preserve">purpose of </w:t>
      </w:r>
      <w:r w:rsidR="00180EA2" w:rsidRPr="00EC02CA">
        <w:t>visually</w:t>
      </w:r>
      <w:r w:rsidR="004F4037" w:rsidRPr="00EC02CA">
        <w:t xml:space="preserve"> reco</w:t>
      </w:r>
      <w:r w:rsidR="00180EA2" w:rsidRPr="00EC02CA">
        <w:t>r</w:t>
      </w:r>
      <w:r w:rsidR="004F4037" w:rsidRPr="00EC02CA">
        <w:t xml:space="preserve">ding the </w:t>
      </w:r>
      <w:r w:rsidR="00180EA2" w:rsidRPr="00EC02CA">
        <w:t>other person’s</w:t>
      </w:r>
      <w:r w:rsidR="004F4037" w:rsidRPr="00EC02CA">
        <w:t xml:space="preserve"> </w:t>
      </w:r>
      <w:r w:rsidR="00180EA2" w:rsidRPr="00EC02CA">
        <w:t>genital</w:t>
      </w:r>
      <w:r w:rsidR="004F4037" w:rsidRPr="00EC02CA">
        <w:t xml:space="preserve"> or </w:t>
      </w:r>
      <w:r w:rsidR="00180EA2" w:rsidRPr="00EC02CA">
        <w:t>anal</w:t>
      </w:r>
      <w:r w:rsidR="004F4037" w:rsidRPr="00EC02CA">
        <w:t xml:space="preserve"> </w:t>
      </w:r>
      <w:r w:rsidR="00180EA2" w:rsidRPr="00EC02CA">
        <w:t>region</w:t>
      </w:r>
      <w:r w:rsidR="004F4037" w:rsidRPr="00EC02CA">
        <w:t>.</w:t>
      </w:r>
      <w:r w:rsidR="004F4037" w:rsidRPr="00EC02CA">
        <w:rPr>
          <w:rStyle w:val="FootnoteReference"/>
        </w:rPr>
        <w:footnoteReference w:id="366"/>
      </w:r>
      <w:r w:rsidR="004F4037" w:rsidRPr="00EC02CA">
        <w:t xml:space="preserve"> </w:t>
      </w:r>
      <w:r w:rsidR="00180EA2" w:rsidRPr="00EC02CA">
        <w:t xml:space="preserve">Consent is a </w:t>
      </w:r>
      <w:r w:rsidR="00C56C04" w:rsidRPr="00EC02CA">
        <w:t>defence</w:t>
      </w:r>
      <w:r w:rsidR="00180EA2" w:rsidRPr="00EC02CA">
        <w:t>.</w:t>
      </w:r>
      <w:r w:rsidR="00180EA2" w:rsidRPr="00EC02CA">
        <w:rPr>
          <w:rStyle w:val="FootnoteReference"/>
        </w:rPr>
        <w:footnoteReference w:id="367"/>
      </w:r>
      <w:r w:rsidR="00C76130" w:rsidRPr="00EC02CA">
        <w:t xml:space="preserve"> </w:t>
      </w:r>
      <w:r w:rsidRPr="00EC02CA">
        <w:t xml:space="preserve">For the offences of publishing or distributing or possessing </w:t>
      </w:r>
      <w:r w:rsidR="005323C9" w:rsidRPr="00EC02CA">
        <w:t xml:space="preserve">a </w:t>
      </w:r>
      <w:r w:rsidRPr="00EC02CA">
        <w:t xml:space="preserve">prohibited visual </w:t>
      </w:r>
      <w:r w:rsidR="005323C9" w:rsidRPr="00EC02CA">
        <w:t>recording</w:t>
      </w:r>
      <w:r w:rsidRPr="00EC02CA">
        <w:t xml:space="preserve">, ‘prohibited visual </w:t>
      </w:r>
      <w:r w:rsidR="005323C9" w:rsidRPr="00EC02CA">
        <w:t xml:space="preserve">recording’ </w:t>
      </w:r>
      <w:r w:rsidRPr="00EC02CA">
        <w:t>means</w:t>
      </w:r>
      <w:r w:rsidR="00C76130" w:rsidRPr="00EC02CA">
        <w:t>:</w:t>
      </w:r>
      <w:r w:rsidRPr="00EC02CA">
        <w:t xml:space="preserve"> the visual recording of </w:t>
      </w:r>
      <w:r w:rsidR="00C76130" w:rsidRPr="00EC02CA">
        <w:t xml:space="preserve">a </w:t>
      </w:r>
      <w:r w:rsidRPr="00EC02CA">
        <w:t>person in a private place</w:t>
      </w:r>
      <w:r w:rsidR="00C76130" w:rsidRPr="00EC02CA">
        <w:t>,</w:t>
      </w:r>
      <w:r w:rsidRPr="00EC02CA">
        <w:t xml:space="preserve"> or engaging in a private act</w:t>
      </w:r>
      <w:r w:rsidR="00C76130" w:rsidRPr="00EC02CA">
        <w:t>,</w:t>
      </w:r>
      <w:r w:rsidRPr="00EC02CA">
        <w:t xml:space="preserve"> made in circumstances where a reasonable adult would expect to be afforded privacy</w:t>
      </w:r>
      <w:r w:rsidR="00C76130" w:rsidRPr="00EC02CA">
        <w:t>;</w:t>
      </w:r>
      <w:r w:rsidRPr="00EC02CA">
        <w:t xml:space="preserve"> or a visual recording of the person's genital or anal region, when it is covered only by underwear or bare, made in circumstances where a reasonable adult would expect to be afforded privacy in relation to that region.</w:t>
      </w:r>
      <w:r w:rsidRPr="00EC02CA">
        <w:rPr>
          <w:rStyle w:val="FootnoteReference"/>
        </w:rPr>
        <w:footnoteReference w:id="368"/>
      </w:r>
      <w:r w:rsidR="00C76130" w:rsidRPr="00EC02CA">
        <w:t xml:space="preserve"> </w:t>
      </w:r>
      <w:r w:rsidR="00C56C04" w:rsidRPr="00EC02CA">
        <w:t>It is also an offence to poss</w:t>
      </w:r>
      <w:r w:rsidR="00835907" w:rsidRPr="00EC02CA">
        <w:t>ess</w:t>
      </w:r>
      <w:r w:rsidR="00C56C04" w:rsidRPr="00EC02CA">
        <w:t xml:space="preserve"> </w:t>
      </w:r>
      <w:r w:rsidR="005323C9" w:rsidRPr="00EC02CA">
        <w:t xml:space="preserve">a </w:t>
      </w:r>
      <w:r w:rsidR="00C56C04" w:rsidRPr="00EC02CA">
        <w:t>p</w:t>
      </w:r>
      <w:r w:rsidR="000102A9" w:rsidRPr="00EC02CA">
        <w:t>rohibit</w:t>
      </w:r>
      <w:r w:rsidR="00C56C04" w:rsidRPr="00EC02CA">
        <w:t xml:space="preserve">ed visual </w:t>
      </w:r>
      <w:r w:rsidR="005323C9" w:rsidRPr="00EC02CA">
        <w:t>recording</w:t>
      </w:r>
      <w:r w:rsidR="00C56C04" w:rsidRPr="00EC02CA">
        <w:t>.</w:t>
      </w:r>
      <w:r w:rsidR="00C56C04" w:rsidRPr="00EC02CA">
        <w:rPr>
          <w:rStyle w:val="FootnoteReference"/>
        </w:rPr>
        <w:footnoteReference w:id="369"/>
      </w:r>
      <w:r w:rsidR="00C56C04" w:rsidRPr="00EC02CA">
        <w:t xml:space="preserve"> </w:t>
      </w:r>
      <w:r w:rsidRPr="00EC02CA">
        <w:t xml:space="preserve">These are summary offences, which for adult offenders would be heard in the Magistrates Court. Again, they are not prescribed offences and so </w:t>
      </w:r>
      <w:r w:rsidR="00C76130" w:rsidRPr="00EC02CA">
        <w:t xml:space="preserve">for young people, </w:t>
      </w:r>
      <w:r w:rsidRPr="00EC02CA">
        <w:t>would be heard in the Youth Justice Division.</w:t>
      </w:r>
    </w:p>
    <w:p w14:paraId="41D09710" w14:textId="5788DBF2" w:rsidR="004C465A" w:rsidRPr="00EC02CA" w:rsidRDefault="004C465A" w:rsidP="002F0007">
      <w:pPr>
        <w:pStyle w:val="NormalNumberedTextTLRI"/>
      </w:pPr>
      <w:r w:rsidRPr="00EC02CA">
        <w:t xml:space="preserve">Commonwealth offences are contained in the </w:t>
      </w:r>
      <w:r w:rsidRPr="00EC02CA">
        <w:rPr>
          <w:i/>
          <w:iCs/>
        </w:rPr>
        <w:t xml:space="preserve">Criminal Code 1995 </w:t>
      </w:r>
      <w:r w:rsidRPr="00EC02CA">
        <w:t xml:space="preserve">(Cth) and create offences in relation to child abuse material. Child abuse material is defined in the </w:t>
      </w:r>
      <w:r w:rsidRPr="00EC02CA">
        <w:rPr>
          <w:i/>
          <w:iCs/>
        </w:rPr>
        <w:t xml:space="preserve">Criminal Code 1995 </w:t>
      </w:r>
      <w:r w:rsidRPr="00EC02CA">
        <w:t>(Cth) s 473.1 to cover material that:</w:t>
      </w:r>
    </w:p>
    <w:p w14:paraId="7A4022AA" w14:textId="386AB30C" w:rsidR="004C465A" w:rsidRPr="00EC02CA" w:rsidRDefault="004C465A" w:rsidP="004C465A">
      <w:pPr>
        <w:pStyle w:val="DotPointTLRI"/>
      </w:pPr>
      <w:r w:rsidRPr="00EC02CA">
        <w:t>depicts a person or a representation of a person engage</w:t>
      </w:r>
      <w:r w:rsidR="00BA5B8C" w:rsidRPr="00EC02CA">
        <w:t>d</w:t>
      </w:r>
      <w:r w:rsidRPr="00EC02CA">
        <w:t xml:space="preserve"> in a sexual pose or sexual activity or is in the presence of someone engaged in a sexual pose or activity and does this in a way that reasonable persons would regard as being offen</w:t>
      </w:r>
      <w:r w:rsidR="00BA5B8C" w:rsidRPr="00EC02CA">
        <w:t>siv</w:t>
      </w:r>
      <w:r w:rsidRPr="00EC02CA">
        <w:t>e</w:t>
      </w:r>
      <w:r w:rsidR="00BA5B8C" w:rsidRPr="00EC02CA">
        <w:t>;</w:t>
      </w:r>
      <w:r w:rsidRPr="00EC02CA">
        <w:t xml:space="preserve"> or</w:t>
      </w:r>
    </w:p>
    <w:p w14:paraId="097EDC81" w14:textId="3B3A6C3A" w:rsidR="004C465A" w:rsidRPr="00EC02CA" w:rsidRDefault="004C465A" w:rsidP="004C465A">
      <w:pPr>
        <w:pStyle w:val="DotPointTLRI"/>
      </w:pPr>
      <w:r w:rsidRPr="00EC02CA">
        <w:t xml:space="preserve">the dominant characteristic of which is the depiction </w:t>
      </w:r>
      <w:r w:rsidR="00BA5B8C" w:rsidRPr="00EC02CA">
        <w:t xml:space="preserve">for a </w:t>
      </w:r>
      <w:r w:rsidRPr="00EC02CA">
        <w:t>sexual purpose of a sexual organ or the anal region, or breasts of a female person in a way that reasonable persons would consider to be offensive in all the circumstances.</w:t>
      </w:r>
      <w:r w:rsidRPr="00EC02CA">
        <w:rPr>
          <w:rStyle w:val="FootnoteReference"/>
        </w:rPr>
        <w:footnoteReference w:id="370"/>
      </w:r>
    </w:p>
    <w:p w14:paraId="62DE075E" w14:textId="4B56B47A" w:rsidR="004C465A" w:rsidRPr="00EC02CA" w:rsidRDefault="004C465A" w:rsidP="00A920EC">
      <w:pPr>
        <w:pStyle w:val="NormalNumberedTextTLRI"/>
      </w:pPr>
      <w:bookmarkStart w:id="215" w:name="_Ref217306205"/>
      <w:r w:rsidRPr="00EC02CA">
        <w:t>There are no age-related defences that apply</w:t>
      </w:r>
      <w:r w:rsidR="00C76130" w:rsidRPr="00EC02CA">
        <w:t xml:space="preserve"> to these offences</w:t>
      </w:r>
      <w:r w:rsidRPr="00EC02CA">
        <w:t xml:space="preserve">. There are statutory constraints on the commencement of prosecutions where the defendant is </w:t>
      </w:r>
      <w:r w:rsidR="00C76130" w:rsidRPr="00EC02CA">
        <w:t xml:space="preserve">aged </w:t>
      </w:r>
      <w:r w:rsidRPr="00EC02CA">
        <w:t>under 18</w:t>
      </w:r>
      <w:r w:rsidR="00C76130" w:rsidRPr="00EC02CA">
        <w:t>,</w:t>
      </w:r>
      <w:r w:rsidRPr="00EC02CA">
        <w:t xml:space="preserve"> as the consent of the Attorney-General is required.</w:t>
      </w:r>
      <w:r w:rsidRPr="00EC02CA">
        <w:rPr>
          <w:rStyle w:val="FootnoteReference"/>
        </w:rPr>
        <w:footnoteReference w:id="371"/>
      </w:r>
      <w:r w:rsidR="004A4F1E" w:rsidRPr="00EC02CA">
        <w:t xml:space="preserve"> </w:t>
      </w:r>
      <w:r w:rsidR="009D0748" w:rsidRPr="00EC02CA">
        <w:t xml:space="preserve">There is also an offence under the </w:t>
      </w:r>
      <w:r w:rsidR="00A86787" w:rsidRPr="00EC02CA">
        <w:t>C</w:t>
      </w:r>
      <w:r w:rsidR="009D0748" w:rsidRPr="00EC02CA">
        <w:rPr>
          <w:i/>
          <w:iCs/>
        </w:rPr>
        <w:t xml:space="preserve">riminal Code </w:t>
      </w:r>
      <w:r w:rsidR="009D0748" w:rsidRPr="00EC02CA">
        <w:t>(Cth)</w:t>
      </w:r>
      <w:r w:rsidR="00A86787" w:rsidRPr="00EC02CA">
        <w:t xml:space="preserve"> to use a carri</w:t>
      </w:r>
      <w:r w:rsidR="00074F48" w:rsidRPr="00EC02CA">
        <w:t>ag</w:t>
      </w:r>
      <w:r w:rsidR="00A86787" w:rsidRPr="00EC02CA">
        <w:t xml:space="preserve">e service to </w:t>
      </w:r>
      <w:r w:rsidR="00714D50" w:rsidRPr="00EC02CA">
        <w:t>transmit</w:t>
      </w:r>
      <w:r w:rsidR="00A86787" w:rsidRPr="00EC02CA">
        <w:t xml:space="preserve"> sexua</w:t>
      </w:r>
      <w:r w:rsidR="00714D50" w:rsidRPr="00EC02CA">
        <w:t xml:space="preserve">l </w:t>
      </w:r>
      <w:r w:rsidR="00A86787" w:rsidRPr="00EC02CA">
        <w:t>material without consent, which applies if the person depicted in the image is</w:t>
      </w:r>
      <w:r w:rsidR="00C76130" w:rsidRPr="00EC02CA">
        <w:t>,</w:t>
      </w:r>
      <w:r w:rsidR="00A86787" w:rsidRPr="00EC02CA">
        <w:t xml:space="preserve"> or </w:t>
      </w:r>
      <w:r w:rsidR="00714D50" w:rsidRPr="00EC02CA">
        <w:t>appears</w:t>
      </w:r>
      <w:r w:rsidR="00A86787" w:rsidRPr="00EC02CA">
        <w:t xml:space="preserve"> to be</w:t>
      </w:r>
      <w:r w:rsidR="00C76130" w:rsidRPr="00EC02CA">
        <w:t>,</w:t>
      </w:r>
      <w:r w:rsidR="00A86787" w:rsidRPr="00EC02CA">
        <w:t xml:space="preserve"> 18 years or older</w:t>
      </w:r>
      <w:r w:rsidR="00AB6908" w:rsidRPr="00EC02CA">
        <w:t>.</w:t>
      </w:r>
      <w:r w:rsidR="00AB6908" w:rsidRPr="00EC02CA">
        <w:rPr>
          <w:rStyle w:val="FootnoteReference"/>
        </w:rPr>
        <w:footnoteReference w:id="372"/>
      </w:r>
      <w:bookmarkEnd w:id="215"/>
    </w:p>
    <w:p w14:paraId="23A36CDE" w14:textId="100C8B7C" w:rsidR="00FF005A" w:rsidRPr="00EC02CA" w:rsidRDefault="00C76130" w:rsidP="002F0007">
      <w:pPr>
        <w:pStyle w:val="NormalNumberedTextTLRI"/>
      </w:pPr>
      <w:r w:rsidRPr="00EC02CA">
        <w:t>T</w:t>
      </w:r>
      <w:r w:rsidR="00FF005A" w:rsidRPr="00EC02CA">
        <w:t xml:space="preserve">he </w:t>
      </w:r>
      <w:r w:rsidR="00FF005A" w:rsidRPr="00EC02CA">
        <w:rPr>
          <w:i/>
        </w:rPr>
        <w:t>Online Safety Act 2001</w:t>
      </w:r>
      <w:r w:rsidR="00FF005A" w:rsidRPr="00EC02CA">
        <w:t xml:space="preserve"> (Cth)</w:t>
      </w:r>
      <w:r w:rsidRPr="00EC02CA">
        <w:t xml:space="preserve"> established </w:t>
      </w:r>
      <w:r w:rsidR="00FF005A" w:rsidRPr="00EC02CA">
        <w:t>t</w:t>
      </w:r>
      <w:r w:rsidR="005A58DB" w:rsidRPr="00EC02CA">
        <w:t xml:space="preserve">he Office of the eSafety Commissioner </w:t>
      </w:r>
      <w:r w:rsidRPr="00EC02CA">
        <w:t>and provides an</w:t>
      </w:r>
      <w:r w:rsidR="00D7682D" w:rsidRPr="00EC02CA">
        <w:t xml:space="preserve"> extensive statutory framework to address online safety of adults and children.</w:t>
      </w:r>
      <w:r w:rsidR="00D7682D" w:rsidRPr="00EC02CA">
        <w:rPr>
          <w:rStyle w:val="FootnoteReference"/>
        </w:rPr>
        <w:footnoteReference w:id="373"/>
      </w:r>
      <w:r w:rsidR="00D7682D" w:rsidRPr="00EC02CA">
        <w:t xml:space="preserve"> The eSafety Commissioner </w:t>
      </w:r>
      <w:r w:rsidR="00017541" w:rsidRPr="00EC02CA">
        <w:t xml:space="preserve">has </w:t>
      </w:r>
      <w:r w:rsidR="005A58DB" w:rsidRPr="00EC02CA">
        <w:t>powers in relation to the inve</w:t>
      </w:r>
      <w:r w:rsidR="00112DD5" w:rsidRPr="00EC02CA">
        <w:t>stig</w:t>
      </w:r>
      <w:r w:rsidR="005A58DB" w:rsidRPr="00EC02CA">
        <w:t xml:space="preserve">ation of </w:t>
      </w:r>
      <w:r w:rsidR="00112DD5" w:rsidRPr="00EC02CA">
        <w:t>complaints</w:t>
      </w:r>
      <w:r w:rsidR="005A58DB" w:rsidRPr="00EC02CA">
        <w:t xml:space="preserve"> relating to </w:t>
      </w:r>
      <w:r w:rsidR="008E266C" w:rsidRPr="00EC02CA">
        <w:t xml:space="preserve">cyberbullying material </w:t>
      </w:r>
      <w:r w:rsidR="008F2EF5" w:rsidRPr="00EC02CA">
        <w:t>targeted</w:t>
      </w:r>
      <w:r w:rsidR="008E266C" w:rsidRPr="00EC02CA">
        <w:t xml:space="preserve"> at a child</w:t>
      </w:r>
      <w:r w:rsidR="00017541" w:rsidRPr="00EC02CA">
        <w:t>ren</w:t>
      </w:r>
      <w:r w:rsidR="00553A0D" w:rsidRPr="00EC02CA">
        <w:t xml:space="preserve">, including the </w:t>
      </w:r>
      <w:r w:rsidR="001E60E3" w:rsidRPr="00EC02CA">
        <w:t xml:space="preserve">power to </w:t>
      </w:r>
      <w:r w:rsidR="005A05F0" w:rsidRPr="00EC02CA">
        <w:t>require a service to remove images</w:t>
      </w:r>
      <w:r w:rsidR="001967DB" w:rsidRPr="00EC02CA">
        <w:t>.</w:t>
      </w:r>
      <w:r w:rsidR="001967DB" w:rsidRPr="00EC02CA">
        <w:rPr>
          <w:rStyle w:val="FootnoteReference"/>
        </w:rPr>
        <w:footnoteReference w:id="374"/>
      </w:r>
      <w:r w:rsidR="008E266C" w:rsidRPr="00EC02CA">
        <w:t xml:space="preserve"> </w:t>
      </w:r>
      <w:r w:rsidR="008F2EF5" w:rsidRPr="00EC02CA">
        <w:t>In addition, there are provisions that</w:t>
      </w:r>
      <w:r w:rsidRPr="00EC02CA">
        <w:t xml:space="preserve"> </w:t>
      </w:r>
      <w:r w:rsidR="00595732" w:rsidRPr="00EC02CA">
        <w:t xml:space="preserve">relate to posting </w:t>
      </w:r>
      <w:r w:rsidR="0096554B" w:rsidRPr="00EC02CA">
        <w:t xml:space="preserve">or threatening to post </w:t>
      </w:r>
      <w:r w:rsidR="00595732" w:rsidRPr="00EC02CA">
        <w:t xml:space="preserve">an </w:t>
      </w:r>
      <w:r w:rsidR="00E538E5" w:rsidRPr="00EC02CA">
        <w:t>intimate</w:t>
      </w:r>
      <w:r w:rsidR="0096554B" w:rsidRPr="00EC02CA">
        <w:t xml:space="preserve"> image of another person </w:t>
      </w:r>
      <w:r w:rsidR="00595732" w:rsidRPr="00EC02CA">
        <w:t xml:space="preserve">without </w:t>
      </w:r>
      <w:r w:rsidR="0096554B" w:rsidRPr="00EC02CA">
        <w:t>that</w:t>
      </w:r>
      <w:r w:rsidR="00595732" w:rsidRPr="00EC02CA">
        <w:t xml:space="preserve"> person’s consent.</w:t>
      </w:r>
      <w:r w:rsidR="005F3649" w:rsidRPr="00EC02CA">
        <w:rPr>
          <w:rStyle w:val="FootnoteReference"/>
        </w:rPr>
        <w:footnoteReference w:id="375"/>
      </w:r>
      <w:r w:rsidR="00595732" w:rsidRPr="00EC02CA">
        <w:t xml:space="preserve"> </w:t>
      </w:r>
      <w:r w:rsidR="00C02129" w:rsidRPr="00EC02CA">
        <w:t xml:space="preserve">The </w:t>
      </w:r>
      <w:r w:rsidR="00E538E5" w:rsidRPr="00EC02CA">
        <w:t>Commissioner may issue a formal warning for contravention of this provision.</w:t>
      </w:r>
      <w:r w:rsidR="00E538E5" w:rsidRPr="00EC02CA">
        <w:rPr>
          <w:rStyle w:val="FootnoteReference"/>
        </w:rPr>
        <w:footnoteReference w:id="376"/>
      </w:r>
      <w:r w:rsidR="00E538E5" w:rsidRPr="00EC02CA">
        <w:t xml:space="preserve"> In addition, a</w:t>
      </w:r>
      <w:r w:rsidR="0096554B" w:rsidRPr="00EC02CA">
        <w:t xml:space="preserve"> civ</w:t>
      </w:r>
      <w:r w:rsidR="00E538E5" w:rsidRPr="00EC02CA">
        <w:t>i</w:t>
      </w:r>
      <w:r w:rsidR="0096554B" w:rsidRPr="00EC02CA">
        <w:t xml:space="preserve">l penalty </w:t>
      </w:r>
      <w:r w:rsidR="00E538E5" w:rsidRPr="00EC02CA">
        <w:t>may be</w:t>
      </w:r>
      <w:r w:rsidR="0096554B" w:rsidRPr="00EC02CA">
        <w:t xml:space="preserve"> </w:t>
      </w:r>
      <w:r w:rsidR="00936F31" w:rsidRPr="00EC02CA">
        <w:t xml:space="preserve">imposed (a fine of </w:t>
      </w:r>
      <w:r w:rsidR="00782E7F" w:rsidRPr="00EC02CA">
        <w:t xml:space="preserve">up to </w:t>
      </w:r>
      <w:r w:rsidR="00936F31" w:rsidRPr="00EC02CA">
        <w:t xml:space="preserve">500 </w:t>
      </w:r>
      <w:r w:rsidR="00553A0D" w:rsidRPr="00EC02CA">
        <w:t>penalty</w:t>
      </w:r>
      <w:r w:rsidR="00936F31" w:rsidRPr="00EC02CA">
        <w:t xml:space="preserve"> units)</w:t>
      </w:r>
      <w:r w:rsidR="0078543F" w:rsidRPr="00EC02CA">
        <w:t>.</w:t>
      </w:r>
      <w:r w:rsidR="000A5B46" w:rsidRPr="00EC02CA">
        <w:t xml:space="preserve"> The e</w:t>
      </w:r>
      <w:r w:rsidR="00553A0D" w:rsidRPr="00EC02CA">
        <w:t>S</w:t>
      </w:r>
      <w:r w:rsidR="000A5B46" w:rsidRPr="00EC02CA">
        <w:t xml:space="preserve">afety </w:t>
      </w:r>
      <w:r w:rsidR="00553A0D" w:rsidRPr="00EC02CA">
        <w:t>Commissioner</w:t>
      </w:r>
      <w:r w:rsidR="000A5B46" w:rsidRPr="00EC02CA">
        <w:t xml:space="preserve"> can also require a service to remove </w:t>
      </w:r>
      <w:r w:rsidR="00143D83" w:rsidRPr="00EC02CA">
        <w:t>contravening</w:t>
      </w:r>
      <w:r w:rsidRPr="00EC02CA">
        <w:t xml:space="preserve"> </w:t>
      </w:r>
      <w:r w:rsidR="000A5B46" w:rsidRPr="00EC02CA">
        <w:t>image</w:t>
      </w:r>
      <w:r w:rsidR="00143D83" w:rsidRPr="00EC02CA">
        <w:t>s</w:t>
      </w:r>
      <w:r w:rsidR="000A5B46" w:rsidRPr="00EC02CA">
        <w:t>.</w:t>
      </w:r>
      <w:r w:rsidR="000A5B46" w:rsidRPr="00EC02CA">
        <w:rPr>
          <w:rStyle w:val="FootnoteReference"/>
        </w:rPr>
        <w:footnoteReference w:id="377"/>
      </w:r>
    </w:p>
    <w:p w14:paraId="2BC06407" w14:textId="295927A1" w:rsidR="00E30EE6" w:rsidRPr="00EC02CA" w:rsidRDefault="35A3E0EF" w:rsidP="00A920EC">
      <w:pPr>
        <w:pStyle w:val="TLRISubheading"/>
      </w:pPr>
      <w:bookmarkStart w:id="216" w:name="_Toc211849398"/>
      <w:bookmarkStart w:id="217" w:name="_Toc218157294"/>
      <w:r w:rsidRPr="00EC02CA">
        <w:t xml:space="preserve">Previous consideration </w:t>
      </w:r>
      <w:r w:rsidR="5C6DF4C2" w:rsidRPr="00EC02CA">
        <w:t xml:space="preserve">of </w:t>
      </w:r>
      <w:r w:rsidR="4787E77C" w:rsidRPr="00EC02CA">
        <w:t>the law in relation to sexual</w:t>
      </w:r>
      <w:r w:rsidR="45A3CEF3" w:rsidRPr="00EC02CA">
        <w:t xml:space="preserve"> offences</w:t>
      </w:r>
      <w:r w:rsidR="673B4559" w:rsidRPr="00EC02CA">
        <w:t xml:space="preserve"> and young people</w:t>
      </w:r>
      <w:bookmarkEnd w:id="216"/>
      <w:bookmarkEnd w:id="217"/>
    </w:p>
    <w:p w14:paraId="3766FD6F" w14:textId="3A2D475B" w:rsidR="00F2160F" w:rsidRPr="00EC02CA" w:rsidRDefault="00E30EE6" w:rsidP="002F0007">
      <w:pPr>
        <w:pStyle w:val="NormalNumberedTextTLRI"/>
      </w:pPr>
      <w:r w:rsidRPr="00EC02CA">
        <w:t xml:space="preserve">Over time, there have been reforms to the criminal law in relation to </w:t>
      </w:r>
      <w:r w:rsidR="00696889" w:rsidRPr="00EC02CA">
        <w:t xml:space="preserve">physical </w:t>
      </w:r>
      <w:r w:rsidRPr="00EC02CA">
        <w:t>sexual offences, including chang</w:t>
      </w:r>
      <w:r w:rsidR="00460DF6" w:rsidRPr="00EC02CA">
        <w:t>es to the</w:t>
      </w:r>
      <w:r w:rsidRPr="00EC02CA">
        <w:t xml:space="preserve"> definition of </w:t>
      </w:r>
      <w:r w:rsidR="00696889" w:rsidRPr="00EC02CA">
        <w:t xml:space="preserve">rape and the definition of </w:t>
      </w:r>
      <w:r w:rsidRPr="00EC02CA">
        <w:t>consent,</w:t>
      </w:r>
      <w:r w:rsidR="00696889" w:rsidRPr="00EC02CA">
        <w:t xml:space="preserve"> </w:t>
      </w:r>
      <w:r w:rsidR="00390DE2" w:rsidRPr="00EC02CA">
        <w:t xml:space="preserve">the defence of </w:t>
      </w:r>
      <w:r w:rsidR="00696889" w:rsidRPr="00EC02CA">
        <w:t>mistake</w:t>
      </w:r>
      <w:r w:rsidR="00390DE2" w:rsidRPr="00EC02CA">
        <w:t xml:space="preserve"> as it </w:t>
      </w:r>
      <w:r w:rsidR="006559F1" w:rsidRPr="00EC02CA">
        <w:t>applies</w:t>
      </w:r>
      <w:r w:rsidR="00390DE2" w:rsidRPr="00EC02CA">
        <w:t xml:space="preserve"> to sexual </w:t>
      </w:r>
      <w:r w:rsidR="006559F1" w:rsidRPr="00EC02CA">
        <w:t>offences</w:t>
      </w:r>
      <w:r w:rsidR="00460DF6" w:rsidRPr="00EC02CA">
        <w:t>, and</w:t>
      </w:r>
      <w:r w:rsidR="00696889" w:rsidRPr="00EC02CA">
        <w:t xml:space="preserve"> the name given to sexual offences committed against children</w:t>
      </w:r>
      <w:r w:rsidR="006559F1" w:rsidRPr="00EC02CA">
        <w:t>.</w:t>
      </w:r>
      <w:r w:rsidR="00D70D92" w:rsidRPr="00EC02CA">
        <w:rPr>
          <w:rStyle w:val="FootnoteReference"/>
        </w:rPr>
        <w:footnoteReference w:id="378"/>
      </w:r>
      <w:r w:rsidR="00F404EF" w:rsidRPr="00EC02CA">
        <w:t xml:space="preserve"> </w:t>
      </w:r>
      <w:r w:rsidR="00E81461" w:rsidRPr="00EC02CA">
        <w:t xml:space="preserve">In some jurisdictions, concerns </w:t>
      </w:r>
      <w:r w:rsidR="00460DF6" w:rsidRPr="00EC02CA">
        <w:t xml:space="preserve">have </w:t>
      </w:r>
      <w:r w:rsidR="009818DF" w:rsidRPr="00EC02CA">
        <w:t>be</w:t>
      </w:r>
      <w:r w:rsidR="00460DF6" w:rsidRPr="00EC02CA">
        <w:t>en</w:t>
      </w:r>
      <w:r w:rsidR="00E81461" w:rsidRPr="00EC02CA">
        <w:t xml:space="preserve"> raised about </w:t>
      </w:r>
      <w:r w:rsidR="00491C85" w:rsidRPr="00EC02CA">
        <w:t>certain</w:t>
      </w:r>
      <w:r w:rsidR="00460DF6" w:rsidRPr="00EC02CA">
        <w:t xml:space="preserve"> </w:t>
      </w:r>
      <w:r w:rsidR="00F11896" w:rsidRPr="00EC02CA">
        <w:t xml:space="preserve">offences </w:t>
      </w:r>
      <w:r w:rsidR="00460DF6" w:rsidRPr="00EC02CA">
        <w:t xml:space="preserve">that </w:t>
      </w:r>
      <w:r w:rsidR="00F11896" w:rsidRPr="00EC02CA">
        <w:t>criminalis</w:t>
      </w:r>
      <w:r w:rsidR="000D7845" w:rsidRPr="00EC02CA">
        <w:t>e</w:t>
      </w:r>
      <w:r w:rsidR="00F11896" w:rsidRPr="00EC02CA">
        <w:t xml:space="preserve"> the consensual sexual activities of close</w:t>
      </w:r>
      <w:r w:rsidR="00460DF6" w:rsidRPr="00EC02CA">
        <w:t>-</w:t>
      </w:r>
      <w:r w:rsidR="00F11896" w:rsidRPr="00EC02CA">
        <w:t>in</w:t>
      </w:r>
      <w:r w:rsidR="00460DF6" w:rsidRPr="00EC02CA">
        <w:t>-</w:t>
      </w:r>
      <w:r w:rsidR="00F11896" w:rsidRPr="00EC02CA">
        <w:t>age peers.</w:t>
      </w:r>
      <w:r w:rsidR="099694A4" w:rsidRPr="00EC02CA">
        <w:t xml:space="preserve"> </w:t>
      </w:r>
      <w:r w:rsidR="00F11896" w:rsidRPr="00EC02CA">
        <w:t>However, this issue does not arise in</w:t>
      </w:r>
      <w:r w:rsidR="003500E9" w:rsidRPr="00EC02CA">
        <w:t xml:space="preserve"> the same way in</w:t>
      </w:r>
      <w:r w:rsidR="00F11896" w:rsidRPr="00EC02CA">
        <w:t xml:space="preserve"> Tasmania, as the criminal law </w:t>
      </w:r>
      <w:r w:rsidR="00460DF6" w:rsidRPr="00EC02CA">
        <w:t xml:space="preserve">contains </w:t>
      </w:r>
      <w:r w:rsidR="00F11896" w:rsidRPr="00EC02CA">
        <w:t xml:space="preserve">defences </w:t>
      </w:r>
      <w:r w:rsidR="0051095B" w:rsidRPr="00EC02CA">
        <w:t xml:space="preserve">to child sexual offences </w:t>
      </w:r>
      <w:r w:rsidR="003500E9" w:rsidRPr="00EC02CA">
        <w:t xml:space="preserve">for consensual sexual </w:t>
      </w:r>
      <w:r w:rsidR="004119AA" w:rsidRPr="00EC02CA">
        <w:t>intercourse</w:t>
      </w:r>
      <w:r w:rsidR="003500E9" w:rsidRPr="00EC02CA">
        <w:t xml:space="preserve"> between </w:t>
      </w:r>
      <w:r w:rsidR="004119AA" w:rsidRPr="00EC02CA">
        <w:t>young people</w:t>
      </w:r>
      <w:r w:rsidR="00460DF6" w:rsidRPr="00EC02CA">
        <w:t xml:space="preserve"> who are close in age</w:t>
      </w:r>
      <w:r w:rsidR="004119AA" w:rsidRPr="00EC02CA">
        <w:t xml:space="preserve">. </w:t>
      </w:r>
    </w:p>
    <w:p w14:paraId="5E2B5149" w14:textId="283738C7" w:rsidR="007D4692" w:rsidRPr="00EC02CA" w:rsidRDefault="005D23F8" w:rsidP="002F0007">
      <w:pPr>
        <w:pStyle w:val="NormalNumberedTextTLRI"/>
      </w:pPr>
      <w:r w:rsidRPr="00EC02CA">
        <w:t xml:space="preserve"> </w:t>
      </w:r>
      <w:r w:rsidR="00E17701" w:rsidRPr="00EC02CA">
        <w:t>More problematic has been the application of child exploitation provision</w:t>
      </w:r>
      <w:r w:rsidR="0082518F" w:rsidRPr="00EC02CA">
        <w:t>s to young people</w:t>
      </w:r>
      <w:r w:rsidR="00460DF6" w:rsidRPr="00EC02CA">
        <w:t>.</w:t>
      </w:r>
      <w:r w:rsidR="0041550A" w:rsidRPr="00EC02CA">
        <w:t xml:space="preserve"> </w:t>
      </w:r>
      <w:r w:rsidR="00460DF6" w:rsidRPr="00EC02CA">
        <w:t>These</w:t>
      </w:r>
      <w:r w:rsidR="0041550A" w:rsidRPr="00EC02CA">
        <w:t xml:space="preserve"> laws</w:t>
      </w:r>
      <w:r w:rsidR="0088662F" w:rsidRPr="00EC02CA">
        <w:t xml:space="preserve"> </w:t>
      </w:r>
      <w:r w:rsidR="00460DF6" w:rsidRPr="00EC02CA">
        <w:t xml:space="preserve">were </w:t>
      </w:r>
      <w:r w:rsidR="0088662F" w:rsidRPr="00EC02CA">
        <w:t>introduced to</w:t>
      </w:r>
      <w:r w:rsidR="0041550A" w:rsidRPr="00EC02CA">
        <w:t xml:space="preserve"> reflect</w:t>
      </w:r>
      <w:r w:rsidR="00532A6D" w:rsidRPr="00EC02CA">
        <w:t xml:space="preserve"> concerns about </w:t>
      </w:r>
      <w:r w:rsidR="00460DF6" w:rsidRPr="00EC02CA">
        <w:t xml:space="preserve">the behaviour of </w:t>
      </w:r>
      <w:r w:rsidR="00532A6D" w:rsidRPr="00EC02CA">
        <w:t xml:space="preserve">adult </w:t>
      </w:r>
      <w:r w:rsidR="00184791" w:rsidRPr="00EC02CA">
        <w:t>offenders,</w:t>
      </w:r>
      <w:r w:rsidR="00532A6D" w:rsidRPr="00EC02CA">
        <w:t xml:space="preserve"> and </w:t>
      </w:r>
      <w:r w:rsidR="00460DF6" w:rsidRPr="00EC02CA">
        <w:t xml:space="preserve">were </w:t>
      </w:r>
      <w:r w:rsidR="00532A6D" w:rsidRPr="00EC02CA">
        <w:t>not designed or introduced with the intent of criminalising the sharing of intimate images by young people</w:t>
      </w:r>
      <w:r w:rsidR="0082518F" w:rsidRPr="00EC02CA">
        <w:t>.</w:t>
      </w:r>
      <w:bookmarkStart w:id="218" w:name="_Ref217985017"/>
      <w:r w:rsidR="005C0733" w:rsidRPr="00EC02CA">
        <w:rPr>
          <w:rStyle w:val="FootnoteReference"/>
        </w:rPr>
        <w:footnoteReference w:id="379"/>
      </w:r>
      <w:bookmarkEnd w:id="218"/>
      <w:r w:rsidR="0082518F" w:rsidRPr="00EC02CA">
        <w:t xml:space="preserve"> </w:t>
      </w:r>
      <w:r w:rsidR="00184791" w:rsidRPr="00EC02CA">
        <w:t xml:space="preserve">Nevertheless, this can be the effect. </w:t>
      </w:r>
      <w:r w:rsidR="0082518F" w:rsidRPr="00EC02CA">
        <w:t xml:space="preserve">For </w:t>
      </w:r>
      <w:r w:rsidR="00532A6D" w:rsidRPr="00EC02CA">
        <w:t>example</w:t>
      </w:r>
      <w:r w:rsidR="00300979" w:rsidRPr="00EC02CA">
        <w:t>,</w:t>
      </w:r>
      <w:r w:rsidR="0082518F" w:rsidRPr="00EC02CA">
        <w:t xml:space="preserve"> Finkelhor</w:t>
      </w:r>
      <w:r w:rsidR="00532A6D" w:rsidRPr="00EC02CA">
        <w:t xml:space="preserve"> </w:t>
      </w:r>
      <w:r w:rsidR="0082518F" w:rsidRPr="00EC02CA">
        <w:t xml:space="preserve">et al wrote, there ‘is arguably some dissonance in using the term “child sexual abuse images” (CSAI) to apply to </w:t>
      </w:r>
      <w:r w:rsidR="0041550A" w:rsidRPr="00EC02CA">
        <w:t>…</w:t>
      </w:r>
      <w:r w:rsidR="0082518F" w:rsidRPr="00EC02CA">
        <w:t xml:space="preserve"> contexts involving youth self-made images. CSAI has strong conceptual roots in the scenarios of adult-produced images made to record conventional child sexual abuse episodes’.</w:t>
      </w:r>
      <w:r w:rsidR="0082518F" w:rsidRPr="00EC02CA">
        <w:rPr>
          <w:rStyle w:val="FootnoteReference"/>
        </w:rPr>
        <w:footnoteReference w:id="380"/>
      </w:r>
      <w:r w:rsidR="003D590A" w:rsidRPr="00EC02CA">
        <w:t xml:space="preserve"> Similarly, a Canadian study noted that</w:t>
      </w:r>
      <w:r w:rsidR="00CE127A" w:rsidRPr="00EC02CA">
        <w:t xml:space="preserve"> </w:t>
      </w:r>
      <w:r w:rsidR="003D590A" w:rsidRPr="00EC02CA">
        <w:t xml:space="preserve">police generally considered that the criminal law (and the use of child pornography offences) were </w:t>
      </w:r>
      <w:r w:rsidR="006B2B8D" w:rsidRPr="00EC02CA">
        <w:t xml:space="preserve">‘far </w:t>
      </w:r>
      <w:r w:rsidR="003D590A" w:rsidRPr="00EC02CA">
        <w:t xml:space="preserve">too stigmatising </w:t>
      </w:r>
      <w:r w:rsidR="006462E0" w:rsidRPr="00EC02CA">
        <w:t>and harsh’</w:t>
      </w:r>
      <w:r w:rsidR="00216F30" w:rsidRPr="00EC02CA">
        <w:rPr>
          <w:rStyle w:val="FootnoteReference"/>
        </w:rPr>
        <w:footnoteReference w:id="381"/>
      </w:r>
      <w:r w:rsidR="006462E0" w:rsidRPr="00EC02CA">
        <w:t xml:space="preserve"> </w:t>
      </w:r>
      <w:r w:rsidR="003D590A" w:rsidRPr="00EC02CA">
        <w:t>for young people and that an educative rather than a criminal justice response was more appropriate.</w:t>
      </w:r>
      <w:r w:rsidR="00AB3B9D" w:rsidRPr="00EC02CA">
        <w:rPr>
          <w:rStyle w:val="FootnoteReference"/>
        </w:rPr>
        <w:footnoteReference w:id="382"/>
      </w:r>
      <w:r w:rsidR="003D590A" w:rsidRPr="00EC02CA">
        <w:t xml:space="preserve"> It was noted that the child pornography offences were not designed with young people in mind, that non-consensual intimate image</w:t>
      </w:r>
      <w:r w:rsidR="00933D08" w:rsidRPr="00EC02CA">
        <w:t>-</w:t>
      </w:r>
      <w:r w:rsidR="003D590A" w:rsidRPr="00EC02CA">
        <w:t>sharing was commonplace for young people</w:t>
      </w:r>
      <w:r w:rsidR="00460DF6" w:rsidRPr="00EC02CA">
        <w:t xml:space="preserve">, </w:t>
      </w:r>
      <w:r w:rsidR="003D590A" w:rsidRPr="00EC02CA">
        <w:t>that it was not appropriate to criminalise young people</w:t>
      </w:r>
      <w:r w:rsidR="00460DF6" w:rsidRPr="00EC02CA">
        <w:t>,</w:t>
      </w:r>
      <w:r w:rsidR="003D590A" w:rsidRPr="00EC02CA">
        <w:t xml:space="preserve"> and that to do so would create an onerous burden on police resources.</w:t>
      </w:r>
      <w:r w:rsidR="003D590A" w:rsidRPr="00EC02CA">
        <w:rPr>
          <w:rStyle w:val="FootnoteReference"/>
        </w:rPr>
        <w:footnoteReference w:id="383"/>
      </w:r>
      <w:r w:rsidR="00460DF6" w:rsidRPr="00EC02CA">
        <w:t xml:space="preserve"> </w:t>
      </w:r>
      <w:r w:rsidR="0066027B" w:rsidRPr="00EC02CA">
        <w:t xml:space="preserve">The response of parents, schools and the criminal law to ‘sexting’ </w:t>
      </w:r>
      <w:r w:rsidR="00470560" w:rsidRPr="00EC02CA">
        <w:t xml:space="preserve">has been described as </w:t>
      </w:r>
      <w:r w:rsidR="0051116E" w:rsidRPr="00EC02CA">
        <w:t>‘vexed’</w:t>
      </w:r>
      <w:r w:rsidR="00460DF6" w:rsidRPr="00EC02CA">
        <w:t>,</w:t>
      </w:r>
      <w:r w:rsidR="0051116E" w:rsidRPr="00EC02CA">
        <w:t xml:space="preserve"> with it being viewed as cr</w:t>
      </w:r>
      <w:r w:rsidR="00953FB9" w:rsidRPr="00EC02CA">
        <w:t>e</w:t>
      </w:r>
      <w:r w:rsidR="0051116E" w:rsidRPr="00EC02CA">
        <w:t xml:space="preserve">ating vulnerability </w:t>
      </w:r>
      <w:r w:rsidR="00DB4181" w:rsidRPr="00EC02CA">
        <w:t>for sexual victimi</w:t>
      </w:r>
      <w:r w:rsidR="00460DF6" w:rsidRPr="00EC02CA">
        <w:t>s</w:t>
      </w:r>
      <w:r w:rsidR="00DB4181" w:rsidRPr="00EC02CA">
        <w:t xml:space="preserve">ation </w:t>
      </w:r>
      <w:r w:rsidR="00F57852" w:rsidRPr="00EC02CA">
        <w:t>but also</w:t>
      </w:r>
      <w:r w:rsidR="00DB4181" w:rsidRPr="00EC02CA">
        <w:t xml:space="preserve"> an expression of </w:t>
      </w:r>
      <w:r w:rsidR="00953FB9" w:rsidRPr="00EC02CA">
        <w:t>adolescent</w:t>
      </w:r>
      <w:r w:rsidR="00DB4181" w:rsidRPr="00EC02CA">
        <w:t xml:space="preserve"> sexual identi</w:t>
      </w:r>
      <w:r w:rsidR="00460DF6" w:rsidRPr="00EC02CA">
        <w:t>t</w:t>
      </w:r>
      <w:r w:rsidR="00DB4181" w:rsidRPr="00EC02CA">
        <w:t>y.</w:t>
      </w:r>
      <w:r w:rsidR="00DB4181" w:rsidRPr="00EC02CA">
        <w:rPr>
          <w:rStyle w:val="FootnoteReference"/>
        </w:rPr>
        <w:footnoteReference w:id="384"/>
      </w:r>
    </w:p>
    <w:p w14:paraId="381A96B9" w14:textId="12D57E02" w:rsidR="00324F57" w:rsidRPr="00EC02CA" w:rsidRDefault="00277297" w:rsidP="002F0007">
      <w:pPr>
        <w:pStyle w:val="NormalNumberedTextTLRI"/>
      </w:pPr>
      <w:r w:rsidRPr="00EC02CA">
        <w:t>In the Australian context</w:t>
      </w:r>
      <w:r w:rsidR="00324F57" w:rsidRPr="00EC02CA">
        <w:t xml:space="preserve">, the rationale for criminalisation </w:t>
      </w:r>
      <w:r w:rsidR="00F75087" w:rsidRPr="00EC02CA">
        <w:t xml:space="preserve">of young people for </w:t>
      </w:r>
      <w:r w:rsidR="00324F57" w:rsidRPr="00EC02CA">
        <w:t>child sexual abuse material offences when no child is abused or exploited in the production has been queried</w:t>
      </w:r>
      <w:r w:rsidR="00F75087" w:rsidRPr="00EC02CA">
        <w:t>.</w:t>
      </w:r>
      <w:r w:rsidR="00324F57" w:rsidRPr="00EC02CA">
        <w:rPr>
          <w:rStyle w:val="FootnoteReference"/>
        </w:rPr>
        <w:footnoteReference w:id="385"/>
      </w:r>
      <w:r w:rsidR="00324F57" w:rsidRPr="00EC02CA">
        <w:t xml:space="preserve"> </w:t>
      </w:r>
      <w:r w:rsidR="00F75087" w:rsidRPr="00EC02CA">
        <w:t xml:space="preserve">Specifically, </w:t>
      </w:r>
      <w:r w:rsidR="00324F57" w:rsidRPr="00EC02CA">
        <w:t>the appropriateness of treating t</w:t>
      </w:r>
      <w:r w:rsidR="00F75087" w:rsidRPr="00EC02CA">
        <w:t xml:space="preserve">he </w:t>
      </w:r>
      <w:r w:rsidR="00324F57" w:rsidRPr="00EC02CA">
        <w:t>consensual exchange of intimate material between young people as child exploitation material being questioned.</w:t>
      </w:r>
      <w:r w:rsidR="00324F57" w:rsidRPr="00EC02CA">
        <w:rPr>
          <w:rStyle w:val="FootnoteReference"/>
        </w:rPr>
        <w:footnoteReference w:id="386"/>
      </w:r>
      <w:r w:rsidR="00324F57" w:rsidRPr="00EC02CA">
        <w:t xml:space="preserve"> </w:t>
      </w:r>
      <w:r w:rsidR="00587A03" w:rsidRPr="00EC02CA">
        <w:t>R</w:t>
      </w:r>
      <w:r w:rsidRPr="00EC02CA">
        <w:t xml:space="preserve">eflecting </w:t>
      </w:r>
      <w:r w:rsidR="00587A03" w:rsidRPr="00EC02CA">
        <w:t xml:space="preserve">similar </w:t>
      </w:r>
      <w:r w:rsidRPr="00EC02CA">
        <w:t xml:space="preserve">concerns </w:t>
      </w:r>
      <w:r w:rsidR="00587A03" w:rsidRPr="00EC02CA">
        <w:t xml:space="preserve">raised </w:t>
      </w:r>
      <w:r w:rsidRPr="00EC02CA">
        <w:t>internationally, in Australia it has been noted that ‘young people sexting one another is not generally the same as the exploitation of children by adults’</w:t>
      </w:r>
      <w:r w:rsidR="00587A03" w:rsidRPr="00EC02CA">
        <w:t>. However, it is also noted</w:t>
      </w:r>
      <w:r w:rsidRPr="00EC02CA">
        <w:t xml:space="preserve"> that it does have </w:t>
      </w:r>
      <w:r w:rsidR="009B7694" w:rsidRPr="00EC02CA">
        <w:t>the</w:t>
      </w:r>
      <w:r w:rsidRPr="00EC02CA">
        <w:t xml:space="preserve"> capacity for significant harm</w:t>
      </w:r>
      <w:r w:rsidR="00F75087" w:rsidRPr="00EC02CA">
        <w:t>,</w:t>
      </w:r>
      <w:r w:rsidRPr="00EC02CA">
        <w:t xml:space="preserve"> as images </w:t>
      </w:r>
      <w:r w:rsidR="009B7694" w:rsidRPr="00EC02CA">
        <w:t xml:space="preserve">that are initially consensually shared, </w:t>
      </w:r>
      <w:r w:rsidRPr="00EC02CA">
        <w:t xml:space="preserve">can be </w:t>
      </w:r>
      <w:r w:rsidR="00F75087" w:rsidRPr="00EC02CA">
        <w:t xml:space="preserve">subsequently </w:t>
      </w:r>
      <w:r w:rsidR="009B7694" w:rsidRPr="00EC02CA">
        <w:t xml:space="preserve">stored, </w:t>
      </w:r>
      <w:r w:rsidRPr="00EC02CA">
        <w:t>reproduced and distributed</w:t>
      </w:r>
      <w:r w:rsidR="00F75087" w:rsidRPr="00EC02CA">
        <w:t xml:space="preserve"> without consent</w:t>
      </w:r>
      <w:r w:rsidRPr="00EC02CA">
        <w:t>.</w:t>
      </w:r>
      <w:r w:rsidRPr="00EC02CA">
        <w:rPr>
          <w:rStyle w:val="FootnoteReference"/>
        </w:rPr>
        <w:footnoteReference w:id="387"/>
      </w:r>
      <w:r w:rsidRPr="00EC02CA">
        <w:t xml:space="preserve"> Similarly, it has</w:t>
      </w:r>
      <w:r w:rsidR="00324F57" w:rsidRPr="00EC02CA">
        <w:t xml:space="preserve"> been </w:t>
      </w:r>
      <w:r w:rsidR="003E00D7" w:rsidRPr="00EC02CA">
        <w:t>observed</w:t>
      </w:r>
      <w:r w:rsidR="00324F57" w:rsidRPr="00EC02CA">
        <w:t xml:space="preserve"> </w:t>
      </w:r>
      <w:r w:rsidRPr="00EC02CA">
        <w:t>that</w:t>
      </w:r>
      <w:r w:rsidR="00A66E67" w:rsidRPr="00EC02CA">
        <w:t>,</w:t>
      </w:r>
      <w:r w:rsidRPr="00EC02CA">
        <w:t xml:space="preserve"> </w:t>
      </w:r>
      <w:r w:rsidR="00324F57" w:rsidRPr="00EC02CA">
        <w:t>from</w:t>
      </w:r>
      <w:r w:rsidR="00CF4594" w:rsidRPr="00EC02CA">
        <w:t xml:space="preserve"> the perspective of young people</w:t>
      </w:r>
      <w:r w:rsidR="00A66E67" w:rsidRPr="00EC02CA">
        <w:t>,</w:t>
      </w:r>
      <w:r w:rsidR="004B2CF8" w:rsidRPr="00EC02CA">
        <w:t xml:space="preserve"> ‘sexting [is] normal sexual communication in this digital age that further </w:t>
      </w:r>
      <w:r w:rsidR="00651525" w:rsidRPr="00EC02CA">
        <w:t>enhances</w:t>
      </w:r>
      <w:r w:rsidR="004B2CF8" w:rsidRPr="00EC02CA">
        <w:t xml:space="preserve"> peer relationship</w:t>
      </w:r>
      <w:r w:rsidR="00A66E67" w:rsidRPr="00EC02CA">
        <w:t>s</w:t>
      </w:r>
      <w:r w:rsidR="004B2CF8" w:rsidRPr="00EC02CA">
        <w:t>’</w:t>
      </w:r>
      <w:r w:rsidR="000110B0" w:rsidRPr="00EC02CA">
        <w:t>.</w:t>
      </w:r>
      <w:r w:rsidR="004B2CF8" w:rsidRPr="00EC02CA">
        <w:rPr>
          <w:rStyle w:val="FootnoteReference"/>
        </w:rPr>
        <w:footnoteReference w:id="388"/>
      </w:r>
      <w:r w:rsidR="00651525" w:rsidRPr="00EC02CA">
        <w:t xml:space="preserve"> </w:t>
      </w:r>
      <w:r w:rsidR="00C272C4" w:rsidRPr="00EC02CA">
        <w:t>However</w:t>
      </w:r>
      <w:r w:rsidR="00651525" w:rsidRPr="00EC02CA">
        <w:t xml:space="preserve">, it can also be harmful because it </w:t>
      </w:r>
      <w:r w:rsidR="00C272C4" w:rsidRPr="00EC02CA">
        <w:t>‘potentially exacerbates gender pressure, me</w:t>
      </w:r>
      <w:r w:rsidR="00B445AA" w:rsidRPr="00EC02CA">
        <w:t>n</w:t>
      </w:r>
      <w:r w:rsidR="00C272C4" w:rsidRPr="00EC02CA">
        <w:t>tal health concerns and bullying’.</w:t>
      </w:r>
      <w:r w:rsidR="00C272C4" w:rsidRPr="00EC02CA">
        <w:rPr>
          <w:rStyle w:val="FootnoteReference"/>
        </w:rPr>
        <w:footnoteReference w:id="389"/>
      </w:r>
    </w:p>
    <w:p w14:paraId="35A2B5DB" w14:textId="4599BE35" w:rsidR="00A45EFD" w:rsidRPr="00EC02CA" w:rsidRDefault="00AF2CAA" w:rsidP="002F0007">
      <w:pPr>
        <w:pStyle w:val="NormalNumberedTextTLRI"/>
      </w:pPr>
      <w:r w:rsidRPr="00EC02CA">
        <w:t xml:space="preserve">In considering the legal </w:t>
      </w:r>
      <w:r w:rsidR="00FA3472" w:rsidRPr="00EC02CA">
        <w:t>response</w:t>
      </w:r>
      <w:r w:rsidRPr="00EC02CA">
        <w:t xml:space="preserve"> to </w:t>
      </w:r>
      <w:r w:rsidR="00FA3472" w:rsidRPr="00EC02CA">
        <w:t>the online sexual behaviour of young people, a</w:t>
      </w:r>
      <w:r w:rsidR="00444756" w:rsidRPr="00EC02CA">
        <w:t xml:space="preserve"> separate </w:t>
      </w:r>
      <w:r w:rsidR="00CF4594" w:rsidRPr="00EC02CA">
        <w:t xml:space="preserve">(but </w:t>
      </w:r>
      <w:r w:rsidR="00FA3472" w:rsidRPr="00EC02CA">
        <w:t>inter</w:t>
      </w:r>
      <w:r w:rsidR="00CF4594" w:rsidRPr="00EC02CA">
        <w:t xml:space="preserve">related) </w:t>
      </w:r>
      <w:r w:rsidR="00444756" w:rsidRPr="00EC02CA">
        <w:t>issue</w:t>
      </w:r>
      <w:r w:rsidR="00CF4594" w:rsidRPr="00EC02CA">
        <w:t xml:space="preserve"> is the role </w:t>
      </w:r>
      <w:r w:rsidR="003E00D7" w:rsidRPr="00EC02CA">
        <w:t>of</w:t>
      </w:r>
      <w:r w:rsidR="00CF4594" w:rsidRPr="00EC02CA">
        <w:t xml:space="preserve"> the </w:t>
      </w:r>
      <w:r w:rsidR="003E00D7" w:rsidRPr="00EC02CA">
        <w:t>criminal</w:t>
      </w:r>
      <w:r w:rsidR="00CF4594" w:rsidRPr="00EC02CA">
        <w:t xml:space="preserve"> law when an</w:t>
      </w:r>
      <w:r w:rsidR="003E00D7" w:rsidRPr="00EC02CA">
        <w:t xml:space="preserve"> intimate</w:t>
      </w:r>
      <w:r w:rsidR="00CF4594" w:rsidRPr="00EC02CA">
        <w:t xml:space="preserve"> image </w:t>
      </w:r>
      <w:r w:rsidR="003E00D7" w:rsidRPr="00EC02CA">
        <w:t>is non-consensually shared</w:t>
      </w:r>
      <w:r w:rsidR="00444756" w:rsidRPr="00EC02CA">
        <w:t xml:space="preserve">, </w:t>
      </w:r>
      <w:r w:rsidR="003E00D7" w:rsidRPr="00EC02CA">
        <w:t>and</w:t>
      </w:r>
      <w:r w:rsidR="005D23F8" w:rsidRPr="00EC02CA">
        <w:t xml:space="preserve"> </w:t>
      </w:r>
      <w:r w:rsidR="003E00D7" w:rsidRPr="00EC02CA">
        <w:t xml:space="preserve">there have been </w:t>
      </w:r>
      <w:r w:rsidR="005D23F8" w:rsidRPr="00EC02CA">
        <w:t xml:space="preserve">reforms elsewhere </w:t>
      </w:r>
      <w:r w:rsidR="003E00D7" w:rsidRPr="00EC02CA">
        <w:t xml:space="preserve">to respond to </w:t>
      </w:r>
      <w:r w:rsidR="00387B9C" w:rsidRPr="00EC02CA">
        <w:t xml:space="preserve">such </w:t>
      </w:r>
      <w:r w:rsidR="003E00D7" w:rsidRPr="00EC02CA">
        <w:t>concerns about</w:t>
      </w:r>
      <w:r w:rsidR="005D23F8" w:rsidRPr="00EC02CA">
        <w:t xml:space="preserve"> image-based abuse</w:t>
      </w:r>
      <w:r w:rsidR="00D8721A" w:rsidRPr="00EC02CA">
        <w:t xml:space="preserve">. </w:t>
      </w:r>
      <w:r w:rsidR="00987E22" w:rsidRPr="00EC02CA">
        <w:t>These laws apply to adults and children</w:t>
      </w:r>
      <w:r w:rsidR="00387B9C" w:rsidRPr="00EC02CA">
        <w:t xml:space="preserve"> and</w:t>
      </w:r>
      <w:r w:rsidR="00D8721A" w:rsidRPr="00EC02CA">
        <w:t xml:space="preserve"> were discussed by the TLRI in its </w:t>
      </w:r>
      <w:r w:rsidR="00D8721A" w:rsidRPr="00EC02CA">
        <w:rPr>
          <w:i/>
          <w:iCs/>
        </w:rPr>
        <w:t>Review of Privacy Laws in Tasmania</w:t>
      </w:r>
      <w:r w:rsidR="00D8721A" w:rsidRPr="00EC02CA">
        <w:t>,</w:t>
      </w:r>
      <w:bookmarkStart w:id="219" w:name="_Ref217986217"/>
      <w:r w:rsidR="00D8721A" w:rsidRPr="00EC02CA">
        <w:rPr>
          <w:rStyle w:val="FootnoteReference"/>
        </w:rPr>
        <w:footnoteReference w:id="390"/>
      </w:r>
      <w:bookmarkEnd w:id="219"/>
      <w:r w:rsidR="65309637" w:rsidRPr="00EC02CA">
        <w:t xml:space="preserve"> </w:t>
      </w:r>
      <w:r w:rsidR="00640C7F" w:rsidRPr="00EC02CA">
        <w:t xml:space="preserve">which </w:t>
      </w:r>
      <w:r w:rsidR="0005405D" w:rsidRPr="00EC02CA">
        <w:t>highlighted</w:t>
      </w:r>
      <w:r w:rsidR="00640C7F" w:rsidRPr="00EC02CA">
        <w:t xml:space="preserve"> the need for reforms in the </w:t>
      </w:r>
      <w:r w:rsidR="0005405D" w:rsidRPr="00EC02CA">
        <w:t>Tasmanian</w:t>
      </w:r>
      <w:r w:rsidR="00640C7F" w:rsidRPr="00EC02CA">
        <w:t xml:space="preserve"> law. It was noted that the Tasmanian law did not have a specific law concerning image-based abuse</w:t>
      </w:r>
      <w:r w:rsidR="0005405D" w:rsidRPr="00EC02CA">
        <w:t xml:space="preserve"> (unlike other jurisdictions) and </w:t>
      </w:r>
      <w:r w:rsidR="00D83C84" w:rsidRPr="00EC02CA">
        <w:t xml:space="preserve">that the offences in the </w:t>
      </w:r>
      <w:r w:rsidR="00D83C84" w:rsidRPr="00EC02CA">
        <w:rPr>
          <w:i/>
          <w:iCs/>
        </w:rPr>
        <w:t xml:space="preserve">Police Offences Act </w:t>
      </w:r>
      <w:r w:rsidR="005D730B" w:rsidRPr="00EC02CA">
        <w:rPr>
          <w:i/>
          <w:iCs/>
        </w:rPr>
        <w:t xml:space="preserve">1935 </w:t>
      </w:r>
      <w:r w:rsidR="005D730B" w:rsidRPr="00EC02CA">
        <w:t xml:space="preserve">(Tas) were not adequate. Accordingly, the TLRI </w:t>
      </w:r>
      <w:r w:rsidR="0005405D" w:rsidRPr="00EC02CA">
        <w:t>recommended that an appropriate offence be introduced.</w:t>
      </w:r>
      <w:r w:rsidR="0005405D" w:rsidRPr="00EC02CA">
        <w:rPr>
          <w:rStyle w:val="FootnoteReference"/>
        </w:rPr>
        <w:footnoteReference w:id="391"/>
      </w:r>
      <w:r w:rsidR="00745A4C" w:rsidRPr="00EC02CA">
        <w:t xml:space="preserve"> This offence would create an offence of </w:t>
      </w:r>
      <w:r w:rsidR="005D730B" w:rsidRPr="00EC02CA">
        <w:t>distributing</w:t>
      </w:r>
      <w:r w:rsidR="00745A4C" w:rsidRPr="00EC02CA">
        <w:t xml:space="preserve"> an </w:t>
      </w:r>
      <w:r w:rsidR="005D730B" w:rsidRPr="00EC02CA">
        <w:t>intimate</w:t>
      </w:r>
      <w:r w:rsidR="00745A4C" w:rsidRPr="00EC02CA">
        <w:t xml:space="preserve"> image without consent or threatening to </w:t>
      </w:r>
      <w:r w:rsidR="005D730B" w:rsidRPr="00EC02CA">
        <w:t>distribut</w:t>
      </w:r>
      <w:r w:rsidR="00387B9C" w:rsidRPr="00EC02CA">
        <w:t>e</w:t>
      </w:r>
      <w:r w:rsidR="00745A4C" w:rsidRPr="00EC02CA">
        <w:t xml:space="preserve"> an intimate image. In the creation of </w:t>
      </w:r>
      <w:r w:rsidR="005D730B" w:rsidRPr="00EC02CA">
        <w:t>such</w:t>
      </w:r>
      <w:r w:rsidR="00745A4C" w:rsidRPr="00EC02CA">
        <w:t xml:space="preserve"> an offence</w:t>
      </w:r>
      <w:r w:rsidR="00D83C84" w:rsidRPr="00EC02CA">
        <w:t>, it was recommended</w:t>
      </w:r>
      <w:r w:rsidR="005D1ED4" w:rsidRPr="00EC02CA">
        <w:t xml:space="preserve"> that the law should make it clear that the prohibition extended to the distribution (or threat to distribute)</w:t>
      </w:r>
      <w:r w:rsidR="00387B9C" w:rsidRPr="00EC02CA">
        <w:t xml:space="preserve"> of</w:t>
      </w:r>
      <w:r w:rsidR="005D1ED4" w:rsidRPr="00EC02CA">
        <w:t xml:space="preserve"> images created or modified by the use of artificial intelligenc</w:t>
      </w:r>
      <w:r w:rsidR="00FB34B6" w:rsidRPr="00EC02CA">
        <w:t>e.</w:t>
      </w:r>
    </w:p>
    <w:p w14:paraId="030CEFC4" w14:textId="4E02A258" w:rsidR="00F845E8" w:rsidRPr="00EC02CA" w:rsidRDefault="00F845E8" w:rsidP="00A920EC">
      <w:pPr>
        <w:pStyle w:val="TLRISubheading"/>
      </w:pPr>
      <w:bookmarkStart w:id="220" w:name="_Toc211849399"/>
      <w:bookmarkStart w:id="221" w:name="_Toc218157295"/>
      <w:r w:rsidRPr="00EC02CA">
        <w:t>TLRI interview</w:t>
      </w:r>
      <w:r w:rsidR="00C31078" w:rsidRPr="00EC02CA">
        <w:t>ee</w:t>
      </w:r>
      <w:r w:rsidRPr="00EC02CA">
        <w:t>s</w:t>
      </w:r>
      <w:bookmarkEnd w:id="220"/>
      <w:r w:rsidR="00B20521" w:rsidRPr="00EC02CA">
        <w:t>’ views</w:t>
      </w:r>
      <w:bookmarkEnd w:id="221"/>
    </w:p>
    <w:p w14:paraId="6C7755DC" w14:textId="45A3BC30" w:rsidR="00EF52C5" w:rsidRPr="00EC02CA" w:rsidRDefault="008678CC" w:rsidP="002F0007">
      <w:pPr>
        <w:pStyle w:val="NormalNumberedTextTLRI"/>
      </w:pPr>
      <w:r w:rsidRPr="00EC02CA">
        <w:t xml:space="preserve">In the TLRI interviews, </w:t>
      </w:r>
      <w:r w:rsidR="00E90DA9" w:rsidRPr="00EC02CA">
        <w:t>legislation</w:t>
      </w:r>
      <w:r w:rsidR="00A24052" w:rsidRPr="00EC02CA">
        <w:t xml:space="preserve"> was discussed in </w:t>
      </w:r>
      <w:r w:rsidR="00424EC3" w:rsidRPr="00EC02CA">
        <w:t>eight</w:t>
      </w:r>
      <w:r w:rsidR="00A24052" w:rsidRPr="00EC02CA">
        <w:t xml:space="preserve"> interviews</w:t>
      </w:r>
      <w:r w:rsidR="00934FA7" w:rsidRPr="00EC02CA">
        <w:t>,</w:t>
      </w:r>
      <w:r w:rsidR="00E90DA9" w:rsidRPr="00EC02CA">
        <w:t xml:space="preserve"> with interviewees </w:t>
      </w:r>
      <w:r w:rsidR="006643DD" w:rsidRPr="00EC02CA">
        <w:t>indicating</w:t>
      </w:r>
      <w:r w:rsidR="00E90DA9" w:rsidRPr="00EC02CA">
        <w:t xml:space="preserve"> </w:t>
      </w:r>
      <w:r w:rsidR="00934FA7" w:rsidRPr="00EC02CA">
        <w:t xml:space="preserve">concern </w:t>
      </w:r>
      <w:r w:rsidR="00E90DA9" w:rsidRPr="00EC02CA">
        <w:t xml:space="preserve">that it was outdated </w:t>
      </w:r>
      <w:r w:rsidR="00790FA7" w:rsidRPr="00EC02CA">
        <w:t xml:space="preserve">and that it did not address contemporary issues in sexual offending. </w:t>
      </w:r>
      <w:r w:rsidR="00B56598" w:rsidRPr="00EC02CA">
        <w:t>Th</w:t>
      </w:r>
      <w:r w:rsidR="00934FA7" w:rsidRPr="00EC02CA">
        <w:t>ese concerns</w:t>
      </w:r>
      <w:r w:rsidR="00B56598" w:rsidRPr="00EC02CA">
        <w:t xml:space="preserve"> related</w:t>
      </w:r>
      <w:r w:rsidR="00934FA7" w:rsidRPr="00EC02CA">
        <w:t>,</w:t>
      </w:r>
      <w:r w:rsidR="00B56598" w:rsidRPr="00EC02CA">
        <w:t xml:space="preserve"> </w:t>
      </w:r>
      <w:r w:rsidR="00934FA7" w:rsidRPr="00EC02CA">
        <w:t xml:space="preserve">in </w:t>
      </w:r>
      <w:r w:rsidR="003D7C89" w:rsidRPr="00EC02CA">
        <w:t>particular</w:t>
      </w:r>
      <w:r w:rsidR="00934FA7" w:rsidRPr="00EC02CA">
        <w:t>,</w:t>
      </w:r>
      <w:r w:rsidR="003D7C89" w:rsidRPr="00EC02CA">
        <w:t xml:space="preserve"> to the issue of social media. In addition, </w:t>
      </w:r>
      <w:r w:rsidR="0069027B" w:rsidRPr="00EC02CA">
        <w:t xml:space="preserve">comments were made about the age of consent and the different age gaps written into </w:t>
      </w:r>
      <w:r w:rsidR="00401362" w:rsidRPr="00EC02CA">
        <w:t>the</w:t>
      </w:r>
      <w:r w:rsidR="0069027B" w:rsidRPr="00EC02CA">
        <w:t xml:space="preserve"> </w:t>
      </w:r>
      <w:r w:rsidR="00401362" w:rsidRPr="00EC02CA">
        <w:t>legislation</w:t>
      </w:r>
      <w:r w:rsidR="0069027B" w:rsidRPr="00EC02CA">
        <w:t xml:space="preserve">. </w:t>
      </w:r>
      <w:r w:rsidR="00401362" w:rsidRPr="00EC02CA">
        <w:t xml:space="preserve">This was seen to create confusion, as well as not meeting </w:t>
      </w:r>
      <w:r w:rsidR="00934FA7" w:rsidRPr="00EC02CA">
        <w:t xml:space="preserve">some </w:t>
      </w:r>
      <w:r w:rsidR="00401362" w:rsidRPr="00EC02CA">
        <w:t>famil</w:t>
      </w:r>
      <w:r w:rsidR="00934FA7" w:rsidRPr="00EC02CA">
        <w:t>ies’</w:t>
      </w:r>
      <w:r w:rsidR="00401362" w:rsidRPr="00EC02CA">
        <w:t xml:space="preserve"> expectations about what was appropriate and </w:t>
      </w:r>
      <w:r w:rsidR="00934FA7" w:rsidRPr="00EC02CA">
        <w:t xml:space="preserve">what was </w:t>
      </w:r>
      <w:r w:rsidR="00401362" w:rsidRPr="00EC02CA">
        <w:t xml:space="preserve">inappropriate sexual </w:t>
      </w:r>
      <w:r w:rsidR="009E52BD" w:rsidRPr="00EC02CA">
        <w:t>behaviour</w:t>
      </w:r>
      <w:r w:rsidR="00934FA7" w:rsidRPr="00EC02CA">
        <w:t>. One interviewee noted:</w:t>
      </w:r>
      <w:r w:rsidR="009E52BD" w:rsidRPr="00EC02CA">
        <w:t xml:space="preserve"> </w:t>
      </w:r>
    </w:p>
    <w:p w14:paraId="787FCF5C" w14:textId="35955F1F" w:rsidR="00F845E8" w:rsidRPr="00EC02CA" w:rsidRDefault="005F5FE9" w:rsidP="00EF52C5">
      <w:pPr>
        <w:pStyle w:val="Indentedquote"/>
      </w:pPr>
      <w:r w:rsidRPr="00EC02CA">
        <w:t>And the family think it's wrong. And we're probably like this does seem a bit dodgy, but it's within three years or within five years</w:t>
      </w:r>
      <w:r w:rsidR="000E0A59" w:rsidRPr="00EC02CA">
        <w:t xml:space="preserve"> [which are the </w:t>
      </w:r>
      <w:r w:rsidR="007C004E" w:rsidRPr="00EC02CA">
        <w:t>age</w:t>
      </w:r>
      <w:r w:rsidR="00EA56B0" w:rsidRPr="00EC02CA">
        <w:t>-</w:t>
      </w:r>
      <w:r w:rsidR="007C004E" w:rsidRPr="00EC02CA">
        <w:t xml:space="preserve">related defences in the </w:t>
      </w:r>
      <w:r w:rsidR="007C004E" w:rsidRPr="00EC02CA">
        <w:rPr>
          <w:i/>
        </w:rPr>
        <w:t>Criminal Code</w:t>
      </w:r>
      <w:r w:rsidR="007C004E" w:rsidRPr="00EC02CA">
        <w:t>]</w:t>
      </w:r>
      <w:r w:rsidRPr="00EC02CA">
        <w:t>, depending on the age, then that can be challenging when that age gap doesn't go in our favour in terms of being able to do very much</w:t>
      </w:r>
      <w:r w:rsidR="00EF52C5" w:rsidRPr="00EC02CA">
        <w:t>.</w:t>
      </w:r>
      <w:r w:rsidRPr="00EC02CA">
        <w:rPr>
          <w:rStyle w:val="FootnoteReference"/>
        </w:rPr>
        <w:footnoteReference w:id="392"/>
      </w:r>
    </w:p>
    <w:p w14:paraId="2BDE9377" w14:textId="2865DB6D" w:rsidR="00EF52C5" w:rsidRPr="00EC02CA" w:rsidRDefault="00D61AB3" w:rsidP="002F0007">
      <w:pPr>
        <w:pStyle w:val="NormalNumberedTextTLRI"/>
      </w:pPr>
      <w:r w:rsidRPr="00EC02CA">
        <w:t>In line with other research</w:t>
      </w:r>
      <w:r w:rsidR="00EF52C5" w:rsidRPr="00EC02CA">
        <w:t>, several interviewees also indicated that young people did not view</w:t>
      </w:r>
      <w:r w:rsidRPr="00EC02CA">
        <w:t xml:space="preserve"> sending nude photos as an offence:</w:t>
      </w:r>
    </w:p>
    <w:p w14:paraId="2AB46F1E" w14:textId="009505A7" w:rsidR="00D61AB3" w:rsidRPr="00EC02CA" w:rsidRDefault="00D61AB3" w:rsidP="00F40C5D">
      <w:pPr>
        <w:pStyle w:val="Indentedquote"/>
      </w:pPr>
      <w:r w:rsidRPr="00EC02CA">
        <w:t>I'm finding sending photos of themselves is almost normal to a lot of them. And a lot of them don't understand they're actually committing an offence. But then maybe</w:t>
      </w:r>
      <w:r w:rsidR="007155EE" w:rsidRPr="00EC02CA">
        <w:t>,</w:t>
      </w:r>
      <w:r w:rsidRPr="00EC02CA">
        <w:t xml:space="preserve"> you know</w:t>
      </w:r>
      <w:r w:rsidR="007155EE" w:rsidRPr="00EC02CA">
        <w:t>,</w:t>
      </w:r>
      <w:r w:rsidRPr="00EC02CA">
        <w:t xml:space="preserve"> that photo then gets used against them and they become a victim.</w:t>
      </w:r>
    </w:p>
    <w:p w14:paraId="09DF147C" w14:textId="06AA48E2" w:rsidR="00F40C5D" w:rsidRPr="00EC02CA" w:rsidRDefault="00F40C5D" w:rsidP="002F0007">
      <w:pPr>
        <w:pStyle w:val="NormalNumberedTextTLRI"/>
      </w:pPr>
      <w:r w:rsidRPr="00EC02CA">
        <w:t xml:space="preserve">As discussed, a matter raised in the interviews was the complexity created by both Commonwealth and state legislation setting out offences relating to online sexual offending, and having two police </w:t>
      </w:r>
      <w:r w:rsidR="007C004E" w:rsidRPr="00EC02CA">
        <w:t>services</w:t>
      </w:r>
      <w:r w:rsidRPr="00EC02CA">
        <w:t xml:space="preserve"> involved. It was noted that </w:t>
      </w:r>
      <w:r w:rsidR="00136BC7" w:rsidRPr="00EC02CA">
        <w:t>the Australian Federal Police</w:t>
      </w:r>
      <w:r w:rsidR="00537D90" w:rsidRPr="00EC02CA">
        <w:t xml:space="preserve">’s use of </w:t>
      </w:r>
      <w:r w:rsidR="00136BC7" w:rsidRPr="00EC02CA">
        <w:t xml:space="preserve">discretionary powers to formally caution </w:t>
      </w:r>
      <w:r w:rsidR="00537D90" w:rsidRPr="00EC02CA">
        <w:t>young people for online offending was particularly effective.</w:t>
      </w:r>
      <w:r w:rsidR="00537D90" w:rsidRPr="00EC02CA">
        <w:rPr>
          <w:rStyle w:val="FootnoteReference"/>
        </w:rPr>
        <w:footnoteReference w:id="393"/>
      </w:r>
      <w:r w:rsidR="00537D90" w:rsidRPr="00EC02CA">
        <w:t xml:space="preserve"> It was also noted that</w:t>
      </w:r>
      <w:r w:rsidR="00607608" w:rsidRPr="00EC02CA">
        <w:t>,</w:t>
      </w:r>
      <w:r w:rsidR="00537D90" w:rsidRPr="00EC02CA">
        <w:t xml:space="preserve"> </w:t>
      </w:r>
      <w:r w:rsidR="00FF3C12" w:rsidRPr="00EC02CA">
        <w:t xml:space="preserve">under the </w:t>
      </w:r>
      <w:r w:rsidR="00FF3C12" w:rsidRPr="00EC02CA">
        <w:rPr>
          <w:i/>
          <w:iCs/>
        </w:rPr>
        <w:t xml:space="preserve">Crimes Act 1914 </w:t>
      </w:r>
      <w:r w:rsidR="00FF3C12" w:rsidRPr="00EC02CA">
        <w:t>(Cth)</w:t>
      </w:r>
      <w:r w:rsidR="00E3126E" w:rsidRPr="00EC02CA">
        <w:t xml:space="preserve"> s </w:t>
      </w:r>
      <w:r w:rsidR="00C36584" w:rsidRPr="00EC02CA">
        <w:t xml:space="preserve">3LA, </w:t>
      </w:r>
      <w:r w:rsidR="00607608" w:rsidRPr="00EC02CA">
        <w:t xml:space="preserve">the AFP </w:t>
      </w:r>
      <w:r w:rsidR="00C36584" w:rsidRPr="00EC02CA">
        <w:t>ha</w:t>
      </w:r>
      <w:r w:rsidR="00607608" w:rsidRPr="00EC02CA">
        <w:t>ve the</w:t>
      </w:r>
      <w:r w:rsidR="00C36584" w:rsidRPr="00EC02CA">
        <w:t xml:space="preserve"> power to apply to a magistrate to order </w:t>
      </w:r>
      <w:r w:rsidR="00607608" w:rsidRPr="00EC02CA">
        <w:t xml:space="preserve">that </w:t>
      </w:r>
      <w:r w:rsidR="00C36584" w:rsidRPr="00EC02CA">
        <w:t xml:space="preserve">a person provide </w:t>
      </w:r>
      <w:r w:rsidR="00607608" w:rsidRPr="00EC02CA">
        <w:t>their</w:t>
      </w:r>
      <w:r w:rsidR="00C36584" w:rsidRPr="00EC02CA">
        <w:t xml:space="preserve"> password </w:t>
      </w:r>
      <w:r w:rsidR="00F97044" w:rsidRPr="00EC02CA">
        <w:t xml:space="preserve">to a phone or computer, and that this </w:t>
      </w:r>
      <w:r w:rsidR="00607608" w:rsidRPr="00EC02CA">
        <w:t xml:space="preserve">power </w:t>
      </w:r>
      <w:r w:rsidR="00F97044" w:rsidRPr="00EC02CA">
        <w:t>was not available to Tasmania Police.</w:t>
      </w:r>
    </w:p>
    <w:p w14:paraId="160F8CFA" w14:textId="4D02E4B6" w:rsidR="009E1CB4" w:rsidRPr="00EC02CA" w:rsidRDefault="009E1CB4" w:rsidP="00A920EC">
      <w:pPr>
        <w:pStyle w:val="TLRISubheading"/>
      </w:pPr>
      <w:bookmarkStart w:id="222" w:name="_Toc211849400"/>
      <w:bookmarkStart w:id="223" w:name="_Toc218157296"/>
      <w:r w:rsidRPr="00EC02CA">
        <w:t>TLRI views and recommendations</w:t>
      </w:r>
      <w:bookmarkEnd w:id="222"/>
      <w:bookmarkEnd w:id="223"/>
    </w:p>
    <w:p w14:paraId="22D2BD9B" w14:textId="6D76EC00" w:rsidR="0045423C" w:rsidRPr="00EC02CA" w:rsidRDefault="008C404C" w:rsidP="002F0007">
      <w:pPr>
        <w:pStyle w:val="NormalNumberedTextTLRI"/>
      </w:pPr>
      <w:r w:rsidRPr="00EC02CA">
        <w:t xml:space="preserve">The research literature and the interviews conducted by the TLRI </w:t>
      </w:r>
      <w:r w:rsidR="00881DCA" w:rsidRPr="00EC02CA">
        <w:t xml:space="preserve">suggest that </w:t>
      </w:r>
      <w:r w:rsidR="00B955FC" w:rsidRPr="00EC02CA">
        <w:t>the internet</w:t>
      </w:r>
      <w:r w:rsidR="00CD66E8" w:rsidRPr="00EC02CA">
        <w:t>, smartphones, social media</w:t>
      </w:r>
      <w:r w:rsidR="00E47B1D" w:rsidRPr="00EC02CA">
        <w:t>,</w:t>
      </w:r>
      <w:r w:rsidR="00B955FC" w:rsidRPr="00EC02CA">
        <w:t xml:space="preserve"> and related</w:t>
      </w:r>
      <w:r w:rsidR="00CD66E8" w:rsidRPr="00EC02CA">
        <w:t xml:space="preserve">ly </w:t>
      </w:r>
      <w:r w:rsidR="00663EDC" w:rsidRPr="00EC02CA">
        <w:t>online harmful sexual behaviour</w:t>
      </w:r>
      <w:r w:rsidR="00E47B1D" w:rsidRPr="00EC02CA">
        <w:t>,</w:t>
      </w:r>
      <w:r w:rsidR="00663EDC" w:rsidRPr="00EC02CA">
        <w:t xml:space="preserve"> have emerged </w:t>
      </w:r>
      <w:r w:rsidR="00DB33CF" w:rsidRPr="00EC02CA">
        <w:t xml:space="preserve">as </w:t>
      </w:r>
      <w:r w:rsidR="003A311A" w:rsidRPr="00EC02CA">
        <w:t xml:space="preserve">a </w:t>
      </w:r>
      <w:r w:rsidR="00DB33CF" w:rsidRPr="00EC02CA">
        <w:t xml:space="preserve">complex </w:t>
      </w:r>
      <w:r w:rsidR="00CD66E8" w:rsidRPr="00EC02CA">
        <w:t>issue for young people</w:t>
      </w:r>
      <w:r w:rsidR="00DB33CF" w:rsidRPr="00EC02CA">
        <w:t xml:space="preserve">. </w:t>
      </w:r>
      <w:r w:rsidR="007C51E8" w:rsidRPr="00EC02CA">
        <w:t xml:space="preserve">Many young people voluntarily </w:t>
      </w:r>
      <w:r w:rsidR="00C74853" w:rsidRPr="00EC02CA">
        <w:t xml:space="preserve">create and share </w:t>
      </w:r>
      <w:r w:rsidR="00436032" w:rsidRPr="00EC02CA">
        <w:t xml:space="preserve">sexualised </w:t>
      </w:r>
      <w:r w:rsidR="00C74853" w:rsidRPr="00EC02CA">
        <w:t xml:space="preserve">images of </w:t>
      </w:r>
      <w:r w:rsidR="00184791" w:rsidRPr="00EC02CA">
        <w:t>themselves</w:t>
      </w:r>
      <w:r w:rsidR="00E47B1D" w:rsidRPr="00EC02CA">
        <w:t>.</w:t>
      </w:r>
      <w:r w:rsidR="002E68AE" w:rsidRPr="00EC02CA">
        <w:t xml:space="preserve"> Currently, there is a lack of </w:t>
      </w:r>
      <w:r w:rsidR="009B6B60" w:rsidRPr="00EC02CA">
        <w:t>certainty</w:t>
      </w:r>
      <w:r w:rsidR="002E68AE" w:rsidRPr="00EC02CA">
        <w:t xml:space="preserve"> in relation to</w:t>
      </w:r>
      <w:r w:rsidR="009B6B60" w:rsidRPr="00EC02CA">
        <w:t xml:space="preserve"> </w:t>
      </w:r>
      <w:r w:rsidR="005A68FD" w:rsidRPr="00EC02CA">
        <w:t>when</w:t>
      </w:r>
      <w:r w:rsidR="00C81B65" w:rsidRPr="00EC02CA">
        <w:t xml:space="preserve"> </w:t>
      </w:r>
      <w:r w:rsidR="009B6B60" w:rsidRPr="00EC02CA">
        <w:t xml:space="preserve">this </w:t>
      </w:r>
      <w:r w:rsidR="00E47B1D" w:rsidRPr="00EC02CA">
        <w:t xml:space="preserve">conduct constitutes </w:t>
      </w:r>
      <w:r w:rsidR="009B6B60" w:rsidRPr="00EC02CA">
        <w:t>a criminal offence</w:t>
      </w:r>
      <w:r w:rsidR="00C665A9" w:rsidRPr="00EC02CA">
        <w:t xml:space="preserve"> under the </w:t>
      </w:r>
      <w:r w:rsidR="00C665A9" w:rsidRPr="00EC02CA">
        <w:rPr>
          <w:i/>
        </w:rPr>
        <w:t xml:space="preserve">Criminal Code </w:t>
      </w:r>
      <w:r w:rsidR="00C665A9" w:rsidRPr="00EC02CA">
        <w:t xml:space="preserve">(Tas) </w:t>
      </w:r>
      <w:r w:rsidR="005D6B42" w:rsidRPr="00EC02CA">
        <w:t xml:space="preserve">(as well as the corresponding </w:t>
      </w:r>
      <w:r w:rsidR="00E47B1D" w:rsidRPr="00EC02CA">
        <w:t xml:space="preserve">child exploitation material offence under </w:t>
      </w:r>
      <w:r w:rsidR="00F35950" w:rsidRPr="00EC02CA">
        <w:t xml:space="preserve">the </w:t>
      </w:r>
      <w:r w:rsidR="00A65513" w:rsidRPr="00EC02CA">
        <w:rPr>
          <w:i/>
          <w:sz w:val="23"/>
          <w:szCs w:val="23"/>
        </w:rPr>
        <w:t>Classification (Publications, Films and Computer Games) Enforcement Act 1995</w:t>
      </w:r>
      <w:r w:rsidR="00A65513" w:rsidRPr="00EC02CA">
        <w:rPr>
          <w:sz w:val="23"/>
          <w:szCs w:val="23"/>
        </w:rPr>
        <w:t xml:space="preserve"> </w:t>
      </w:r>
      <w:r w:rsidR="00A65513" w:rsidRPr="00EC02CA">
        <w:t>(Tas)</w:t>
      </w:r>
      <w:r w:rsidR="005D6B42" w:rsidRPr="00EC02CA">
        <w:t>)</w:t>
      </w:r>
      <w:r w:rsidR="009B6B60" w:rsidRPr="00EC02CA">
        <w:t xml:space="preserve">. </w:t>
      </w:r>
      <w:r w:rsidR="007926CF" w:rsidRPr="00EC02CA">
        <w:t>As noted, t</w:t>
      </w:r>
      <w:r w:rsidR="000B248F" w:rsidRPr="00EC02CA">
        <w:t>he uncertainty d</w:t>
      </w:r>
      <w:r w:rsidR="00E47B1D" w:rsidRPr="00EC02CA">
        <w:t>oes</w:t>
      </w:r>
      <w:r w:rsidR="000B248F" w:rsidRPr="00EC02CA">
        <w:t xml:space="preserve"> not so much </w:t>
      </w:r>
      <w:r w:rsidR="00580C45" w:rsidRPr="00EC02CA">
        <w:t>concern the elements of the offences</w:t>
      </w:r>
      <w:r w:rsidR="00BC03D7" w:rsidRPr="00EC02CA">
        <w:t xml:space="preserve">, but the </w:t>
      </w:r>
      <w:r w:rsidR="008F5AFE" w:rsidRPr="00EC02CA">
        <w:t>implications of their respective defences.</w:t>
      </w:r>
      <w:r w:rsidR="009B6B60" w:rsidRPr="00EC02CA">
        <w:t xml:space="preserve"> </w:t>
      </w:r>
      <w:r w:rsidR="00480ADF" w:rsidRPr="00EC02CA">
        <w:t xml:space="preserve">It is a defence to a charge in relation to child exploitation material to </w:t>
      </w:r>
      <w:r w:rsidR="00C67B65" w:rsidRPr="00EC02CA">
        <w:t>prove that the material which is the subject of the charge</w:t>
      </w:r>
      <w:r w:rsidR="00480ADF" w:rsidRPr="00EC02CA">
        <w:t xml:space="preserve"> </w:t>
      </w:r>
      <w:r w:rsidR="00C67B65" w:rsidRPr="00EC02CA">
        <w:t>depicts</w:t>
      </w:r>
      <w:r w:rsidR="009B6B60" w:rsidRPr="00EC02CA">
        <w:t xml:space="preserve"> sexual activity between the accused and another young person</w:t>
      </w:r>
      <w:r w:rsidR="00764D96" w:rsidRPr="00EC02CA">
        <w:t>,</w:t>
      </w:r>
      <w:r w:rsidR="00C67B65" w:rsidRPr="00EC02CA">
        <w:rPr>
          <w:rStyle w:val="FootnoteReference"/>
        </w:rPr>
        <w:footnoteReference w:id="394"/>
      </w:r>
      <w:r w:rsidR="009B6B60" w:rsidRPr="00EC02CA">
        <w:t xml:space="preserve"> </w:t>
      </w:r>
      <w:r w:rsidR="00764D96" w:rsidRPr="00EC02CA">
        <w:t>and that the material</w:t>
      </w:r>
      <w:r w:rsidR="009B6B60" w:rsidRPr="00EC02CA">
        <w:t xml:space="preserve"> </w:t>
      </w:r>
      <w:r w:rsidR="00166E9B" w:rsidRPr="00EC02CA">
        <w:t>was not</w:t>
      </w:r>
      <w:r w:rsidR="00850995" w:rsidRPr="00EC02CA">
        <w:t xml:space="preserve"> of</w:t>
      </w:r>
      <w:r w:rsidR="00166E9B" w:rsidRPr="00EC02CA">
        <w:t xml:space="preserve"> unlawful sexual activity</w:t>
      </w:r>
      <w:r w:rsidR="00532A6D" w:rsidRPr="00EC02CA">
        <w:t>.</w:t>
      </w:r>
      <w:r w:rsidR="00E47B1D" w:rsidRPr="00EC02CA">
        <w:rPr>
          <w:rStyle w:val="FootnoteReference"/>
        </w:rPr>
        <w:footnoteReference w:id="395"/>
      </w:r>
      <w:r w:rsidR="00532A6D" w:rsidRPr="00EC02CA">
        <w:t xml:space="preserve"> </w:t>
      </w:r>
      <w:r w:rsidR="0063708C" w:rsidRPr="00EC02CA">
        <w:t>However, this defence does not apply more broadly than this. So, for example, it would not apply if a young person sent a nude photo of themselves to another young person</w:t>
      </w:r>
      <w:r w:rsidR="00E1580E" w:rsidRPr="00EC02CA">
        <w:t xml:space="preserve"> because it </w:t>
      </w:r>
      <w:r w:rsidR="00D87973" w:rsidRPr="00EC02CA">
        <w:t xml:space="preserve">not </w:t>
      </w:r>
      <w:r w:rsidR="009B5BCF" w:rsidRPr="00EC02CA">
        <w:t>‘</w:t>
      </w:r>
      <w:r w:rsidR="00916A42" w:rsidRPr="00EC02CA">
        <w:t>sexual</w:t>
      </w:r>
      <w:r w:rsidR="009B5BCF" w:rsidRPr="00EC02CA">
        <w:t xml:space="preserve"> activity</w:t>
      </w:r>
      <w:r w:rsidR="005323C9" w:rsidRPr="00EC02CA">
        <w:t>’</w:t>
      </w:r>
      <w:r w:rsidR="009B5BCF" w:rsidRPr="00EC02CA">
        <w:t xml:space="preserve"> betwee</w:t>
      </w:r>
      <w:r w:rsidR="00E62EFF" w:rsidRPr="00EC02CA">
        <w:t xml:space="preserve">n the </w:t>
      </w:r>
      <w:r w:rsidR="00916A42" w:rsidRPr="00EC02CA">
        <w:t>accused</w:t>
      </w:r>
      <w:r w:rsidR="00E62EFF" w:rsidRPr="00EC02CA">
        <w:t xml:space="preserve"> and another young person</w:t>
      </w:r>
      <w:r w:rsidR="008E10E4" w:rsidRPr="00EC02CA">
        <w:t xml:space="preserve">. </w:t>
      </w:r>
      <w:r w:rsidR="00764D96" w:rsidRPr="00EC02CA">
        <w:t xml:space="preserve">It also appears to provide a defence </w:t>
      </w:r>
      <w:r w:rsidR="00A65513" w:rsidRPr="00EC02CA">
        <w:t xml:space="preserve">to child exploitation material offences </w:t>
      </w:r>
      <w:r w:rsidR="00764D96" w:rsidRPr="00EC02CA">
        <w:t xml:space="preserve">if a young person </w:t>
      </w:r>
      <w:r w:rsidR="00CD667A" w:rsidRPr="00EC02CA">
        <w:t>records, possess</w:t>
      </w:r>
      <w:r w:rsidR="00146F23" w:rsidRPr="00EC02CA">
        <w:t>es</w:t>
      </w:r>
      <w:r w:rsidR="00CD667A" w:rsidRPr="00EC02CA">
        <w:t xml:space="preserve"> or </w:t>
      </w:r>
      <w:r w:rsidR="00385EC1" w:rsidRPr="00EC02CA">
        <w:t>accesse</w:t>
      </w:r>
      <w:r w:rsidR="005D50DE" w:rsidRPr="00EC02CA">
        <w:t xml:space="preserve">s </w:t>
      </w:r>
      <w:r w:rsidR="00D216E1" w:rsidRPr="00EC02CA">
        <w:t xml:space="preserve">material </w:t>
      </w:r>
      <w:r w:rsidR="005323C9" w:rsidRPr="00EC02CA">
        <w:t xml:space="preserve">(even </w:t>
      </w:r>
      <w:r w:rsidR="00850995" w:rsidRPr="00EC02CA">
        <w:t>without the other person’s consent</w:t>
      </w:r>
      <w:r w:rsidR="005323C9" w:rsidRPr="00EC02CA">
        <w:t>)</w:t>
      </w:r>
      <w:r w:rsidR="00850995" w:rsidRPr="00EC02CA">
        <w:t xml:space="preserve"> if it </w:t>
      </w:r>
      <w:r w:rsidR="00D216E1" w:rsidRPr="00EC02CA">
        <w:t>shows lawful sexual activity.</w:t>
      </w:r>
      <w:r w:rsidR="00D216E1" w:rsidRPr="00EC02CA">
        <w:rPr>
          <w:rStyle w:val="FootnoteReference"/>
        </w:rPr>
        <w:footnoteReference w:id="396"/>
      </w:r>
      <w:r w:rsidR="01CCB9D0" w:rsidRPr="00EC02CA">
        <w:t xml:space="preserve"> </w:t>
      </w:r>
      <w:r w:rsidR="00D216E1" w:rsidRPr="00EC02CA">
        <w:t>This</w:t>
      </w:r>
      <w:r w:rsidR="00DF0B0A" w:rsidRPr="00EC02CA">
        <w:t xml:space="preserve"> creates uncertainty </w:t>
      </w:r>
      <w:r w:rsidR="004C6D44" w:rsidRPr="00EC02CA">
        <w:t xml:space="preserve">and inconsistency in </w:t>
      </w:r>
      <w:r w:rsidR="00A573D7" w:rsidRPr="00EC02CA">
        <w:t>the</w:t>
      </w:r>
      <w:r w:rsidR="00DF0B0A" w:rsidRPr="00EC02CA">
        <w:t xml:space="preserve"> boundaries of the law</w:t>
      </w:r>
      <w:r w:rsidR="004C6D44" w:rsidRPr="00EC02CA">
        <w:t>, and makes it difficult for young people to understand the lawfulness or unlawfulness of their behaviour.</w:t>
      </w:r>
      <w:r w:rsidR="00A573D7" w:rsidRPr="00EC02CA">
        <w:t xml:space="preserve"> This </w:t>
      </w:r>
      <w:r w:rsidR="0045423C" w:rsidRPr="00EC02CA">
        <w:t xml:space="preserve">view </w:t>
      </w:r>
      <w:r w:rsidR="00A573D7" w:rsidRPr="00EC02CA">
        <w:t>was reflected in the interviews</w:t>
      </w:r>
      <w:r w:rsidR="0045423C" w:rsidRPr="00EC02CA">
        <w:t>.</w:t>
      </w:r>
    </w:p>
    <w:p w14:paraId="10728863" w14:textId="25FD44B7" w:rsidR="008516E5" w:rsidRPr="00EC02CA" w:rsidRDefault="008516E5" w:rsidP="002F0007">
      <w:pPr>
        <w:pStyle w:val="NormalNumberedTextTLRI"/>
      </w:pPr>
      <w:r w:rsidRPr="00EC02CA">
        <w:t xml:space="preserve">There are also </w:t>
      </w:r>
      <w:r w:rsidR="00792143" w:rsidRPr="00EC02CA">
        <w:t xml:space="preserve">child exploitation material </w:t>
      </w:r>
      <w:r w:rsidRPr="00EC02CA">
        <w:t xml:space="preserve">offences under the </w:t>
      </w:r>
      <w:r w:rsidR="00792143" w:rsidRPr="00EC02CA">
        <w:rPr>
          <w:i/>
        </w:rPr>
        <w:t>Criminal Co</w:t>
      </w:r>
      <w:r w:rsidR="00EA034F" w:rsidRPr="00EC02CA">
        <w:rPr>
          <w:i/>
        </w:rPr>
        <w:t>d</w:t>
      </w:r>
      <w:r w:rsidR="00792143" w:rsidRPr="00EC02CA">
        <w:rPr>
          <w:i/>
        </w:rPr>
        <w:t xml:space="preserve">e </w:t>
      </w:r>
      <w:r w:rsidR="00792143" w:rsidRPr="00EC02CA">
        <w:t xml:space="preserve">(Cth) and offences under the </w:t>
      </w:r>
      <w:r w:rsidRPr="00EC02CA">
        <w:rPr>
          <w:i/>
        </w:rPr>
        <w:t xml:space="preserve">Police Offences Act 1935 </w:t>
      </w:r>
      <w:r w:rsidRPr="00EC02CA">
        <w:t xml:space="preserve">(Tas) </w:t>
      </w:r>
      <w:r w:rsidR="005323C9" w:rsidRPr="00EC02CA">
        <w:t xml:space="preserve">ss </w:t>
      </w:r>
      <w:r w:rsidR="002B6CBD" w:rsidRPr="00EC02CA">
        <w:t xml:space="preserve">13B and </w:t>
      </w:r>
      <w:r w:rsidR="005F1E3C" w:rsidRPr="00EC02CA">
        <w:t xml:space="preserve">13C that criminalise the publication, distribution and possession of a </w:t>
      </w:r>
      <w:r w:rsidR="00D060B1" w:rsidRPr="00EC02CA">
        <w:t>prohibited</w:t>
      </w:r>
      <w:r w:rsidR="005F1E3C" w:rsidRPr="00EC02CA">
        <w:t xml:space="preserve"> visual </w:t>
      </w:r>
      <w:r w:rsidR="00D060B1" w:rsidRPr="00EC02CA">
        <w:t xml:space="preserve">recordings, as discussed at </w:t>
      </w:r>
      <w:r w:rsidR="00DA15F3" w:rsidRPr="00EC02CA">
        <w:t>[</w:t>
      </w:r>
      <w:r w:rsidR="00CA443E" w:rsidRPr="00EC02CA">
        <w:fldChar w:fldCharType="begin"/>
      </w:r>
      <w:r w:rsidR="00CA443E" w:rsidRPr="00EC02CA">
        <w:instrText xml:space="preserve"> REF _Ref218253381 \r \h </w:instrText>
      </w:r>
      <w:r w:rsidR="00CA443E" w:rsidRPr="00EC02CA">
        <w:fldChar w:fldCharType="separate"/>
      </w:r>
      <w:r w:rsidR="007D7830">
        <w:t>4.3.11</w:t>
      </w:r>
      <w:r w:rsidR="00CA443E" w:rsidRPr="00EC02CA">
        <w:fldChar w:fldCharType="end"/>
      </w:r>
      <w:r w:rsidR="00DA15F3" w:rsidRPr="00EC02CA">
        <w:t>]</w:t>
      </w:r>
      <w:r w:rsidR="00861CCE" w:rsidRPr="00EC02CA">
        <w:t xml:space="preserve">, which </w:t>
      </w:r>
      <w:r w:rsidR="1EB2272B" w:rsidRPr="00EC02CA">
        <w:t>could</w:t>
      </w:r>
      <w:r w:rsidR="00861CCE" w:rsidRPr="00EC02CA">
        <w:t xml:space="preserve"> apply to sexting</w:t>
      </w:r>
      <w:r w:rsidR="00D060B1" w:rsidRPr="00EC02CA">
        <w:t>. There are no similar age defence for these offences</w:t>
      </w:r>
      <w:r w:rsidR="00861CCE" w:rsidRPr="00EC02CA">
        <w:t xml:space="preserve"> (as set out in the </w:t>
      </w:r>
      <w:r w:rsidR="00861CCE" w:rsidRPr="00EC02CA">
        <w:rPr>
          <w:i/>
        </w:rPr>
        <w:t>Criminal Code</w:t>
      </w:r>
      <w:r w:rsidR="002512A1" w:rsidRPr="00EC02CA">
        <w:rPr>
          <w:i/>
        </w:rPr>
        <w:t xml:space="preserve"> </w:t>
      </w:r>
      <w:r w:rsidR="002512A1" w:rsidRPr="00EC02CA">
        <w:rPr>
          <w:iCs/>
        </w:rPr>
        <w:t>(Tas)</w:t>
      </w:r>
      <w:r w:rsidR="00861CCE" w:rsidRPr="00EC02CA">
        <w:t>). Further,</w:t>
      </w:r>
      <w:r w:rsidR="00D060B1" w:rsidRPr="00EC02CA">
        <w:t xml:space="preserve"> there is no</w:t>
      </w:r>
      <w:r w:rsidR="00B77034" w:rsidRPr="00EC02CA">
        <w:t xml:space="preserve"> defence or exemption relating to</w:t>
      </w:r>
      <w:r w:rsidR="00D060B1" w:rsidRPr="00EC02CA">
        <w:t xml:space="preserve"> </w:t>
      </w:r>
      <w:r w:rsidR="006951F6" w:rsidRPr="00EC02CA">
        <w:t xml:space="preserve">a </w:t>
      </w:r>
      <w:r w:rsidR="58040E37" w:rsidRPr="00EC02CA">
        <w:t>sexualised image</w:t>
      </w:r>
      <w:r w:rsidR="006951F6" w:rsidRPr="00EC02CA">
        <w:t xml:space="preserve"> </w:t>
      </w:r>
      <w:r w:rsidR="00EB48F3" w:rsidRPr="00EC02CA">
        <w:t>that a</w:t>
      </w:r>
      <w:r w:rsidR="006951F6" w:rsidRPr="00EC02CA">
        <w:t xml:space="preserve"> young </w:t>
      </w:r>
      <w:r w:rsidR="00EB48F3" w:rsidRPr="00EC02CA">
        <w:t>person</w:t>
      </w:r>
      <w:r w:rsidR="006951F6" w:rsidRPr="00EC02CA">
        <w:t xml:space="preserve"> </w:t>
      </w:r>
      <w:r w:rsidR="00EB48F3" w:rsidRPr="00EC02CA">
        <w:t xml:space="preserve">may </w:t>
      </w:r>
      <w:r w:rsidR="006951F6" w:rsidRPr="00EC02CA">
        <w:t>possess or distribute</w:t>
      </w:r>
      <w:r w:rsidR="00EB48F3" w:rsidRPr="00EC02CA">
        <w:t xml:space="preserve"> of themselves, or </w:t>
      </w:r>
      <w:r w:rsidR="00861CCE" w:rsidRPr="00EC02CA">
        <w:t xml:space="preserve">that a young person may </w:t>
      </w:r>
      <w:r w:rsidR="00EB48F3" w:rsidRPr="00EC02CA">
        <w:t xml:space="preserve">possess after </w:t>
      </w:r>
      <w:r w:rsidR="00861CCE" w:rsidRPr="00EC02CA">
        <w:t>being sent it by another young person</w:t>
      </w:r>
      <w:r w:rsidR="006951F6" w:rsidRPr="00EC02CA">
        <w:t>.</w:t>
      </w:r>
    </w:p>
    <w:p w14:paraId="172908C7" w14:textId="72C0B4C7" w:rsidR="00845DAA" w:rsidRPr="00EC02CA" w:rsidRDefault="005407AF" w:rsidP="002F0007">
      <w:pPr>
        <w:pStyle w:val="NormalNumberedTextTLRI"/>
        <w:rPr>
          <w:szCs w:val="22"/>
        </w:rPr>
      </w:pPr>
      <w:r w:rsidRPr="00EC02CA">
        <w:t>Accordingly</w:t>
      </w:r>
      <w:r w:rsidR="00850995" w:rsidRPr="00EC02CA">
        <w:t xml:space="preserve">, the TLRI’s view is that careful consideration </w:t>
      </w:r>
      <w:r w:rsidR="000A7A78" w:rsidRPr="00EC02CA">
        <w:t xml:space="preserve">is required </w:t>
      </w:r>
      <w:r w:rsidR="00850995" w:rsidRPr="00EC02CA">
        <w:t>to</w:t>
      </w:r>
      <w:r w:rsidRPr="00EC02CA">
        <w:t xml:space="preserve"> clarify the law and</w:t>
      </w:r>
      <w:r w:rsidR="00850995" w:rsidRPr="00EC02CA">
        <w:t xml:space="preserve"> ensure that the child </w:t>
      </w:r>
      <w:r w:rsidRPr="00EC02CA">
        <w:t>exploitation</w:t>
      </w:r>
      <w:r w:rsidR="00850995" w:rsidRPr="00EC02CA">
        <w:t xml:space="preserve"> mat</w:t>
      </w:r>
      <w:r w:rsidRPr="00EC02CA">
        <w:t xml:space="preserve">erial offences </w:t>
      </w:r>
      <w:r w:rsidR="00DA332E" w:rsidRPr="00EC02CA">
        <w:t xml:space="preserve">in the </w:t>
      </w:r>
      <w:r w:rsidR="00DA332E" w:rsidRPr="00EC02CA">
        <w:rPr>
          <w:i/>
          <w:iCs/>
        </w:rPr>
        <w:t xml:space="preserve">Criminal Code </w:t>
      </w:r>
      <w:r w:rsidR="00DA332E" w:rsidRPr="00EC02CA">
        <w:t xml:space="preserve">(Tas) </w:t>
      </w:r>
      <w:r w:rsidR="00861CCE" w:rsidRPr="00EC02CA">
        <w:t xml:space="preserve">and </w:t>
      </w:r>
      <w:r w:rsidR="00845DAA" w:rsidRPr="00EC02CA">
        <w:rPr>
          <w:i/>
          <w:sz w:val="23"/>
          <w:szCs w:val="23"/>
        </w:rPr>
        <w:t>Classification (Publications, Films and Computer Games) Enforcement Act 1995</w:t>
      </w:r>
      <w:r w:rsidR="00845DAA" w:rsidRPr="00EC02CA">
        <w:rPr>
          <w:sz w:val="23"/>
          <w:szCs w:val="23"/>
        </w:rPr>
        <w:t xml:space="preserve"> </w:t>
      </w:r>
      <w:r w:rsidR="00845DAA" w:rsidRPr="00EC02CA">
        <w:t>(Tas)</w:t>
      </w:r>
      <w:r w:rsidR="001843F7" w:rsidRPr="00EC02CA">
        <w:t xml:space="preserve">, as well as </w:t>
      </w:r>
      <w:r w:rsidR="00861CCE" w:rsidRPr="00EC02CA">
        <w:t>the prohibited visual record</w:t>
      </w:r>
      <w:r w:rsidR="000A7A78" w:rsidRPr="00EC02CA">
        <w:t>ing</w:t>
      </w:r>
      <w:r w:rsidR="00861CCE" w:rsidRPr="00EC02CA">
        <w:t xml:space="preserve"> offences in the </w:t>
      </w:r>
      <w:r w:rsidR="00861CCE" w:rsidRPr="00EC02CA">
        <w:rPr>
          <w:i/>
        </w:rPr>
        <w:t xml:space="preserve">Police Offences Act 1935 </w:t>
      </w:r>
      <w:r w:rsidR="00861CCE" w:rsidRPr="00EC02CA">
        <w:t>(Tas)</w:t>
      </w:r>
      <w:r w:rsidR="000A7A78" w:rsidRPr="00EC02CA">
        <w:t>,</w:t>
      </w:r>
      <w:r w:rsidR="00861CCE" w:rsidRPr="00EC02CA">
        <w:t xml:space="preserve"> </w:t>
      </w:r>
      <w:r w:rsidRPr="00EC02CA">
        <w:t xml:space="preserve">do not have unintended consequences. </w:t>
      </w:r>
      <w:r w:rsidR="00EA034F" w:rsidRPr="00EC02CA">
        <w:t xml:space="preserve">In addition, the provisions in the </w:t>
      </w:r>
      <w:r w:rsidR="00EA034F" w:rsidRPr="00EC02CA">
        <w:rPr>
          <w:i/>
        </w:rPr>
        <w:t xml:space="preserve">Criminal Code </w:t>
      </w:r>
      <w:r w:rsidR="00EA034F" w:rsidRPr="00EC02CA">
        <w:t>(Cth)</w:t>
      </w:r>
      <w:r w:rsidR="000A7A78" w:rsidRPr="00EC02CA">
        <w:t>, as they apply to young people,</w:t>
      </w:r>
      <w:r w:rsidR="00EA034F" w:rsidRPr="00EC02CA">
        <w:t xml:space="preserve"> </w:t>
      </w:r>
      <w:r w:rsidR="00AD6D46" w:rsidRPr="00EC02CA">
        <w:t xml:space="preserve">are also in need </w:t>
      </w:r>
      <w:r w:rsidR="7C3F2E9E" w:rsidRPr="00EC02CA">
        <w:t>of</w:t>
      </w:r>
      <w:r w:rsidR="00AD6D46" w:rsidRPr="00EC02CA">
        <w:t xml:space="preserve"> review. </w:t>
      </w:r>
      <w:r w:rsidR="00056218" w:rsidRPr="00EC02CA">
        <w:t>While</w:t>
      </w:r>
      <w:r w:rsidR="00932E37" w:rsidRPr="00EC02CA">
        <w:t xml:space="preserve"> it is </w:t>
      </w:r>
      <w:r w:rsidR="00056218" w:rsidRPr="00EC02CA">
        <w:t>acknowledged</w:t>
      </w:r>
      <w:r w:rsidR="00932E37" w:rsidRPr="00EC02CA">
        <w:t xml:space="preserve"> that sometimes</w:t>
      </w:r>
      <w:r w:rsidR="00056218" w:rsidRPr="00EC02CA">
        <w:t xml:space="preserve"> child exploitation offences </w:t>
      </w:r>
      <w:r w:rsidR="008C5E13" w:rsidRPr="00EC02CA">
        <w:t xml:space="preserve">and offences relating to prohibited visual recordings </w:t>
      </w:r>
      <w:r w:rsidR="00056218" w:rsidRPr="00EC02CA">
        <w:t xml:space="preserve">may reflect the criminality of a young person’s conduct, the TLRI’s view is that there is a need for reform to better address the spectrum of offending and allow for a more targeted and appropriate responses. </w:t>
      </w:r>
    </w:p>
    <w:p w14:paraId="62D66F65" w14:textId="71FA2A10" w:rsidR="000D60C5" w:rsidRPr="00EC02CA" w:rsidRDefault="005407AF" w:rsidP="002F0007">
      <w:pPr>
        <w:pStyle w:val="NormalNumberedTextTLRI"/>
        <w:rPr>
          <w:szCs w:val="22"/>
        </w:rPr>
      </w:pPr>
      <w:r w:rsidRPr="00EC02CA">
        <w:t>The approach in Tasmania can be contrasted</w:t>
      </w:r>
      <w:r w:rsidR="00AD6592" w:rsidRPr="00EC02CA">
        <w:t xml:space="preserve">, for example, </w:t>
      </w:r>
      <w:r w:rsidRPr="00EC02CA">
        <w:t xml:space="preserve">with </w:t>
      </w:r>
      <w:r w:rsidR="00AD6592" w:rsidRPr="00EC02CA">
        <w:t>the law in New South Wales</w:t>
      </w:r>
      <w:r w:rsidR="006C1D8C" w:rsidRPr="00EC02CA">
        <w:t xml:space="preserve"> </w:t>
      </w:r>
      <w:r w:rsidR="006601FD" w:rsidRPr="00EC02CA">
        <w:t xml:space="preserve">and </w:t>
      </w:r>
      <w:r w:rsidR="00325AE0" w:rsidRPr="00EC02CA">
        <w:t>Victoria</w:t>
      </w:r>
      <w:r w:rsidR="000A7A78" w:rsidRPr="00EC02CA">
        <w:t>,</w:t>
      </w:r>
      <w:r w:rsidR="006601FD" w:rsidRPr="00EC02CA">
        <w:t xml:space="preserve"> </w:t>
      </w:r>
      <w:r w:rsidR="00146F23" w:rsidRPr="00EC02CA">
        <w:t xml:space="preserve">which </w:t>
      </w:r>
      <w:r w:rsidR="006601FD" w:rsidRPr="00EC02CA">
        <w:t xml:space="preserve">expressly </w:t>
      </w:r>
      <w:r w:rsidR="009056E1" w:rsidRPr="00EC02CA">
        <w:t>protect a young person from prosecution in relation to an image of themselves.</w:t>
      </w:r>
      <w:r w:rsidR="009056E1" w:rsidRPr="00EC02CA">
        <w:rPr>
          <w:rStyle w:val="FootnoteReference"/>
        </w:rPr>
        <w:footnoteReference w:id="397"/>
      </w:r>
      <w:r w:rsidR="00572D2D" w:rsidRPr="00EC02CA">
        <w:t xml:space="preserve"> </w:t>
      </w:r>
      <w:r w:rsidR="000D60C5" w:rsidRPr="00EC02CA">
        <w:t>I</w:t>
      </w:r>
      <w:r w:rsidR="00CE17B7" w:rsidRPr="00EC02CA">
        <w:t>n New South Wales, it</w:t>
      </w:r>
      <w:r w:rsidR="000D60C5" w:rsidRPr="00EC02CA">
        <w:t xml:space="preserve"> is a defence </w:t>
      </w:r>
      <w:r w:rsidR="00DE235A" w:rsidRPr="00EC02CA">
        <w:t xml:space="preserve">to proceedings for </w:t>
      </w:r>
      <w:r w:rsidR="00954D41" w:rsidRPr="00EC02CA">
        <w:t xml:space="preserve">the possession of child exploitation material </w:t>
      </w:r>
      <w:r w:rsidR="00585560" w:rsidRPr="00EC02CA">
        <w:t xml:space="preserve">if the person </w:t>
      </w:r>
      <w:r w:rsidR="00C40923" w:rsidRPr="00EC02CA">
        <w:t>depicted</w:t>
      </w:r>
      <w:r w:rsidR="00585560" w:rsidRPr="00EC02CA">
        <w:t xml:space="preserve"> in the </w:t>
      </w:r>
      <w:r w:rsidR="00C40923" w:rsidRPr="00EC02CA">
        <w:t>material</w:t>
      </w:r>
      <w:r w:rsidR="00585560" w:rsidRPr="00EC02CA">
        <w:t xml:space="preserve"> is the accused person.</w:t>
      </w:r>
      <w:r w:rsidR="00585560" w:rsidRPr="00EC02CA">
        <w:rPr>
          <w:rStyle w:val="FootnoteReference"/>
        </w:rPr>
        <w:footnoteReference w:id="398"/>
      </w:r>
      <w:r w:rsidR="008D05B5" w:rsidRPr="00EC02CA">
        <w:t xml:space="preserve"> It is also a defence in proceedings of producing or disseminating child abuse material if the production or dissemination of the material occurred when the accused person was a child and the only person depicted in the material is the accused person.</w:t>
      </w:r>
      <w:r w:rsidR="008D05B5" w:rsidRPr="00EC02CA">
        <w:rPr>
          <w:rStyle w:val="FootnoteReference"/>
        </w:rPr>
        <w:footnoteReference w:id="399"/>
      </w:r>
      <w:r w:rsidR="00C40923" w:rsidRPr="00EC02CA">
        <w:t xml:space="preserve"> </w:t>
      </w:r>
      <w:r w:rsidR="009F08C9" w:rsidRPr="00EC02CA">
        <w:t>In</w:t>
      </w:r>
      <w:r w:rsidR="00CE17B7" w:rsidRPr="00EC02CA">
        <w:t xml:space="preserve"> </w:t>
      </w:r>
      <w:r w:rsidR="009F08C9" w:rsidRPr="00EC02CA">
        <w:t>Victoria</w:t>
      </w:r>
      <w:r w:rsidR="00CE17B7" w:rsidRPr="00EC02CA">
        <w:t xml:space="preserve">, </w:t>
      </w:r>
      <w:r w:rsidR="009F08C9" w:rsidRPr="00EC02CA">
        <w:t xml:space="preserve">there </w:t>
      </w:r>
      <w:r w:rsidR="00CE17B7" w:rsidRPr="00EC02CA">
        <w:t xml:space="preserve">is an </w:t>
      </w:r>
      <w:r w:rsidR="001613C1" w:rsidRPr="00EC02CA">
        <w:t xml:space="preserve">exception </w:t>
      </w:r>
      <w:r w:rsidR="009F08C9" w:rsidRPr="00EC02CA">
        <w:t xml:space="preserve">from </w:t>
      </w:r>
      <w:r w:rsidR="008433A4" w:rsidRPr="00EC02CA">
        <w:t xml:space="preserve">the child abuse material offences if </w:t>
      </w:r>
      <w:r w:rsidR="00BE7904" w:rsidRPr="00EC02CA">
        <w:t>a young person takes a phot</w:t>
      </w:r>
      <w:r w:rsidR="0039538A" w:rsidRPr="00EC02CA">
        <w:t>o</w:t>
      </w:r>
      <w:r w:rsidR="00BE7904" w:rsidRPr="00EC02CA">
        <w:t xml:space="preserve"> of themselves</w:t>
      </w:r>
      <w:r w:rsidR="0039538A" w:rsidRPr="00EC02CA">
        <w:t xml:space="preserve"> and stores it on their own phone</w:t>
      </w:r>
      <w:r w:rsidR="00BE7904" w:rsidRPr="00EC02CA">
        <w:t>.</w:t>
      </w:r>
      <w:r w:rsidR="0039538A" w:rsidRPr="00EC02CA">
        <w:rPr>
          <w:rStyle w:val="FootnoteReference"/>
        </w:rPr>
        <w:footnoteReference w:id="400"/>
      </w:r>
      <w:r w:rsidR="009F08C9" w:rsidRPr="00EC02CA">
        <w:t xml:space="preserve"> </w:t>
      </w:r>
      <w:r w:rsidR="005C0A56" w:rsidRPr="00EC02CA">
        <w:t>Th</w:t>
      </w:r>
      <w:r w:rsidR="004D2F7F" w:rsidRPr="00EC02CA">
        <w:t>e</w:t>
      </w:r>
      <w:r w:rsidR="005C0A56" w:rsidRPr="00EC02CA">
        <w:t>s</w:t>
      </w:r>
      <w:r w:rsidR="004D2F7F" w:rsidRPr="00EC02CA">
        <w:t>e types of</w:t>
      </w:r>
      <w:r w:rsidR="005C0A56" w:rsidRPr="00EC02CA">
        <w:t xml:space="preserve"> </w:t>
      </w:r>
      <w:r w:rsidR="0054723D" w:rsidRPr="00EC02CA">
        <w:t xml:space="preserve">clear </w:t>
      </w:r>
      <w:r w:rsidR="00C86E58" w:rsidRPr="00EC02CA">
        <w:t>ex</w:t>
      </w:r>
      <w:r w:rsidR="001613C1" w:rsidRPr="00EC02CA">
        <w:t>c</w:t>
      </w:r>
      <w:r w:rsidR="00C86E58" w:rsidRPr="00EC02CA">
        <w:t xml:space="preserve">eptions and </w:t>
      </w:r>
      <w:r w:rsidR="0054723D" w:rsidRPr="00EC02CA">
        <w:t>defences</w:t>
      </w:r>
      <w:r w:rsidR="005C0A56" w:rsidRPr="00EC02CA">
        <w:t xml:space="preserve"> may assist </w:t>
      </w:r>
      <w:r w:rsidR="00FC0A71" w:rsidRPr="00EC02CA">
        <w:t xml:space="preserve">to clarify the law in relation to </w:t>
      </w:r>
      <w:r w:rsidR="00C86E58" w:rsidRPr="00EC02CA">
        <w:t xml:space="preserve">a young person </w:t>
      </w:r>
      <w:r w:rsidR="00FC0A71" w:rsidRPr="00EC02CA">
        <w:t xml:space="preserve">taking and sending a nude photograph of </w:t>
      </w:r>
      <w:r w:rsidR="00491C85" w:rsidRPr="00EC02CA">
        <w:t>themselves</w:t>
      </w:r>
      <w:r w:rsidR="00C86E58" w:rsidRPr="00EC02CA">
        <w:t xml:space="preserve">, </w:t>
      </w:r>
      <w:r w:rsidR="00FC0A71" w:rsidRPr="00EC02CA">
        <w:t xml:space="preserve">and so </w:t>
      </w:r>
      <w:r w:rsidR="005C0A56" w:rsidRPr="00EC02CA">
        <w:t xml:space="preserve">address some of the concerns that young people have about reporting </w:t>
      </w:r>
      <w:r w:rsidR="004D2F7F" w:rsidRPr="00EC02CA">
        <w:t>online sexual abuse by other young people</w:t>
      </w:r>
      <w:r w:rsidR="00FC0A71" w:rsidRPr="00EC02CA">
        <w:t>.</w:t>
      </w:r>
    </w:p>
    <w:p w14:paraId="32D6DB4B" w14:textId="16D0D2F1" w:rsidR="00A276B7" w:rsidRPr="00EC02CA" w:rsidRDefault="009A62C3" w:rsidP="002F0007">
      <w:pPr>
        <w:pStyle w:val="NormalNumberedTextTLRI"/>
      </w:pPr>
      <w:r w:rsidRPr="00EC02CA">
        <w:t xml:space="preserve">There is also a need to </w:t>
      </w:r>
      <w:r w:rsidR="00853E3A" w:rsidRPr="00EC02CA">
        <w:t xml:space="preserve">clarify the law as it applies to a young person who has been sent a </w:t>
      </w:r>
      <w:r w:rsidR="7A5F79C2" w:rsidRPr="00EC02CA">
        <w:t>sexual</w:t>
      </w:r>
      <w:r w:rsidR="00853E3A" w:rsidRPr="00EC02CA">
        <w:t xml:space="preserve"> image </w:t>
      </w:r>
      <w:r w:rsidR="0058200D" w:rsidRPr="00EC02CA">
        <w:t xml:space="preserve">that was consensually taken and </w:t>
      </w:r>
      <w:r w:rsidR="00ED0B22" w:rsidRPr="00EC02CA">
        <w:t>distributed</w:t>
      </w:r>
      <w:r w:rsidR="0058200D" w:rsidRPr="00EC02CA">
        <w:t xml:space="preserve"> by</w:t>
      </w:r>
      <w:r w:rsidR="00853E3A" w:rsidRPr="00EC02CA">
        <w:t xml:space="preserve"> another young person</w:t>
      </w:r>
      <w:r w:rsidR="0058200D" w:rsidRPr="00EC02CA">
        <w:t xml:space="preserve"> (depicted in the image)</w:t>
      </w:r>
      <w:r w:rsidR="00853E3A" w:rsidRPr="00EC02CA">
        <w:t>.</w:t>
      </w:r>
      <w:r w:rsidR="005A6146" w:rsidRPr="00EC02CA">
        <w:t xml:space="preserve"> </w:t>
      </w:r>
      <w:r w:rsidR="0058200D" w:rsidRPr="00EC02CA">
        <w:t>I</w:t>
      </w:r>
      <w:r w:rsidR="005A6146" w:rsidRPr="00EC02CA">
        <w:t>n Victoria, there is a</w:t>
      </w:r>
      <w:r w:rsidR="001613C1" w:rsidRPr="00EC02CA">
        <w:t>n exception</w:t>
      </w:r>
      <w:r w:rsidR="005A6146" w:rsidRPr="00EC02CA">
        <w:t xml:space="preserve"> that applies in relation to </w:t>
      </w:r>
      <w:r w:rsidR="000B075F" w:rsidRPr="00EC02CA">
        <w:t xml:space="preserve">the child abuse material offences where the </w:t>
      </w:r>
      <w:r w:rsidR="00416027" w:rsidRPr="00EC02CA">
        <w:t>accused</w:t>
      </w:r>
      <w:r w:rsidR="00C86E58" w:rsidRPr="00EC02CA">
        <w:t xml:space="preserve"> i</w:t>
      </w:r>
      <w:r w:rsidR="00416027" w:rsidRPr="00EC02CA">
        <w:t xml:space="preserve">s </w:t>
      </w:r>
      <w:r w:rsidR="00C86E58" w:rsidRPr="00EC02CA">
        <w:t xml:space="preserve">aged </w:t>
      </w:r>
      <w:r w:rsidR="00416027" w:rsidRPr="00EC02CA">
        <w:t>under 1</w:t>
      </w:r>
      <w:r w:rsidR="00DF6ADA" w:rsidRPr="00EC02CA">
        <w:t>8</w:t>
      </w:r>
      <w:r w:rsidR="00C86E58" w:rsidRPr="00EC02CA">
        <w:t>, and</w:t>
      </w:r>
      <w:r w:rsidR="00A276B7" w:rsidRPr="00EC02CA">
        <w:t>:</w:t>
      </w:r>
    </w:p>
    <w:p w14:paraId="77F70CA9" w14:textId="7CC0795E" w:rsidR="00A276B7" w:rsidRPr="00EC02CA" w:rsidRDefault="00A276B7" w:rsidP="00A276B7">
      <w:pPr>
        <w:pStyle w:val="DotPointTLRI"/>
      </w:pPr>
      <w:r w:rsidRPr="00EC02CA">
        <w:t>the</w:t>
      </w:r>
      <w:r w:rsidR="0071144B" w:rsidRPr="00EC02CA">
        <w:t xml:space="preserve"> child abuse </w:t>
      </w:r>
      <w:r w:rsidR="005A6146" w:rsidRPr="00EC02CA">
        <w:t xml:space="preserve">image </w:t>
      </w:r>
      <w:r w:rsidRPr="00EC02CA">
        <w:t>depict</w:t>
      </w:r>
      <w:r w:rsidR="00C86E58" w:rsidRPr="00EC02CA">
        <w:t>s</w:t>
      </w:r>
      <w:r w:rsidRPr="00EC02CA">
        <w:t xml:space="preserve"> one or more persons (whether or not it depicts the accused)</w:t>
      </w:r>
      <w:r w:rsidR="00C86E58" w:rsidRPr="00EC02CA">
        <w:t>;</w:t>
      </w:r>
      <w:r w:rsidRPr="00EC02CA">
        <w:t xml:space="preserve"> and</w:t>
      </w:r>
    </w:p>
    <w:p w14:paraId="75FB7BAF" w14:textId="0A26FBAD" w:rsidR="00D118AE" w:rsidRPr="00EC02CA" w:rsidRDefault="00A276B7" w:rsidP="00A276B7">
      <w:pPr>
        <w:pStyle w:val="DotPointTLRI"/>
      </w:pPr>
      <w:r w:rsidRPr="00EC02CA">
        <w:t>the image does</w:t>
      </w:r>
      <w:r w:rsidR="00B72CD5" w:rsidRPr="00EC02CA">
        <w:t xml:space="preserve"> not depict an act that is a </w:t>
      </w:r>
      <w:r w:rsidR="00BE345C" w:rsidRPr="00EC02CA">
        <w:t>criminal</w:t>
      </w:r>
      <w:r w:rsidR="00B72CD5" w:rsidRPr="00EC02CA">
        <w:t xml:space="preserve"> offence punishable by </w:t>
      </w:r>
      <w:r w:rsidR="00BE345C" w:rsidRPr="00EC02CA">
        <w:t>imprisonment</w:t>
      </w:r>
      <w:r w:rsidR="00C86E58" w:rsidRPr="00EC02CA">
        <w:t>,</w:t>
      </w:r>
      <w:r w:rsidR="00B72CD5" w:rsidRPr="00EC02CA">
        <w:t xml:space="preserve"> </w:t>
      </w:r>
      <w:r w:rsidR="00AC3E86" w:rsidRPr="00EC02CA">
        <w:t xml:space="preserve">or </w:t>
      </w:r>
      <w:r w:rsidR="00C86E58" w:rsidRPr="00EC02CA">
        <w:t xml:space="preserve">it </w:t>
      </w:r>
      <w:r w:rsidR="002A2E25" w:rsidRPr="00EC02CA">
        <w:t>depict</w:t>
      </w:r>
      <w:r w:rsidR="00C86E58" w:rsidRPr="00EC02CA">
        <w:t>s</w:t>
      </w:r>
      <w:r w:rsidR="00AC3E86" w:rsidRPr="00EC02CA">
        <w:t xml:space="preserve"> an act that is a criminal offence </w:t>
      </w:r>
      <w:r w:rsidR="002A2E25" w:rsidRPr="00EC02CA">
        <w:t>punishable</w:t>
      </w:r>
      <w:r w:rsidR="00AC3E86" w:rsidRPr="00EC02CA">
        <w:t xml:space="preserve"> by </w:t>
      </w:r>
      <w:r w:rsidR="002A2E25" w:rsidRPr="00EC02CA">
        <w:t>imprisonment</w:t>
      </w:r>
      <w:r w:rsidR="00C73B99" w:rsidRPr="00EC02CA">
        <w:t>,</w:t>
      </w:r>
      <w:r w:rsidR="00AC3E86" w:rsidRPr="00EC02CA">
        <w:t xml:space="preserve"> but the accused reasonably beli</w:t>
      </w:r>
      <w:r w:rsidR="002A2E25" w:rsidRPr="00EC02CA">
        <w:t>ev</w:t>
      </w:r>
      <w:r w:rsidR="00AC3E86" w:rsidRPr="00EC02CA">
        <w:t>es that it does not</w:t>
      </w:r>
      <w:r w:rsidR="00C86E58" w:rsidRPr="00EC02CA">
        <w:t>;</w:t>
      </w:r>
      <w:r w:rsidR="00D118AE" w:rsidRPr="00EC02CA">
        <w:t xml:space="preserve"> and</w:t>
      </w:r>
    </w:p>
    <w:p w14:paraId="3AAD0888" w14:textId="1491D70B" w:rsidR="00D118AE" w:rsidRPr="00EC02CA" w:rsidRDefault="00D118AE" w:rsidP="00A276B7">
      <w:pPr>
        <w:pStyle w:val="DotPointTLRI"/>
      </w:pPr>
      <w:r w:rsidRPr="00EC02CA">
        <w:t xml:space="preserve">at the time the conduct constituting the </w:t>
      </w:r>
      <w:r w:rsidR="007C79B6" w:rsidRPr="00EC02CA">
        <w:t>child</w:t>
      </w:r>
      <w:r w:rsidRPr="00EC02CA">
        <w:t xml:space="preserve"> </w:t>
      </w:r>
      <w:r w:rsidR="007C79B6" w:rsidRPr="00EC02CA">
        <w:t>a</w:t>
      </w:r>
      <w:r w:rsidRPr="00EC02CA">
        <w:t xml:space="preserve">buse material </w:t>
      </w:r>
      <w:r w:rsidR="007C79B6" w:rsidRPr="00EC02CA">
        <w:t>offence</w:t>
      </w:r>
      <w:r w:rsidRPr="00EC02CA">
        <w:t>, the accuse</w:t>
      </w:r>
      <w:r w:rsidR="007C79B6" w:rsidRPr="00EC02CA">
        <w:t>d</w:t>
      </w:r>
      <w:r w:rsidRPr="00EC02CA">
        <w:t xml:space="preserve"> was not more than two years older that the </w:t>
      </w:r>
      <w:r w:rsidR="007C79B6" w:rsidRPr="00EC02CA">
        <w:t>youngest</w:t>
      </w:r>
      <w:r w:rsidRPr="00EC02CA">
        <w:t xml:space="preserve"> person </w:t>
      </w:r>
      <w:r w:rsidR="00C86E58" w:rsidRPr="00EC02CA">
        <w:t xml:space="preserve">depicted </w:t>
      </w:r>
      <w:r w:rsidR="007C79B6" w:rsidRPr="00EC02CA">
        <w:t>in the image</w:t>
      </w:r>
      <w:r w:rsidR="00C86E58" w:rsidRPr="00EC02CA">
        <w:t>,</w:t>
      </w:r>
      <w:r w:rsidR="007C79B6" w:rsidRPr="00EC02CA">
        <w:t xml:space="preserve"> or if the accused reasonably believe</w:t>
      </w:r>
      <w:r w:rsidR="00C86E58" w:rsidRPr="00EC02CA">
        <w:t>d</w:t>
      </w:r>
      <w:r w:rsidR="007C79B6" w:rsidRPr="00EC02CA">
        <w:t xml:space="preserve"> that they were not more than 2 years older than the youngest child depicted in the image.</w:t>
      </w:r>
      <w:r w:rsidR="007C79B6" w:rsidRPr="00EC02CA">
        <w:rPr>
          <w:rStyle w:val="FootnoteReference"/>
        </w:rPr>
        <w:t xml:space="preserve"> </w:t>
      </w:r>
      <w:r w:rsidR="007C79B6" w:rsidRPr="00EC02CA">
        <w:rPr>
          <w:rStyle w:val="FootnoteReference"/>
        </w:rPr>
        <w:footnoteReference w:id="401"/>
      </w:r>
    </w:p>
    <w:p w14:paraId="6893BBF7" w14:textId="401C651B" w:rsidR="0058200D" w:rsidRPr="00EC02CA" w:rsidRDefault="007C79B6" w:rsidP="00A920EC">
      <w:pPr>
        <w:pStyle w:val="NormalNumberedTextTLRI"/>
      </w:pPr>
      <w:r w:rsidRPr="00EC02CA">
        <w:t xml:space="preserve">The </w:t>
      </w:r>
      <w:r w:rsidR="000071AB" w:rsidRPr="00EC02CA">
        <w:t>example</w:t>
      </w:r>
      <w:r w:rsidRPr="00EC02CA">
        <w:t xml:space="preserve"> </w:t>
      </w:r>
      <w:r w:rsidR="001613C1" w:rsidRPr="00EC02CA">
        <w:t xml:space="preserve">of this exception </w:t>
      </w:r>
      <w:r w:rsidRPr="00EC02CA">
        <w:t xml:space="preserve">provided </w:t>
      </w:r>
      <w:r w:rsidR="00C86E58" w:rsidRPr="00EC02CA">
        <w:t>in the legi</w:t>
      </w:r>
      <w:r w:rsidR="001613C1" w:rsidRPr="00EC02CA">
        <w:t xml:space="preserve">slation is </w:t>
      </w:r>
      <w:r w:rsidRPr="00EC02CA">
        <w:t xml:space="preserve">where the image </w:t>
      </w:r>
      <w:r w:rsidR="000071AB" w:rsidRPr="00EC02CA">
        <w:t>depicts</w:t>
      </w:r>
      <w:r w:rsidRPr="00EC02CA">
        <w:t xml:space="preserve"> the accused taking part in an</w:t>
      </w:r>
      <w:r w:rsidR="000071AB" w:rsidRPr="00EC02CA">
        <w:t xml:space="preserve"> </w:t>
      </w:r>
      <w:r w:rsidRPr="00EC02CA">
        <w:t>act of sexua</w:t>
      </w:r>
      <w:r w:rsidR="000071AB" w:rsidRPr="00EC02CA">
        <w:t>l penetration</w:t>
      </w:r>
      <w:r w:rsidRPr="00EC02CA">
        <w:t xml:space="preserve"> with </w:t>
      </w:r>
      <w:r w:rsidR="000071AB" w:rsidRPr="00EC02CA">
        <w:t>another</w:t>
      </w:r>
      <w:r w:rsidRPr="00EC02CA">
        <w:t xml:space="preserve"> child who is not more than 2 years younger</w:t>
      </w:r>
      <w:r w:rsidR="00C86E58" w:rsidRPr="00EC02CA">
        <w:t>, and b</w:t>
      </w:r>
      <w:r w:rsidR="000071AB" w:rsidRPr="00EC02CA">
        <w:t>oth</w:t>
      </w:r>
      <w:r w:rsidRPr="00EC02CA">
        <w:t xml:space="preserve"> are consent</w:t>
      </w:r>
      <w:r w:rsidR="00536A23" w:rsidRPr="00EC02CA">
        <w:t>ing</w:t>
      </w:r>
      <w:r w:rsidRPr="00EC02CA">
        <w:t xml:space="preserve"> to the act.</w:t>
      </w:r>
      <w:r w:rsidRPr="00EC02CA">
        <w:rPr>
          <w:rStyle w:val="FootnoteReference"/>
        </w:rPr>
        <w:footnoteReference w:id="402"/>
      </w:r>
      <w:r w:rsidRPr="00EC02CA">
        <w:t xml:space="preserve"> </w:t>
      </w:r>
    </w:p>
    <w:p w14:paraId="4B8205AD" w14:textId="1C5F9D78" w:rsidR="0063708C" w:rsidRPr="00EC02CA" w:rsidRDefault="00E706FB" w:rsidP="002F0007">
      <w:pPr>
        <w:pStyle w:val="NormalNumberedTextTLRI"/>
      </w:pPr>
      <w:r w:rsidRPr="00EC02CA">
        <w:t xml:space="preserve">In New South Wales, there is no ‘similar age’ defence for images of consensual sexual activity (as exists in Tasmania). However, the </w:t>
      </w:r>
      <w:r w:rsidRPr="00EC02CA">
        <w:rPr>
          <w:i/>
          <w:iCs/>
        </w:rPr>
        <w:t xml:space="preserve">Crimes Act </w:t>
      </w:r>
      <w:r w:rsidR="00F936CE" w:rsidRPr="00EC02CA">
        <w:rPr>
          <w:i/>
          <w:iCs/>
        </w:rPr>
        <w:t>1900</w:t>
      </w:r>
      <w:r w:rsidR="00255048" w:rsidRPr="00EC02CA">
        <w:rPr>
          <w:i/>
          <w:iCs/>
        </w:rPr>
        <w:t xml:space="preserve"> </w:t>
      </w:r>
      <w:r w:rsidR="00255048" w:rsidRPr="00EC02CA">
        <w:t>(NSW) s 91HB creates an ex</w:t>
      </w:r>
      <w:r w:rsidR="00C20011" w:rsidRPr="00EC02CA">
        <w:t>c</w:t>
      </w:r>
      <w:r w:rsidR="00255048" w:rsidRPr="00EC02CA">
        <w:t xml:space="preserve">eption </w:t>
      </w:r>
      <w:r w:rsidR="006B44F2" w:rsidRPr="00EC02CA">
        <w:t xml:space="preserve">(rather than a defence) </w:t>
      </w:r>
      <w:r w:rsidR="00255048" w:rsidRPr="00EC02CA">
        <w:t xml:space="preserve">that </w:t>
      </w:r>
      <w:r w:rsidR="00AF44FC" w:rsidRPr="00EC02CA">
        <w:t>applies</w:t>
      </w:r>
      <w:r w:rsidR="00255048" w:rsidRPr="00EC02CA">
        <w:t xml:space="preserve"> in this </w:t>
      </w:r>
      <w:r w:rsidR="006A7FD8" w:rsidRPr="00EC02CA">
        <w:t>circumstance</w:t>
      </w:r>
      <w:r w:rsidR="00255048" w:rsidRPr="00EC02CA">
        <w:t xml:space="preserve">, as well as </w:t>
      </w:r>
      <w:r w:rsidR="006A7FD8" w:rsidRPr="00EC02CA">
        <w:t>in relation</w:t>
      </w:r>
      <w:r w:rsidR="00255048" w:rsidRPr="00EC02CA">
        <w:t xml:space="preserve"> to other </w:t>
      </w:r>
      <w:r w:rsidR="006A7FD8" w:rsidRPr="00EC02CA">
        <w:t>consensually</w:t>
      </w:r>
      <w:r w:rsidR="00255048" w:rsidRPr="00EC02CA">
        <w:t xml:space="preserve"> shared images</w:t>
      </w:r>
      <w:r w:rsidR="006A7FD8" w:rsidRPr="00EC02CA">
        <w:t xml:space="preserve">. This </w:t>
      </w:r>
      <w:r w:rsidR="00C20011" w:rsidRPr="00EC02CA">
        <w:t xml:space="preserve">exception </w:t>
      </w:r>
      <w:r w:rsidR="00255048" w:rsidRPr="00EC02CA">
        <w:t xml:space="preserve">provides that a </w:t>
      </w:r>
      <w:r w:rsidR="006A7FD8" w:rsidRPr="00EC02CA">
        <w:t>person</w:t>
      </w:r>
      <w:r w:rsidR="00255048" w:rsidRPr="00EC02CA">
        <w:t xml:space="preserve"> does not commit an offence in relation to the </w:t>
      </w:r>
      <w:r w:rsidR="006A7FD8" w:rsidRPr="00EC02CA">
        <w:t>possession</w:t>
      </w:r>
      <w:r w:rsidR="00255048" w:rsidRPr="00EC02CA">
        <w:t xml:space="preserve"> of child abuse </w:t>
      </w:r>
      <w:r w:rsidR="006A7FD8" w:rsidRPr="00EC02CA">
        <w:t>material</w:t>
      </w:r>
      <w:r w:rsidR="00255048" w:rsidRPr="00EC02CA">
        <w:t xml:space="preserve"> if: </w:t>
      </w:r>
    </w:p>
    <w:p w14:paraId="7ED226BB" w14:textId="20AEB8AF" w:rsidR="009B09A5" w:rsidRPr="00EC02CA" w:rsidRDefault="00AB1A78" w:rsidP="00A920EC">
      <w:pPr>
        <w:pStyle w:val="Indentedquote"/>
        <w:ind w:left="1146" w:hanging="426"/>
        <w:rPr>
          <w:lang w:eastAsia="en-AU"/>
        </w:rPr>
      </w:pPr>
      <w:r w:rsidRPr="00EC02CA">
        <w:rPr>
          <w:lang w:eastAsia="en-AU"/>
        </w:rPr>
        <w:t xml:space="preserve">(a) </w:t>
      </w:r>
      <w:r w:rsidR="00C20011" w:rsidRPr="00EC02CA">
        <w:rPr>
          <w:lang w:eastAsia="en-AU"/>
        </w:rPr>
        <w:tab/>
      </w:r>
      <w:r w:rsidRPr="00EC02CA">
        <w:rPr>
          <w:lang w:eastAsia="en-AU"/>
        </w:rPr>
        <w:t>t</w:t>
      </w:r>
      <w:r w:rsidR="009B09A5" w:rsidRPr="00EC02CA">
        <w:rPr>
          <w:lang w:eastAsia="en-AU"/>
        </w:rPr>
        <w:t>he possession of the material occurred when the accused person was a child, and</w:t>
      </w:r>
    </w:p>
    <w:p w14:paraId="5F24DAA7" w14:textId="4AB07139" w:rsidR="009B09A5" w:rsidRPr="00EC02CA" w:rsidRDefault="009B09A5" w:rsidP="00A920EC">
      <w:pPr>
        <w:pStyle w:val="Indentedquote"/>
        <w:ind w:left="1146" w:hanging="426"/>
        <w:rPr>
          <w:lang w:eastAsia="en-AU"/>
        </w:rPr>
      </w:pPr>
      <w:r w:rsidRPr="00EC02CA">
        <w:rPr>
          <w:lang w:eastAsia="en-AU"/>
        </w:rPr>
        <w:t>(b)  </w:t>
      </w:r>
      <w:r w:rsidR="00C20011" w:rsidRPr="00EC02CA">
        <w:rPr>
          <w:lang w:eastAsia="en-AU"/>
        </w:rPr>
        <w:tab/>
      </w:r>
      <w:r w:rsidRPr="00EC02CA">
        <w:rPr>
          <w:lang w:eastAsia="en-AU"/>
        </w:rPr>
        <w:t>a reasonable person would consider the possession of the material by the accused person as acceptable having regard to each of the following (to the extent relevant)—</w:t>
      </w:r>
    </w:p>
    <w:p w14:paraId="23E5294A" w14:textId="393991F9" w:rsidR="009B09A5" w:rsidRPr="00EC02CA" w:rsidRDefault="009B09A5" w:rsidP="00A920EC">
      <w:pPr>
        <w:pStyle w:val="Indentedquote"/>
        <w:ind w:left="1572" w:hanging="426"/>
        <w:rPr>
          <w:lang w:eastAsia="en-AU"/>
        </w:rPr>
      </w:pPr>
      <w:r w:rsidRPr="00EC02CA">
        <w:rPr>
          <w:lang w:eastAsia="en-AU"/>
        </w:rPr>
        <w:t>(i)  </w:t>
      </w:r>
      <w:r w:rsidR="00E83EC7" w:rsidRPr="00EC02CA">
        <w:rPr>
          <w:lang w:eastAsia="en-AU"/>
        </w:rPr>
        <w:tab/>
      </w:r>
      <w:r w:rsidRPr="00EC02CA">
        <w:rPr>
          <w:lang w:eastAsia="en-AU"/>
        </w:rPr>
        <w:t>the nature and content of the material,</w:t>
      </w:r>
    </w:p>
    <w:p w14:paraId="296DAF96" w14:textId="6E035BF3" w:rsidR="009B09A5" w:rsidRPr="00EC02CA" w:rsidRDefault="009B09A5" w:rsidP="00A920EC">
      <w:pPr>
        <w:pStyle w:val="Indentedquote"/>
        <w:ind w:left="1572" w:hanging="426"/>
        <w:rPr>
          <w:lang w:eastAsia="en-AU"/>
        </w:rPr>
      </w:pPr>
      <w:r w:rsidRPr="00EC02CA">
        <w:rPr>
          <w:lang w:eastAsia="en-AU"/>
        </w:rPr>
        <w:t>(ii)  </w:t>
      </w:r>
      <w:r w:rsidR="00E83EC7" w:rsidRPr="00EC02CA">
        <w:rPr>
          <w:lang w:eastAsia="en-AU"/>
        </w:rPr>
        <w:tab/>
      </w:r>
      <w:r w:rsidRPr="00EC02CA">
        <w:rPr>
          <w:lang w:eastAsia="en-AU"/>
        </w:rPr>
        <w:t>the circumstances in which the material was produced and came into the possession of the accused person,</w:t>
      </w:r>
    </w:p>
    <w:p w14:paraId="6FF5CDB4" w14:textId="25D731D9" w:rsidR="009B09A5" w:rsidRPr="00EC02CA" w:rsidRDefault="009B09A5" w:rsidP="00A920EC">
      <w:pPr>
        <w:pStyle w:val="Indentedquote"/>
        <w:ind w:left="1572" w:hanging="426"/>
        <w:rPr>
          <w:lang w:eastAsia="en-AU"/>
        </w:rPr>
      </w:pPr>
      <w:r w:rsidRPr="00EC02CA">
        <w:rPr>
          <w:lang w:eastAsia="en-AU"/>
        </w:rPr>
        <w:t>(iii)  </w:t>
      </w:r>
      <w:r w:rsidR="00E83EC7" w:rsidRPr="00EC02CA">
        <w:rPr>
          <w:lang w:eastAsia="en-AU"/>
        </w:rPr>
        <w:tab/>
      </w:r>
      <w:r w:rsidRPr="00EC02CA">
        <w:rPr>
          <w:lang w:eastAsia="en-AU"/>
        </w:rPr>
        <w:t>the age, intellectual capacity, vulnerability or other relevant circumstances of the child depicted in the material,</w:t>
      </w:r>
    </w:p>
    <w:p w14:paraId="43E165C8" w14:textId="77777777" w:rsidR="009B09A5" w:rsidRPr="00EC02CA" w:rsidRDefault="009B09A5" w:rsidP="00A920EC">
      <w:pPr>
        <w:pStyle w:val="Indentedquote"/>
        <w:ind w:left="1572" w:hanging="426"/>
        <w:rPr>
          <w:lang w:eastAsia="en-AU"/>
        </w:rPr>
      </w:pPr>
      <w:r w:rsidRPr="00EC02CA">
        <w:rPr>
          <w:lang w:eastAsia="en-AU"/>
        </w:rPr>
        <w:t>(iv)  the age, intellectual capacity, vulnerability or other relevant circumstances of the accused person at the time the accused person first came into possession of the material and at the time that the accused person’s possession of the material first came to the attention of a police officer,</w:t>
      </w:r>
    </w:p>
    <w:p w14:paraId="6A4EBE7E" w14:textId="42ECDD5E" w:rsidR="009B09A5" w:rsidRPr="00EC02CA" w:rsidRDefault="009B09A5" w:rsidP="00A920EC">
      <w:pPr>
        <w:pStyle w:val="Indentedquote"/>
        <w:ind w:left="1572" w:hanging="426"/>
        <w:rPr>
          <w:lang w:eastAsia="en-AU"/>
        </w:rPr>
      </w:pPr>
      <w:r w:rsidRPr="00EC02CA">
        <w:rPr>
          <w:lang w:eastAsia="en-AU"/>
        </w:rPr>
        <w:t>(v)  </w:t>
      </w:r>
      <w:r w:rsidR="00E83EC7" w:rsidRPr="00EC02CA">
        <w:rPr>
          <w:lang w:eastAsia="en-AU"/>
        </w:rPr>
        <w:tab/>
      </w:r>
      <w:r w:rsidRPr="00EC02CA">
        <w:rPr>
          <w:lang w:eastAsia="en-AU"/>
        </w:rPr>
        <w:t>the relationship between the accused person and the child depicted in the material.</w:t>
      </w:r>
      <w:r w:rsidR="0062167A" w:rsidRPr="00EC02CA">
        <w:rPr>
          <w:rStyle w:val="FootnoteReference"/>
          <w:lang w:eastAsia="en-AU"/>
        </w:rPr>
        <w:footnoteReference w:id="403"/>
      </w:r>
    </w:p>
    <w:p w14:paraId="533675C9" w14:textId="1B28C436" w:rsidR="00C539FF" w:rsidRPr="00EC02CA" w:rsidRDefault="00AB1A78" w:rsidP="002F0007">
      <w:pPr>
        <w:pStyle w:val="NormalNumberedTextTLRI"/>
        <w:rPr>
          <w:lang w:eastAsia="en-AU"/>
        </w:rPr>
      </w:pPr>
      <w:r w:rsidRPr="00EC02CA">
        <w:rPr>
          <w:lang w:eastAsia="en-AU"/>
        </w:rPr>
        <w:t>This ex</w:t>
      </w:r>
      <w:r w:rsidR="00E83EC7" w:rsidRPr="00EC02CA">
        <w:rPr>
          <w:lang w:eastAsia="en-AU"/>
        </w:rPr>
        <w:t>c</w:t>
      </w:r>
      <w:r w:rsidRPr="00EC02CA">
        <w:rPr>
          <w:lang w:eastAsia="en-AU"/>
        </w:rPr>
        <w:t>eption applies more broadly tha</w:t>
      </w:r>
      <w:r w:rsidR="00A80B63" w:rsidRPr="00EC02CA">
        <w:rPr>
          <w:lang w:eastAsia="en-AU"/>
        </w:rPr>
        <w:t>n</w:t>
      </w:r>
      <w:r w:rsidRPr="00EC02CA">
        <w:rPr>
          <w:lang w:eastAsia="en-AU"/>
        </w:rPr>
        <w:t xml:space="preserve"> the defences in Tasmania, and allows for a discretion to be exercised to </w:t>
      </w:r>
      <w:r w:rsidR="0038109B" w:rsidRPr="00EC02CA">
        <w:rPr>
          <w:lang w:eastAsia="en-AU"/>
        </w:rPr>
        <w:t xml:space="preserve">take into account the context in which the image was obtained to determine if it is </w:t>
      </w:r>
      <w:r w:rsidR="002A556A" w:rsidRPr="00EC02CA">
        <w:rPr>
          <w:lang w:eastAsia="en-AU"/>
        </w:rPr>
        <w:t xml:space="preserve">acceptable. </w:t>
      </w:r>
      <w:r w:rsidR="004929A9" w:rsidRPr="00EC02CA">
        <w:rPr>
          <w:lang w:eastAsia="en-AU"/>
        </w:rPr>
        <w:t xml:space="preserve">This provision was </w:t>
      </w:r>
      <w:r w:rsidR="00C907EF" w:rsidRPr="00EC02CA">
        <w:rPr>
          <w:lang w:eastAsia="en-AU"/>
        </w:rPr>
        <w:t xml:space="preserve">introduced in New South Wales </w:t>
      </w:r>
      <w:r w:rsidR="00CE5F65" w:rsidRPr="00EC02CA">
        <w:rPr>
          <w:lang w:eastAsia="en-AU"/>
        </w:rPr>
        <w:t xml:space="preserve">to create an </w:t>
      </w:r>
      <w:r w:rsidR="005520A8" w:rsidRPr="00EC02CA">
        <w:rPr>
          <w:lang w:eastAsia="en-AU"/>
        </w:rPr>
        <w:t xml:space="preserve">exception </w:t>
      </w:r>
      <w:r w:rsidR="00E248F5" w:rsidRPr="00EC02CA">
        <w:rPr>
          <w:lang w:eastAsia="en-AU"/>
        </w:rPr>
        <w:t>‘targeted</w:t>
      </w:r>
      <w:r w:rsidR="005520A8" w:rsidRPr="00EC02CA">
        <w:rPr>
          <w:lang w:eastAsia="en-AU"/>
        </w:rPr>
        <w:t xml:space="preserve"> at the recipient</w:t>
      </w:r>
      <w:r w:rsidR="00CE5F65" w:rsidRPr="00EC02CA">
        <w:rPr>
          <w:lang w:eastAsia="en-AU"/>
        </w:rPr>
        <w:t xml:space="preserve"> for sexting</w:t>
      </w:r>
      <w:r w:rsidR="00C539FF" w:rsidRPr="00EC02CA">
        <w:rPr>
          <w:lang w:eastAsia="en-AU"/>
        </w:rPr>
        <w:t>’</w:t>
      </w:r>
      <w:r w:rsidR="004100E1" w:rsidRPr="00EC02CA">
        <w:rPr>
          <w:lang w:eastAsia="en-AU"/>
        </w:rPr>
        <w:t>, so that a young person is</w:t>
      </w:r>
      <w:r w:rsidR="00C539FF" w:rsidRPr="00EC02CA">
        <w:rPr>
          <w:lang w:eastAsia="en-AU"/>
        </w:rPr>
        <w:t>:</w:t>
      </w:r>
    </w:p>
    <w:p w14:paraId="430512A0" w14:textId="71BFC419" w:rsidR="008D20E0" w:rsidRPr="00EC02CA" w:rsidRDefault="005520A8" w:rsidP="00C539FF">
      <w:pPr>
        <w:pStyle w:val="Indentedquote"/>
        <w:rPr>
          <w:lang w:eastAsia="en-AU"/>
        </w:rPr>
      </w:pPr>
      <w:r w:rsidRPr="00EC02CA">
        <w:rPr>
          <w:lang w:eastAsia="en-AU"/>
        </w:rPr>
        <w:t xml:space="preserve">not </w:t>
      </w:r>
      <w:r w:rsidR="00E248F5" w:rsidRPr="00EC02CA">
        <w:rPr>
          <w:lang w:eastAsia="en-AU"/>
        </w:rPr>
        <w:t>criminalised</w:t>
      </w:r>
      <w:r w:rsidR="00C539FF" w:rsidRPr="00EC02CA">
        <w:rPr>
          <w:lang w:eastAsia="en-AU"/>
        </w:rPr>
        <w:t xml:space="preserve"> for possessing a sexual image of another child, in situations where there is no abuse or exploitation such as </w:t>
      </w:r>
      <w:r w:rsidR="004D74B1" w:rsidRPr="00EC02CA">
        <w:rPr>
          <w:lang w:eastAsia="en-AU"/>
        </w:rPr>
        <w:t>where</w:t>
      </w:r>
      <w:r w:rsidR="00C539FF" w:rsidRPr="00EC02CA">
        <w:rPr>
          <w:lang w:eastAsia="en-AU"/>
        </w:rPr>
        <w:t xml:space="preserve"> the </w:t>
      </w:r>
      <w:r w:rsidR="004D74B1" w:rsidRPr="00EC02CA">
        <w:rPr>
          <w:lang w:eastAsia="en-AU"/>
        </w:rPr>
        <w:t xml:space="preserve">image </w:t>
      </w:r>
      <w:r w:rsidR="00C539FF" w:rsidRPr="00EC02CA">
        <w:rPr>
          <w:lang w:eastAsia="en-AU"/>
        </w:rPr>
        <w:t xml:space="preserve">was provided </w:t>
      </w:r>
      <w:r w:rsidR="00E60D45" w:rsidRPr="00EC02CA">
        <w:rPr>
          <w:lang w:eastAsia="en-AU"/>
        </w:rPr>
        <w:t>consensually</w:t>
      </w:r>
      <w:r w:rsidR="004D74B1" w:rsidRPr="00EC02CA">
        <w:rPr>
          <w:lang w:eastAsia="en-AU"/>
        </w:rPr>
        <w:t xml:space="preserve"> within a pe</w:t>
      </w:r>
      <w:r w:rsidR="00E60D45" w:rsidRPr="00EC02CA">
        <w:rPr>
          <w:lang w:eastAsia="en-AU"/>
        </w:rPr>
        <w:t>e</w:t>
      </w:r>
      <w:r w:rsidR="004D74B1" w:rsidRPr="00EC02CA">
        <w:rPr>
          <w:lang w:eastAsia="en-AU"/>
        </w:rPr>
        <w:t>r-</w:t>
      </w:r>
      <w:r w:rsidR="00E60D45" w:rsidRPr="00EC02CA">
        <w:rPr>
          <w:lang w:eastAsia="en-AU"/>
        </w:rPr>
        <w:t>appropriate</w:t>
      </w:r>
      <w:r w:rsidR="004D74B1" w:rsidRPr="00EC02CA">
        <w:rPr>
          <w:lang w:eastAsia="en-AU"/>
        </w:rPr>
        <w:t xml:space="preserve"> relationship. </w:t>
      </w:r>
      <w:r w:rsidR="00E60D45" w:rsidRPr="00EC02CA">
        <w:rPr>
          <w:lang w:eastAsia="en-AU"/>
        </w:rPr>
        <w:t>Together</w:t>
      </w:r>
      <w:r w:rsidR="004D74B1" w:rsidRPr="00EC02CA">
        <w:rPr>
          <w:lang w:eastAsia="en-AU"/>
        </w:rPr>
        <w:t xml:space="preserve">, these defences </w:t>
      </w:r>
      <w:r w:rsidR="00E60D45" w:rsidRPr="00EC02CA">
        <w:rPr>
          <w:lang w:eastAsia="en-AU"/>
        </w:rPr>
        <w:t>and</w:t>
      </w:r>
      <w:r w:rsidR="004D74B1" w:rsidRPr="00EC02CA">
        <w:rPr>
          <w:lang w:eastAsia="en-AU"/>
        </w:rPr>
        <w:t xml:space="preserve"> </w:t>
      </w:r>
      <w:r w:rsidR="00E60D45" w:rsidRPr="00EC02CA">
        <w:rPr>
          <w:lang w:eastAsia="en-AU"/>
        </w:rPr>
        <w:t>exceptions</w:t>
      </w:r>
      <w:r w:rsidR="004D74B1" w:rsidRPr="00EC02CA">
        <w:rPr>
          <w:lang w:eastAsia="en-AU"/>
        </w:rPr>
        <w:t xml:space="preserve"> aim to </w:t>
      </w:r>
      <w:r w:rsidR="00E60D45" w:rsidRPr="00EC02CA">
        <w:rPr>
          <w:lang w:eastAsia="en-AU"/>
        </w:rPr>
        <w:t>recognise</w:t>
      </w:r>
      <w:r w:rsidR="004D74B1" w:rsidRPr="00EC02CA">
        <w:rPr>
          <w:lang w:eastAsia="en-AU"/>
        </w:rPr>
        <w:t xml:space="preserve"> the reality </w:t>
      </w:r>
      <w:r w:rsidR="00E60D45" w:rsidRPr="00EC02CA">
        <w:rPr>
          <w:lang w:eastAsia="en-AU"/>
        </w:rPr>
        <w:t xml:space="preserve">of </w:t>
      </w:r>
      <w:r w:rsidR="004D74B1" w:rsidRPr="00EC02CA">
        <w:rPr>
          <w:lang w:eastAsia="en-AU"/>
        </w:rPr>
        <w:t>s</w:t>
      </w:r>
      <w:r w:rsidR="00E60D45" w:rsidRPr="00EC02CA">
        <w:rPr>
          <w:lang w:eastAsia="en-AU"/>
        </w:rPr>
        <w:t>exting behaviour by</w:t>
      </w:r>
      <w:r w:rsidR="004D74B1" w:rsidRPr="00EC02CA">
        <w:rPr>
          <w:lang w:eastAsia="en-AU"/>
        </w:rPr>
        <w:t xml:space="preserve"> some older children, while </w:t>
      </w:r>
      <w:r w:rsidR="00796619" w:rsidRPr="00EC02CA">
        <w:rPr>
          <w:lang w:eastAsia="en-AU"/>
        </w:rPr>
        <w:t>preservin</w:t>
      </w:r>
      <w:r w:rsidR="004D74B1" w:rsidRPr="00EC02CA">
        <w:rPr>
          <w:lang w:eastAsia="en-AU"/>
        </w:rPr>
        <w:t xml:space="preserve">g the integrity and policy </w:t>
      </w:r>
      <w:r w:rsidR="00796619" w:rsidRPr="00EC02CA">
        <w:rPr>
          <w:lang w:eastAsia="en-AU"/>
        </w:rPr>
        <w:t>purpose</w:t>
      </w:r>
      <w:r w:rsidR="004D74B1" w:rsidRPr="00EC02CA">
        <w:rPr>
          <w:lang w:eastAsia="en-AU"/>
        </w:rPr>
        <w:t xml:space="preserve"> of the child </w:t>
      </w:r>
      <w:r w:rsidR="00796619" w:rsidRPr="00EC02CA">
        <w:rPr>
          <w:lang w:eastAsia="en-AU"/>
        </w:rPr>
        <w:t>abuse</w:t>
      </w:r>
      <w:r w:rsidR="004D74B1" w:rsidRPr="00EC02CA">
        <w:rPr>
          <w:lang w:eastAsia="en-AU"/>
        </w:rPr>
        <w:t xml:space="preserve"> material </w:t>
      </w:r>
      <w:r w:rsidR="00E60D45" w:rsidRPr="00EC02CA">
        <w:rPr>
          <w:lang w:eastAsia="en-AU"/>
        </w:rPr>
        <w:t>offences.</w:t>
      </w:r>
      <w:r w:rsidR="00E60D45" w:rsidRPr="00EC02CA">
        <w:rPr>
          <w:rStyle w:val="FootnoteReference"/>
          <w:lang w:eastAsia="en-AU"/>
        </w:rPr>
        <w:footnoteReference w:id="404"/>
      </w:r>
    </w:p>
    <w:p w14:paraId="58583981" w14:textId="5294A8C7" w:rsidR="00415615" w:rsidRPr="00EC02CA" w:rsidRDefault="008D20E0" w:rsidP="002F0007">
      <w:pPr>
        <w:pStyle w:val="NormalNumberedTextTLRI"/>
        <w:rPr>
          <w:lang w:eastAsia="en-AU"/>
        </w:rPr>
      </w:pPr>
      <w:r w:rsidRPr="00EC02CA">
        <w:rPr>
          <w:lang w:eastAsia="en-AU"/>
        </w:rPr>
        <w:t xml:space="preserve">The TLRI’s view is </w:t>
      </w:r>
      <w:r w:rsidR="00415615" w:rsidRPr="00EC02CA">
        <w:rPr>
          <w:lang w:eastAsia="en-AU"/>
        </w:rPr>
        <w:t>that</w:t>
      </w:r>
      <w:r w:rsidRPr="00EC02CA">
        <w:rPr>
          <w:lang w:eastAsia="en-AU"/>
        </w:rPr>
        <w:t xml:space="preserve"> </w:t>
      </w:r>
      <w:r w:rsidR="009D1099" w:rsidRPr="00EC02CA">
        <w:rPr>
          <w:lang w:eastAsia="en-AU"/>
        </w:rPr>
        <w:t xml:space="preserve">similar </w:t>
      </w:r>
      <w:r w:rsidR="0000629E" w:rsidRPr="00EC02CA">
        <w:rPr>
          <w:lang w:eastAsia="en-AU"/>
        </w:rPr>
        <w:t xml:space="preserve">reforms are needed in Tasmania to </w:t>
      </w:r>
      <w:r w:rsidR="00094875" w:rsidRPr="00EC02CA">
        <w:rPr>
          <w:lang w:eastAsia="en-AU"/>
        </w:rPr>
        <w:t>provide</w:t>
      </w:r>
      <w:r w:rsidR="0000629E" w:rsidRPr="00EC02CA">
        <w:rPr>
          <w:lang w:eastAsia="en-AU"/>
        </w:rPr>
        <w:t xml:space="preserve"> greater certainty in the law in the relation to taking and sharing </w:t>
      </w:r>
      <w:r w:rsidR="00094875" w:rsidRPr="00EC02CA">
        <w:rPr>
          <w:lang w:eastAsia="en-AU"/>
        </w:rPr>
        <w:t>intimate</w:t>
      </w:r>
      <w:r w:rsidR="0000629E" w:rsidRPr="00EC02CA">
        <w:rPr>
          <w:lang w:eastAsia="en-AU"/>
        </w:rPr>
        <w:t xml:space="preserve"> images consensually</w:t>
      </w:r>
      <w:r w:rsidR="00094875" w:rsidRPr="00EC02CA">
        <w:rPr>
          <w:lang w:eastAsia="en-AU"/>
        </w:rPr>
        <w:t xml:space="preserve"> </w:t>
      </w:r>
      <w:r w:rsidR="009D1099" w:rsidRPr="00EC02CA">
        <w:rPr>
          <w:lang w:eastAsia="en-AU"/>
        </w:rPr>
        <w:t xml:space="preserve">and </w:t>
      </w:r>
      <w:r w:rsidR="00094875" w:rsidRPr="00EC02CA">
        <w:rPr>
          <w:lang w:eastAsia="en-AU"/>
        </w:rPr>
        <w:t>to avoid over</w:t>
      </w:r>
      <w:r w:rsidR="00943E8E" w:rsidRPr="00EC02CA">
        <w:rPr>
          <w:lang w:eastAsia="en-AU"/>
        </w:rPr>
        <w:t xml:space="preserve"> </w:t>
      </w:r>
      <w:r w:rsidR="00094875" w:rsidRPr="00EC02CA">
        <w:rPr>
          <w:lang w:eastAsia="en-AU"/>
        </w:rPr>
        <w:t xml:space="preserve">criminalising young people for developmentally acceptable </w:t>
      </w:r>
      <w:r w:rsidR="00F424DE" w:rsidRPr="00EC02CA">
        <w:rPr>
          <w:lang w:eastAsia="en-AU"/>
        </w:rPr>
        <w:t>behaviour</w:t>
      </w:r>
      <w:r w:rsidR="009D1099" w:rsidRPr="00EC02CA">
        <w:rPr>
          <w:lang w:eastAsia="en-AU"/>
        </w:rPr>
        <w:t>.</w:t>
      </w:r>
      <w:r w:rsidR="00094875" w:rsidRPr="00EC02CA">
        <w:rPr>
          <w:lang w:eastAsia="en-AU"/>
        </w:rPr>
        <w:t xml:space="preserve"> </w:t>
      </w:r>
      <w:r w:rsidR="009D1099" w:rsidRPr="00EC02CA">
        <w:rPr>
          <w:lang w:eastAsia="en-AU"/>
        </w:rPr>
        <w:t>T</w:t>
      </w:r>
      <w:r w:rsidRPr="00EC02CA">
        <w:rPr>
          <w:lang w:eastAsia="en-AU"/>
        </w:rPr>
        <w:t xml:space="preserve">he models in </w:t>
      </w:r>
      <w:r w:rsidR="00415615" w:rsidRPr="00EC02CA">
        <w:rPr>
          <w:lang w:eastAsia="en-AU"/>
        </w:rPr>
        <w:t>Victoria</w:t>
      </w:r>
      <w:r w:rsidRPr="00EC02CA">
        <w:rPr>
          <w:lang w:eastAsia="en-AU"/>
        </w:rPr>
        <w:t xml:space="preserve"> and New South Wales provide guidance </w:t>
      </w:r>
      <w:r w:rsidR="00E248F5" w:rsidRPr="00EC02CA">
        <w:rPr>
          <w:lang w:eastAsia="en-AU"/>
        </w:rPr>
        <w:t xml:space="preserve">as to </w:t>
      </w:r>
      <w:r w:rsidR="00F424DE" w:rsidRPr="00EC02CA">
        <w:rPr>
          <w:lang w:eastAsia="en-AU"/>
        </w:rPr>
        <w:t>approaches that could be taken</w:t>
      </w:r>
      <w:r w:rsidRPr="00EC02CA">
        <w:rPr>
          <w:lang w:eastAsia="en-AU"/>
        </w:rPr>
        <w:t xml:space="preserve"> in Tasmania </w:t>
      </w:r>
      <w:r w:rsidR="00F424DE" w:rsidRPr="00EC02CA">
        <w:rPr>
          <w:lang w:eastAsia="en-AU"/>
        </w:rPr>
        <w:t>to clarify the scope of</w:t>
      </w:r>
      <w:r w:rsidRPr="00EC02CA">
        <w:rPr>
          <w:lang w:eastAsia="en-AU"/>
        </w:rPr>
        <w:t xml:space="preserve"> criminal responsibility</w:t>
      </w:r>
      <w:r w:rsidR="00415615" w:rsidRPr="00EC02CA">
        <w:rPr>
          <w:lang w:eastAsia="en-AU"/>
        </w:rPr>
        <w:t xml:space="preserve">. </w:t>
      </w:r>
      <w:r w:rsidR="00E248F5" w:rsidRPr="00EC02CA">
        <w:rPr>
          <w:lang w:eastAsia="en-AU"/>
        </w:rPr>
        <w:t xml:space="preserve">This is a matter that would require further consultation as to </w:t>
      </w:r>
      <w:r w:rsidR="009D1099" w:rsidRPr="00EC02CA">
        <w:rPr>
          <w:lang w:eastAsia="en-AU"/>
        </w:rPr>
        <w:t xml:space="preserve">the </w:t>
      </w:r>
      <w:r w:rsidR="00E248F5" w:rsidRPr="00EC02CA">
        <w:rPr>
          <w:lang w:eastAsia="en-AU"/>
        </w:rPr>
        <w:t>most appropriate reforms in the Tasmanian context.</w:t>
      </w:r>
    </w:p>
    <w:p w14:paraId="1692EBE3" w14:textId="51A317BD" w:rsidR="005D50DE" w:rsidRPr="00EC02CA" w:rsidRDefault="5098C7DA" w:rsidP="002F0007">
      <w:pPr>
        <w:pStyle w:val="NormalNumberedTextTLRI"/>
        <w:rPr>
          <w:lang w:eastAsia="en-AU"/>
        </w:rPr>
      </w:pPr>
      <w:r w:rsidRPr="00EC02CA">
        <w:rPr>
          <w:lang w:eastAsia="en-AU"/>
        </w:rPr>
        <w:t xml:space="preserve">A further </w:t>
      </w:r>
      <w:r w:rsidR="6A44BCF8" w:rsidRPr="00EC02CA">
        <w:rPr>
          <w:lang w:eastAsia="en-AU"/>
        </w:rPr>
        <w:t>reform that has been made in New South Wales,</w:t>
      </w:r>
      <w:r w:rsidR="00364C8E" w:rsidRPr="00EC02CA">
        <w:rPr>
          <w:rStyle w:val="FootnoteReference"/>
          <w:lang w:eastAsia="en-AU"/>
        </w:rPr>
        <w:footnoteReference w:id="405"/>
      </w:r>
      <w:r w:rsidR="6A44BCF8" w:rsidRPr="00EC02CA">
        <w:rPr>
          <w:lang w:eastAsia="en-AU"/>
        </w:rPr>
        <w:t xml:space="preserve"> and </w:t>
      </w:r>
      <w:r w:rsidR="0025314C" w:rsidRPr="00EC02CA">
        <w:rPr>
          <w:lang w:eastAsia="en-AU"/>
        </w:rPr>
        <w:t xml:space="preserve">that </w:t>
      </w:r>
      <w:r w:rsidR="6A44BCF8" w:rsidRPr="00EC02CA">
        <w:rPr>
          <w:lang w:eastAsia="en-AU"/>
        </w:rPr>
        <w:t xml:space="preserve">also exists </w:t>
      </w:r>
      <w:r w:rsidR="35BB7534" w:rsidRPr="00EC02CA">
        <w:rPr>
          <w:lang w:eastAsia="en-AU"/>
        </w:rPr>
        <w:t xml:space="preserve">under the </w:t>
      </w:r>
      <w:r w:rsidR="35BB7534" w:rsidRPr="00EC02CA">
        <w:rPr>
          <w:i/>
          <w:iCs/>
          <w:lang w:eastAsia="en-AU"/>
        </w:rPr>
        <w:t xml:space="preserve">Commonwealth Criminal Code </w:t>
      </w:r>
      <w:r w:rsidR="35BB7534" w:rsidRPr="00EC02CA">
        <w:rPr>
          <w:lang w:eastAsia="en-AU"/>
        </w:rPr>
        <w:t>(Cth),</w:t>
      </w:r>
      <w:r w:rsidR="003A0B51" w:rsidRPr="00EC02CA">
        <w:rPr>
          <w:rStyle w:val="FootnoteReference"/>
          <w:lang w:eastAsia="en-AU"/>
        </w:rPr>
        <w:footnoteReference w:id="406"/>
      </w:r>
      <w:r w:rsidR="35BB7534" w:rsidRPr="00EC02CA">
        <w:rPr>
          <w:lang w:eastAsia="en-AU"/>
        </w:rPr>
        <w:t xml:space="preserve"> </w:t>
      </w:r>
      <w:r w:rsidR="6A44BCF8" w:rsidRPr="00EC02CA">
        <w:rPr>
          <w:lang w:eastAsia="en-AU"/>
        </w:rPr>
        <w:t xml:space="preserve">is that the approval of </w:t>
      </w:r>
      <w:r w:rsidR="0025314C" w:rsidRPr="00EC02CA">
        <w:rPr>
          <w:lang w:eastAsia="en-AU"/>
        </w:rPr>
        <w:t xml:space="preserve">either </w:t>
      </w:r>
      <w:r w:rsidR="6A44BCF8" w:rsidRPr="00EC02CA">
        <w:rPr>
          <w:lang w:eastAsia="en-AU"/>
        </w:rPr>
        <w:t>t</w:t>
      </w:r>
      <w:r w:rsidR="26453ABD" w:rsidRPr="00EC02CA">
        <w:rPr>
          <w:lang w:eastAsia="en-AU"/>
        </w:rPr>
        <w:t xml:space="preserve">he </w:t>
      </w:r>
      <w:r w:rsidR="0025314C" w:rsidRPr="00EC02CA">
        <w:rPr>
          <w:lang w:eastAsia="en-AU"/>
        </w:rPr>
        <w:t xml:space="preserve">New South Wales Director of Public Prosecutions or the Commonwealth </w:t>
      </w:r>
      <w:r w:rsidR="26453ABD" w:rsidRPr="00EC02CA">
        <w:rPr>
          <w:lang w:eastAsia="en-AU"/>
        </w:rPr>
        <w:t>Director of Public Prosecutions</w:t>
      </w:r>
      <w:r w:rsidR="0025314C" w:rsidRPr="00EC02CA">
        <w:rPr>
          <w:lang w:eastAsia="en-AU"/>
        </w:rPr>
        <w:t>,</w:t>
      </w:r>
      <w:r w:rsidR="26453ABD" w:rsidRPr="00EC02CA">
        <w:rPr>
          <w:lang w:eastAsia="en-AU"/>
        </w:rPr>
        <w:t xml:space="preserve"> </w:t>
      </w:r>
      <w:r w:rsidR="0025314C" w:rsidRPr="00EC02CA">
        <w:rPr>
          <w:lang w:eastAsia="en-AU"/>
        </w:rPr>
        <w:t xml:space="preserve">respectively, </w:t>
      </w:r>
      <w:r w:rsidR="26453ABD" w:rsidRPr="00EC02CA">
        <w:rPr>
          <w:lang w:eastAsia="en-AU"/>
        </w:rPr>
        <w:t>is require</w:t>
      </w:r>
      <w:r w:rsidR="005528F3" w:rsidRPr="00EC02CA">
        <w:rPr>
          <w:lang w:eastAsia="en-AU"/>
        </w:rPr>
        <w:t>d</w:t>
      </w:r>
      <w:r w:rsidR="26453ABD" w:rsidRPr="00EC02CA">
        <w:rPr>
          <w:lang w:eastAsia="en-AU"/>
        </w:rPr>
        <w:t xml:space="preserve"> for</w:t>
      </w:r>
      <w:r w:rsidR="61F918B4" w:rsidRPr="00EC02CA">
        <w:rPr>
          <w:lang w:eastAsia="en-AU"/>
        </w:rPr>
        <w:t xml:space="preserve"> instituting proceedings against young people for</w:t>
      </w:r>
      <w:r w:rsidR="26453ABD" w:rsidRPr="00EC02CA">
        <w:rPr>
          <w:lang w:eastAsia="en-AU"/>
        </w:rPr>
        <w:t xml:space="preserve"> child exploitation material offences. </w:t>
      </w:r>
      <w:r w:rsidR="014630C4" w:rsidRPr="00EC02CA">
        <w:rPr>
          <w:lang w:eastAsia="en-AU"/>
        </w:rPr>
        <w:t xml:space="preserve">The TLRI’s view is that this is </w:t>
      </w:r>
      <w:r w:rsidR="0025314C" w:rsidRPr="00EC02CA">
        <w:rPr>
          <w:lang w:eastAsia="en-AU"/>
        </w:rPr>
        <w:t xml:space="preserve">also a </w:t>
      </w:r>
      <w:r w:rsidR="014630C4" w:rsidRPr="00EC02CA">
        <w:rPr>
          <w:lang w:eastAsia="en-AU"/>
        </w:rPr>
        <w:t>desirable approach to take in Tasmania</w:t>
      </w:r>
      <w:r w:rsidR="0025314C" w:rsidRPr="00EC02CA">
        <w:rPr>
          <w:lang w:eastAsia="en-AU"/>
        </w:rPr>
        <w:t>,</w:t>
      </w:r>
      <w:r w:rsidR="014630C4" w:rsidRPr="00EC02CA">
        <w:rPr>
          <w:lang w:eastAsia="en-AU"/>
        </w:rPr>
        <w:t xml:space="preserve"> </w:t>
      </w:r>
      <w:r w:rsidR="0CFEE296" w:rsidRPr="00EC02CA">
        <w:rPr>
          <w:lang w:eastAsia="en-AU"/>
        </w:rPr>
        <w:t>formalis</w:t>
      </w:r>
      <w:r w:rsidR="0025314C" w:rsidRPr="00EC02CA">
        <w:rPr>
          <w:lang w:eastAsia="en-AU"/>
        </w:rPr>
        <w:t>ing</w:t>
      </w:r>
      <w:r w:rsidR="014630C4" w:rsidRPr="00EC02CA">
        <w:rPr>
          <w:lang w:eastAsia="en-AU"/>
        </w:rPr>
        <w:t xml:space="preserve"> the oversight of the D</w:t>
      </w:r>
      <w:r w:rsidR="009E63E8" w:rsidRPr="00EC02CA">
        <w:rPr>
          <w:lang w:eastAsia="en-AU"/>
        </w:rPr>
        <w:t xml:space="preserve">irector of </w:t>
      </w:r>
      <w:r w:rsidR="014630C4" w:rsidRPr="00EC02CA">
        <w:rPr>
          <w:lang w:eastAsia="en-AU"/>
        </w:rPr>
        <w:t>P</w:t>
      </w:r>
      <w:r w:rsidR="009E63E8" w:rsidRPr="00EC02CA">
        <w:rPr>
          <w:lang w:eastAsia="en-AU"/>
        </w:rPr>
        <w:t xml:space="preserve">ublic </w:t>
      </w:r>
      <w:r w:rsidR="014630C4" w:rsidRPr="00EC02CA">
        <w:rPr>
          <w:lang w:eastAsia="en-AU"/>
        </w:rPr>
        <w:t>P</w:t>
      </w:r>
      <w:r w:rsidR="009E63E8" w:rsidRPr="00EC02CA">
        <w:rPr>
          <w:lang w:eastAsia="en-AU"/>
        </w:rPr>
        <w:t>rosecutions</w:t>
      </w:r>
      <w:r w:rsidR="014630C4" w:rsidRPr="00EC02CA">
        <w:rPr>
          <w:lang w:eastAsia="en-AU"/>
        </w:rPr>
        <w:t xml:space="preserve"> in determining whether images</w:t>
      </w:r>
      <w:r w:rsidR="1B9C970C" w:rsidRPr="00EC02CA">
        <w:rPr>
          <w:lang w:eastAsia="en-AU"/>
        </w:rPr>
        <w:t xml:space="preserve"> produced and shared by</w:t>
      </w:r>
      <w:r w:rsidR="014630C4" w:rsidRPr="00EC02CA">
        <w:rPr>
          <w:lang w:eastAsia="en-AU"/>
        </w:rPr>
        <w:t xml:space="preserve"> young people amount to child exploitation material</w:t>
      </w:r>
      <w:r w:rsidR="0025314C" w:rsidRPr="00EC02CA">
        <w:rPr>
          <w:lang w:eastAsia="en-AU"/>
        </w:rPr>
        <w:t>,</w:t>
      </w:r>
      <w:r w:rsidR="014630C4" w:rsidRPr="00EC02CA">
        <w:rPr>
          <w:lang w:eastAsia="en-AU"/>
        </w:rPr>
        <w:t xml:space="preserve"> and whether the </w:t>
      </w:r>
      <w:r w:rsidR="569CA5E1" w:rsidRPr="00EC02CA">
        <w:rPr>
          <w:lang w:eastAsia="en-AU"/>
        </w:rPr>
        <w:t>statutory</w:t>
      </w:r>
      <w:r w:rsidR="014630C4" w:rsidRPr="00EC02CA">
        <w:rPr>
          <w:lang w:eastAsia="en-AU"/>
        </w:rPr>
        <w:t xml:space="preserve"> defences </w:t>
      </w:r>
      <w:r w:rsidR="7B404FF4" w:rsidRPr="00EC02CA">
        <w:rPr>
          <w:lang w:eastAsia="en-AU"/>
        </w:rPr>
        <w:t>(or ex</w:t>
      </w:r>
      <w:r w:rsidR="0025314C" w:rsidRPr="00EC02CA">
        <w:rPr>
          <w:lang w:eastAsia="en-AU"/>
        </w:rPr>
        <w:t>c</w:t>
      </w:r>
      <w:r w:rsidR="7B404FF4" w:rsidRPr="00EC02CA">
        <w:rPr>
          <w:lang w:eastAsia="en-AU"/>
        </w:rPr>
        <w:t>eptions if introdu</w:t>
      </w:r>
      <w:r w:rsidR="1BC592FC" w:rsidRPr="00EC02CA">
        <w:rPr>
          <w:lang w:eastAsia="en-AU"/>
        </w:rPr>
        <w:t>c</w:t>
      </w:r>
      <w:r w:rsidR="7B404FF4" w:rsidRPr="00EC02CA">
        <w:rPr>
          <w:lang w:eastAsia="en-AU"/>
        </w:rPr>
        <w:t xml:space="preserve">ed) </w:t>
      </w:r>
      <w:r w:rsidR="014630C4" w:rsidRPr="00EC02CA">
        <w:rPr>
          <w:lang w:eastAsia="en-AU"/>
        </w:rPr>
        <w:t>may apply</w:t>
      </w:r>
      <w:r w:rsidR="3AA22BC1" w:rsidRPr="00EC02CA">
        <w:rPr>
          <w:lang w:eastAsia="en-AU"/>
        </w:rPr>
        <w:t>.</w:t>
      </w:r>
    </w:p>
    <w:p w14:paraId="37BC2CBE" w14:textId="0549F744" w:rsidR="002222A8" w:rsidRPr="00EC02CA" w:rsidRDefault="00D17F9F" w:rsidP="00A920EC">
      <w:pPr>
        <w:pStyle w:val="NormalNumberedTextTLRI"/>
      </w:pPr>
      <w:r w:rsidRPr="00EC02CA">
        <w:t xml:space="preserve">While it is </w:t>
      </w:r>
      <w:r w:rsidR="00E63EE1" w:rsidRPr="00EC02CA">
        <w:t>recognised</w:t>
      </w:r>
      <w:r w:rsidRPr="00EC02CA">
        <w:t xml:space="preserve"> that some online conduct of children may be </w:t>
      </w:r>
      <w:r w:rsidR="00E63EE1" w:rsidRPr="00EC02CA">
        <w:t xml:space="preserve">extremely serious </w:t>
      </w:r>
      <w:r w:rsidRPr="00EC02CA">
        <w:t>exploi</w:t>
      </w:r>
      <w:r w:rsidR="00324899" w:rsidRPr="00EC02CA">
        <w:t>tative</w:t>
      </w:r>
      <w:r w:rsidR="00FB56BE" w:rsidRPr="00EC02CA">
        <w:t>,</w:t>
      </w:r>
      <w:r w:rsidR="00324899" w:rsidRPr="00EC02CA">
        <w:t xml:space="preserve"> and </w:t>
      </w:r>
      <w:r w:rsidR="00E63EE1" w:rsidRPr="00EC02CA">
        <w:t xml:space="preserve">may fall within what is understood to be child </w:t>
      </w:r>
      <w:r w:rsidR="2A819225" w:rsidRPr="00EC02CA">
        <w:t xml:space="preserve">sexual </w:t>
      </w:r>
      <w:r w:rsidR="00E63EE1" w:rsidRPr="00EC02CA">
        <w:t>exploitation material</w:t>
      </w:r>
      <w:r w:rsidR="00F92520" w:rsidRPr="00EC02CA">
        <w:t xml:space="preserve"> (CSEM)</w:t>
      </w:r>
      <w:r w:rsidR="00E63EE1" w:rsidRPr="00EC02CA">
        <w:t xml:space="preserve">, </w:t>
      </w:r>
      <w:r w:rsidR="00465B67" w:rsidRPr="00EC02CA">
        <w:t>it has also</w:t>
      </w:r>
      <w:r w:rsidR="00E63EE1" w:rsidRPr="00EC02CA">
        <w:t xml:space="preserve"> been recognised in Tasmania and elsewhere </w:t>
      </w:r>
      <w:r w:rsidR="00FB56BE" w:rsidRPr="00EC02CA">
        <w:t xml:space="preserve">that </w:t>
      </w:r>
      <w:r w:rsidR="00E63EE1" w:rsidRPr="00EC02CA">
        <w:t xml:space="preserve">child abuse material offences may not be an appropriate criminal law response to age-appropriate consensual sharing of intimate images. </w:t>
      </w:r>
      <w:r w:rsidR="00384387" w:rsidRPr="00EC02CA">
        <w:t xml:space="preserve">However, the </w:t>
      </w:r>
      <w:r w:rsidR="13DD225E" w:rsidRPr="00EC02CA">
        <w:t>TLRI</w:t>
      </w:r>
      <w:r w:rsidR="34569351" w:rsidRPr="00EC02CA">
        <w:t>’</w:t>
      </w:r>
      <w:r w:rsidR="13DD225E" w:rsidRPr="00EC02CA">
        <w:t>s</w:t>
      </w:r>
      <w:r w:rsidR="00F90AEF" w:rsidRPr="00EC02CA">
        <w:t xml:space="preserve"> view is that </w:t>
      </w:r>
      <w:r w:rsidR="00FB56BE" w:rsidRPr="00EC02CA">
        <w:t xml:space="preserve">there </w:t>
      </w:r>
      <w:r w:rsidR="00384387" w:rsidRPr="00EC02CA">
        <w:t>are gaps in</w:t>
      </w:r>
      <w:r w:rsidR="00F90AEF" w:rsidRPr="00EC02CA">
        <w:t xml:space="preserve"> the </w:t>
      </w:r>
      <w:r w:rsidR="00FB56BE" w:rsidRPr="00EC02CA">
        <w:t xml:space="preserve">offences </w:t>
      </w:r>
      <w:r w:rsidR="005F2F5A" w:rsidRPr="00EC02CA">
        <w:t>relating</w:t>
      </w:r>
      <w:r w:rsidR="00F90AEF" w:rsidRPr="00EC02CA">
        <w:t xml:space="preserve"> </w:t>
      </w:r>
      <w:r w:rsidR="005F2F5A" w:rsidRPr="00EC02CA">
        <w:t>to</w:t>
      </w:r>
      <w:r w:rsidR="00F90AEF" w:rsidRPr="00EC02CA">
        <w:t xml:space="preserve"> the non-</w:t>
      </w:r>
      <w:r w:rsidR="005F2F5A" w:rsidRPr="00EC02CA">
        <w:t>consensual</w:t>
      </w:r>
      <w:r w:rsidR="00F90AEF" w:rsidRPr="00EC02CA">
        <w:t xml:space="preserve"> sharing of images</w:t>
      </w:r>
      <w:r w:rsidR="00384387" w:rsidRPr="00EC02CA">
        <w:t xml:space="preserve"> in Tasmania</w:t>
      </w:r>
      <w:r w:rsidR="00656782" w:rsidRPr="00EC02CA">
        <w:t xml:space="preserve"> that limit </w:t>
      </w:r>
      <w:r w:rsidR="00524ACC" w:rsidRPr="00EC02CA">
        <w:t>their use</w:t>
      </w:r>
      <w:r w:rsidR="00FB56BE" w:rsidRPr="00EC02CA">
        <w:t>,</w:t>
      </w:r>
      <w:r w:rsidR="00465B67" w:rsidRPr="00EC02CA">
        <w:t xml:space="preserve"> and that </w:t>
      </w:r>
      <w:r w:rsidR="00B57814" w:rsidRPr="00EC02CA">
        <w:t xml:space="preserve">there needs to be a range of offence options available to </w:t>
      </w:r>
      <w:r w:rsidR="00F75B4A" w:rsidRPr="00EC02CA">
        <w:t xml:space="preserve">address the spectrum of offending. </w:t>
      </w:r>
      <w:r w:rsidR="00583880" w:rsidRPr="00EC02CA">
        <w:t>Non-</w:t>
      </w:r>
      <w:r w:rsidR="00615BF9" w:rsidRPr="00EC02CA">
        <w:t>consensual</w:t>
      </w:r>
      <w:r w:rsidR="00583880" w:rsidRPr="00EC02CA">
        <w:t xml:space="preserve"> </w:t>
      </w:r>
      <w:r w:rsidR="009E02CA" w:rsidRPr="00EC02CA">
        <w:t>sharing o</w:t>
      </w:r>
      <w:r w:rsidR="00FB56BE" w:rsidRPr="00EC02CA">
        <w:t>f</w:t>
      </w:r>
      <w:r w:rsidR="009E02CA" w:rsidRPr="00EC02CA">
        <w:t xml:space="preserve"> </w:t>
      </w:r>
      <w:r w:rsidR="00615BF9" w:rsidRPr="00EC02CA">
        <w:t>intimate</w:t>
      </w:r>
      <w:r w:rsidR="009E02CA" w:rsidRPr="00EC02CA">
        <w:t xml:space="preserve"> images </w:t>
      </w:r>
      <w:r w:rsidR="00615BF9" w:rsidRPr="00EC02CA">
        <w:t>covers</w:t>
      </w:r>
      <w:r w:rsidR="009E02CA" w:rsidRPr="00EC02CA">
        <w:t xml:space="preserve"> a broad range of conduct, </w:t>
      </w:r>
      <w:r w:rsidR="00615BF9" w:rsidRPr="00EC02CA">
        <w:t>including</w:t>
      </w:r>
      <w:r w:rsidR="009E02CA" w:rsidRPr="00EC02CA">
        <w:t xml:space="preserve"> images </w:t>
      </w:r>
      <w:r w:rsidR="00615BF9" w:rsidRPr="00EC02CA">
        <w:t>that are</w:t>
      </w:r>
      <w:r w:rsidR="009E02CA" w:rsidRPr="00EC02CA">
        <w:t xml:space="preserve"> </w:t>
      </w:r>
      <w:r w:rsidR="00615BF9" w:rsidRPr="00EC02CA">
        <w:t>initially</w:t>
      </w:r>
      <w:r w:rsidR="009E02CA" w:rsidRPr="00EC02CA">
        <w:t xml:space="preserve"> taken with consent or</w:t>
      </w:r>
      <w:r w:rsidR="00524ACC" w:rsidRPr="00EC02CA">
        <w:t xml:space="preserve"> taken</w:t>
      </w:r>
      <w:r w:rsidR="009E02CA" w:rsidRPr="00EC02CA">
        <w:t xml:space="preserve"> by the person </w:t>
      </w:r>
      <w:r w:rsidR="00524ACC" w:rsidRPr="00EC02CA">
        <w:t xml:space="preserve">depicted </w:t>
      </w:r>
      <w:r w:rsidR="009E02CA" w:rsidRPr="00EC02CA">
        <w:t>in the image</w:t>
      </w:r>
      <w:r w:rsidR="00524ACC" w:rsidRPr="00EC02CA">
        <w:t xml:space="preserve"> (a selfie)</w:t>
      </w:r>
      <w:r w:rsidR="009E02CA" w:rsidRPr="00EC02CA">
        <w:t xml:space="preserve"> and </w:t>
      </w:r>
      <w:r w:rsidR="00752981" w:rsidRPr="00EC02CA">
        <w:t xml:space="preserve">then </w:t>
      </w:r>
      <w:r w:rsidR="009E02CA" w:rsidRPr="00EC02CA">
        <w:t xml:space="preserve">later shared without </w:t>
      </w:r>
      <w:r w:rsidR="00615BF9" w:rsidRPr="00EC02CA">
        <w:t>consent</w:t>
      </w:r>
      <w:r w:rsidR="00752981" w:rsidRPr="00EC02CA">
        <w:t>,</w:t>
      </w:r>
      <w:r w:rsidR="009A7E84" w:rsidRPr="00EC02CA">
        <w:t xml:space="preserve"> as well as </w:t>
      </w:r>
      <w:r w:rsidR="00BB3C56" w:rsidRPr="00EC02CA">
        <w:t>images</w:t>
      </w:r>
      <w:r w:rsidR="009A7E84" w:rsidRPr="00EC02CA">
        <w:t xml:space="preserve"> obtained without consent </w:t>
      </w:r>
      <w:r w:rsidR="00752981" w:rsidRPr="00EC02CA">
        <w:t xml:space="preserve">in </w:t>
      </w:r>
      <w:r w:rsidR="008E670E" w:rsidRPr="00EC02CA">
        <w:t>the</w:t>
      </w:r>
      <w:r w:rsidR="00752981" w:rsidRPr="00EC02CA">
        <w:t xml:space="preserve"> first place </w:t>
      </w:r>
      <w:r w:rsidR="009A7E84" w:rsidRPr="00EC02CA">
        <w:t xml:space="preserve">and distributed. </w:t>
      </w:r>
      <w:r w:rsidR="00FB56BE" w:rsidRPr="00EC02CA">
        <w:t xml:space="preserve">Image-sharing </w:t>
      </w:r>
      <w:r w:rsidR="00752981" w:rsidRPr="00EC02CA">
        <w:t>may</w:t>
      </w:r>
      <w:r w:rsidR="009A7E84" w:rsidRPr="00EC02CA">
        <w:t xml:space="preserve"> also include </w:t>
      </w:r>
      <w:r w:rsidR="00BB3C56" w:rsidRPr="00EC02CA">
        <w:t>doctored</w:t>
      </w:r>
      <w:r w:rsidR="009A7E84" w:rsidRPr="00EC02CA">
        <w:t xml:space="preserve"> images (</w:t>
      </w:r>
      <w:r w:rsidR="00BB3C56" w:rsidRPr="00EC02CA">
        <w:t>including</w:t>
      </w:r>
      <w:r w:rsidR="009A7E84" w:rsidRPr="00EC02CA">
        <w:t xml:space="preserve"> </w:t>
      </w:r>
      <w:r w:rsidR="00BB3C56" w:rsidRPr="00EC02CA">
        <w:t>intimate</w:t>
      </w:r>
      <w:r w:rsidR="009A7E84" w:rsidRPr="00EC02CA">
        <w:t xml:space="preserve"> ‘</w:t>
      </w:r>
      <w:r w:rsidR="00BB3C56" w:rsidRPr="00EC02CA">
        <w:t>deepfake</w:t>
      </w:r>
      <w:r w:rsidR="009A7E84" w:rsidRPr="00EC02CA">
        <w:t xml:space="preserve"> images’</w:t>
      </w:r>
      <w:r w:rsidR="00FB56BE" w:rsidRPr="00EC02CA">
        <w:t>) or</w:t>
      </w:r>
      <w:r w:rsidR="009A7E84" w:rsidRPr="00EC02CA">
        <w:t xml:space="preserve"> </w:t>
      </w:r>
      <w:r w:rsidR="00BB3C56" w:rsidRPr="00EC02CA">
        <w:t>created</w:t>
      </w:r>
      <w:r w:rsidR="009A7E84" w:rsidRPr="00EC02CA">
        <w:t xml:space="preserve"> </w:t>
      </w:r>
      <w:r w:rsidR="00BB3C56" w:rsidRPr="00EC02CA">
        <w:t>using</w:t>
      </w:r>
      <w:r w:rsidR="009A7E84" w:rsidRPr="00EC02CA">
        <w:t xml:space="preserve"> </w:t>
      </w:r>
      <w:r w:rsidR="008E670E" w:rsidRPr="00EC02CA">
        <w:t xml:space="preserve">generative </w:t>
      </w:r>
      <w:r w:rsidR="00BB3C56" w:rsidRPr="00EC02CA">
        <w:t>artificial</w:t>
      </w:r>
      <w:r w:rsidR="009A7E84" w:rsidRPr="00EC02CA">
        <w:t xml:space="preserve"> </w:t>
      </w:r>
      <w:r w:rsidR="00BB3C56" w:rsidRPr="00EC02CA">
        <w:t>intelligence</w:t>
      </w:r>
      <w:r w:rsidR="009A7E84" w:rsidRPr="00EC02CA">
        <w:t>.</w:t>
      </w:r>
      <w:r w:rsidR="009A7E84" w:rsidRPr="00EC02CA">
        <w:rPr>
          <w:rStyle w:val="FootnoteReference"/>
        </w:rPr>
        <w:footnoteReference w:id="407"/>
      </w:r>
      <w:r w:rsidR="00615BF9" w:rsidRPr="00EC02CA">
        <w:t xml:space="preserve"> This</w:t>
      </w:r>
      <w:r w:rsidR="005F2F5A" w:rsidRPr="00EC02CA">
        <w:t xml:space="preserve"> gap has been recognised in prior research </w:t>
      </w:r>
      <w:r w:rsidR="0090110F" w:rsidRPr="00EC02CA">
        <w:t xml:space="preserve">by the TLRI </w:t>
      </w:r>
      <w:r w:rsidR="005F2F5A" w:rsidRPr="00EC02CA">
        <w:t>and</w:t>
      </w:r>
      <w:r w:rsidR="00F90AEF" w:rsidRPr="00EC02CA">
        <w:t xml:space="preserve"> </w:t>
      </w:r>
      <w:r w:rsidR="00FC0662" w:rsidRPr="00EC02CA">
        <w:t>the TLRI’s view</w:t>
      </w:r>
      <w:r w:rsidR="008E23C3" w:rsidRPr="00EC02CA">
        <w:t xml:space="preserve"> remains that</w:t>
      </w:r>
      <w:r w:rsidR="00FC0662" w:rsidRPr="00EC02CA">
        <w:t xml:space="preserve"> </w:t>
      </w:r>
      <w:r w:rsidR="008E23C3" w:rsidRPr="00EC02CA">
        <w:t>this</w:t>
      </w:r>
      <w:r w:rsidR="00FC0662" w:rsidRPr="00EC02CA">
        <w:t xml:space="preserve"> is an area in which law reform is required</w:t>
      </w:r>
      <w:r w:rsidR="00FB56BE" w:rsidRPr="00EC02CA">
        <w:t>.</w:t>
      </w:r>
      <w:r w:rsidR="0090110F" w:rsidRPr="00EC02CA">
        <w:t xml:space="preserve"> </w:t>
      </w:r>
      <w:r w:rsidR="00FB56BE" w:rsidRPr="00EC02CA">
        <w:t>I</w:t>
      </w:r>
      <w:r w:rsidR="0090110F" w:rsidRPr="00EC02CA">
        <w:t>n the context of this Research Paper,</w:t>
      </w:r>
      <w:r w:rsidR="00FC0662" w:rsidRPr="00EC02CA">
        <w:t xml:space="preserve"> </w:t>
      </w:r>
      <w:r w:rsidR="00FB56BE" w:rsidRPr="00EC02CA">
        <w:t xml:space="preserve">reforms are required to </w:t>
      </w:r>
      <w:r w:rsidR="00020255" w:rsidRPr="00EC02CA">
        <w:t>provide proportionate and appropriate legal option</w:t>
      </w:r>
      <w:r w:rsidR="00FB56BE" w:rsidRPr="00EC02CA">
        <w:t>s</w:t>
      </w:r>
      <w:r w:rsidR="00020255" w:rsidRPr="00EC02CA">
        <w:t xml:space="preserve"> to respond to</w:t>
      </w:r>
      <w:r w:rsidR="009833D2" w:rsidRPr="00EC02CA">
        <w:t xml:space="preserve"> harmful sexual behaviour</w:t>
      </w:r>
      <w:r w:rsidR="00020255" w:rsidRPr="00EC02CA">
        <w:t xml:space="preserve">. </w:t>
      </w:r>
      <w:r w:rsidR="009833D2" w:rsidRPr="00EC02CA">
        <w:t>In</w:t>
      </w:r>
      <w:r w:rsidR="00CB2DB4" w:rsidRPr="00EC02CA">
        <w:t xml:space="preserve"> the </w:t>
      </w:r>
      <w:r w:rsidR="008F346E" w:rsidRPr="00EC02CA">
        <w:t>interviews</w:t>
      </w:r>
      <w:r w:rsidR="009833D2" w:rsidRPr="00EC02CA">
        <w:t xml:space="preserve"> conducted </w:t>
      </w:r>
      <w:r w:rsidR="00FB56BE" w:rsidRPr="00EC02CA">
        <w:t xml:space="preserve">by </w:t>
      </w:r>
      <w:r w:rsidR="009833D2" w:rsidRPr="00EC02CA">
        <w:t>the TLRI</w:t>
      </w:r>
      <w:r w:rsidR="00CB2DB4" w:rsidRPr="00EC02CA">
        <w:t xml:space="preserve">, </w:t>
      </w:r>
      <w:r w:rsidR="009A7FAF" w:rsidRPr="00EC02CA">
        <w:t>interviewees reported</w:t>
      </w:r>
      <w:r w:rsidR="006E40AA" w:rsidRPr="00EC02CA">
        <w:t xml:space="preserve"> that non-consensual sexting</w:t>
      </w:r>
      <w:r w:rsidR="008F346E" w:rsidRPr="00EC02CA">
        <w:t xml:space="preserve"> </w:t>
      </w:r>
      <w:r w:rsidR="009A7FAF" w:rsidRPr="00EC02CA">
        <w:t>wa</w:t>
      </w:r>
      <w:r w:rsidR="009833D2" w:rsidRPr="00EC02CA">
        <w:t>s</w:t>
      </w:r>
      <w:r w:rsidR="008F346E" w:rsidRPr="00EC02CA">
        <w:t xml:space="preserve"> </w:t>
      </w:r>
      <w:r w:rsidR="00FB3F3C" w:rsidRPr="00EC02CA">
        <w:t xml:space="preserve">an </w:t>
      </w:r>
      <w:r w:rsidR="00A97216" w:rsidRPr="00EC02CA">
        <w:t>issue</w:t>
      </w:r>
      <w:r w:rsidR="008F346E" w:rsidRPr="00EC02CA">
        <w:t xml:space="preserve"> among young people</w:t>
      </w:r>
      <w:r w:rsidR="00517E61" w:rsidRPr="00EC02CA">
        <w:t xml:space="preserve"> that </w:t>
      </w:r>
      <w:r w:rsidR="009A7FAF" w:rsidRPr="00EC02CA">
        <w:t>could</w:t>
      </w:r>
      <w:r w:rsidR="00517E61" w:rsidRPr="00EC02CA">
        <w:t xml:space="preserve"> cause considerable harm</w:t>
      </w:r>
      <w:r w:rsidR="00184791" w:rsidRPr="00EC02CA">
        <w:t>.</w:t>
      </w:r>
      <w:r w:rsidR="00517E61" w:rsidRPr="00EC02CA">
        <w:t xml:space="preserve"> This is supported by resea</w:t>
      </w:r>
      <w:r w:rsidR="00897A6F" w:rsidRPr="00EC02CA">
        <w:t>r</w:t>
      </w:r>
      <w:r w:rsidR="00517E61" w:rsidRPr="00EC02CA">
        <w:t xml:space="preserve">ch </w:t>
      </w:r>
      <w:r w:rsidR="00FB56BE" w:rsidRPr="00EC02CA">
        <w:t xml:space="preserve">that </w:t>
      </w:r>
      <w:r w:rsidR="00517E61" w:rsidRPr="00EC02CA">
        <w:t xml:space="preserve">has </w:t>
      </w:r>
      <w:r w:rsidR="009A7FAF" w:rsidRPr="00EC02CA">
        <w:t xml:space="preserve">also </w:t>
      </w:r>
      <w:r w:rsidR="00517E61" w:rsidRPr="00EC02CA">
        <w:t>shown the prevalence</w:t>
      </w:r>
      <w:r w:rsidR="00BB3C56" w:rsidRPr="00EC02CA">
        <w:t xml:space="preserve"> of this behaviour by young people</w:t>
      </w:r>
      <w:r w:rsidR="00517E61" w:rsidRPr="00EC02CA">
        <w:t xml:space="preserve"> and the </w:t>
      </w:r>
      <w:r w:rsidR="009A7FAF" w:rsidRPr="00EC02CA">
        <w:t xml:space="preserve">significant </w:t>
      </w:r>
      <w:r w:rsidR="00517E61" w:rsidRPr="00EC02CA">
        <w:t>harms</w:t>
      </w:r>
      <w:r w:rsidR="009A7FAF" w:rsidRPr="00EC02CA">
        <w:t xml:space="preserve"> that can be</w:t>
      </w:r>
      <w:r w:rsidR="00517E61" w:rsidRPr="00EC02CA">
        <w:t xml:space="preserve"> caused</w:t>
      </w:r>
      <w:r w:rsidR="00A31CC0" w:rsidRPr="00EC02CA">
        <w:t>.</w:t>
      </w:r>
      <w:r w:rsidR="00BB3C56" w:rsidRPr="00EC02CA">
        <w:rPr>
          <w:rStyle w:val="FootnoteReference"/>
        </w:rPr>
        <w:footnoteReference w:id="408"/>
      </w:r>
      <w:r w:rsidR="00A31CC0" w:rsidRPr="00EC02CA">
        <w:t xml:space="preserve"> </w:t>
      </w:r>
    </w:p>
    <w:p w14:paraId="20DFB1BA" w14:textId="7F84B31A" w:rsidR="00A93646" w:rsidRPr="00EC02CA" w:rsidRDefault="002222A8" w:rsidP="00A920EC">
      <w:pPr>
        <w:pStyle w:val="NormalNumberedTextTLRI"/>
      </w:pPr>
      <w:r w:rsidRPr="00EC02CA">
        <w:t xml:space="preserve">As noted </w:t>
      </w:r>
      <w:r w:rsidR="00A520C5" w:rsidRPr="00EC02CA">
        <w:t xml:space="preserve">in 2017 </w:t>
      </w:r>
      <w:r w:rsidRPr="00EC02CA">
        <w:t>by the TL</w:t>
      </w:r>
      <w:r w:rsidR="00742B23" w:rsidRPr="00EC02CA">
        <w:t>R</w:t>
      </w:r>
      <w:r w:rsidRPr="00EC02CA">
        <w:t xml:space="preserve">I in its </w:t>
      </w:r>
      <w:r w:rsidRPr="00EC02CA">
        <w:rPr>
          <w:i/>
          <w:iCs/>
        </w:rPr>
        <w:t>Privacy Final Report</w:t>
      </w:r>
      <w:r w:rsidRPr="00EC02CA">
        <w:t xml:space="preserve">, </w:t>
      </w:r>
      <w:r w:rsidR="00A520C5" w:rsidRPr="00EC02CA">
        <w:t xml:space="preserve">the </w:t>
      </w:r>
      <w:r w:rsidRPr="00EC02CA">
        <w:t xml:space="preserve">Commonwealth, </w:t>
      </w:r>
      <w:r w:rsidR="00A520C5" w:rsidRPr="00EC02CA">
        <w:t>s</w:t>
      </w:r>
      <w:r w:rsidRPr="00EC02CA">
        <w:t xml:space="preserve">tate, and </w:t>
      </w:r>
      <w:r w:rsidR="00A520C5" w:rsidRPr="00EC02CA">
        <w:t>t</w:t>
      </w:r>
      <w:r w:rsidRPr="00EC02CA">
        <w:t xml:space="preserve">erritory jurisdictions agreed to the </w:t>
      </w:r>
      <w:r w:rsidRPr="00EC02CA">
        <w:rPr>
          <w:i/>
          <w:iCs/>
        </w:rPr>
        <w:t>National Statement of Principles Relating to the Criminalisation of the Non-Consensual Sharing of Intimate Images</w:t>
      </w:r>
      <w:r w:rsidR="00742B23" w:rsidRPr="00EC02CA">
        <w:t>,</w:t>
      </w:r>
      <w:r w:rsidRPr="00EC02CA">
        <w:rPr>
          <w:rStyle w:val="FootnoteReference"/>
        </w:rPr>
        <w:footnoteReference w:id="409"/>
      </w:r>
      <w:r w:rsidR="00742B23" w:rsidRPr="00EC02CA">
        <w:t xml:space="preserve"> and th</w:t>
      </w:r>
      <w:r w:rsidRPr="00EC02CA">
        <w:t xml:space="preserve">is resulted in all </w:t>
      </w:r>
      <w:r w:rsidR="00266225" w:rsidRPr="00EC02CA">
        <w:t>s</w:t>
      </w:r>
      <w:r w:rsidRPr="00EC02CA">
        <w:t xml:space="preserve">tates and </w:t>
      </w:r>
      <w:r w:rsidR="00266225" w:rsidRPr="00EC02CA">
        <w:t>t</w:t>
      </w:r>
      <w:r w:rsidRPr="00EC02CA">
        <w:t xml:space="preserve">erritories </w:t>
      </w:r>
      <w:r w:rsidR="00A520C5" w:rsidRPr="00EC02CA">
        <w:t xml:space="preserve">– </w:t>
      </w:r>
      <w:r w:rsidRPr="00EC02CA">
        <w:t>other than Tasmania</w:t>
      </w:r>
      <w:r w:rsidR="00A520C5" w:rsidRPr="00EC02CA">
        <w:t xml:space="preserve"> –</w:t>
      </w:r>
      <w:r w:rsidRPr="00EC02CA">
        <w:t xml:space="preserve"> introduc</w:t>
      </w:r>
      <w:r w:rsidR="00A520C5" w:rsidRPr="00EC02CA">
        <w:t>ing</w:t>
      </w:r>
      <w:r w:rsidRPr="00EC02CA">
        <w:t xml:space="preserve"> offences. </w:t>
      </w:r>
      <w:r w:rsidR="00E52794" w:rsidRPr="00EC02CA">
        <w:t xml:space="preserve">There has also been </w:t>
      </w:r>
      <w:r w:rsidR="00530B63" w:rsidRPr="00EC02CA">
        <w:t>a civil stat</w:t>
      </w:r>
      <w:r w:rsidR="00844E33" w:rsidRPr="00EC02CA">
        <w:t>utory</w:t>
      </w:r>
      <w:r w:rsidR="00530B63" w:rsidRPr="00EC02CA">
        <w:t xml:space="preserve"> </w:t>
      </w:r>
      <w:r w:rsidR="00844E33" w:rsidRPr="00EC02CA">
        <w:t>framework</w:t>
      </w:r>
      <w:r w:rsidR="00530B63" w:rsidRPr="00EC02CA">
        <w:t xml:space="preserve"> </w:t>
      </w:r>
      <w:r w:rsidR="00844E33" w:rsidRPr="00EC02CA">
        <w:t>developed</w:t>
      </w:r>
      <w:r w:rsidR="00A520C5" w:rsidRPr="00EC02CA">
        <w:t xml:space="preserve"> under the </w:t>
      </w:r>
      <w:r w:rsidR="00A520C5" w:rsidRPr="00EC02CA">
        <w:rPr>
          <w:i/>
          <w:iCs/>
        </w:rPr>
        <w:t>Online Safety Act 2021</w:t>
      </w:r>
      <w:r w:rsidR="00A520C5" w:rsidRPr="00EC02CA">
        <w:t xml:space="preserve"> (Cth)</w:t>
      </w:r>
      <w:r w:rsidR="00844E33" w:rsidRPr="00EC02CA">
        <w:t xml:space="preserve"> </w:t>
      </w:r>
      <w:r w:rsidR="00530B63" w:rsidRPr="00EC02CA">
        <w:t>that addresses the non-</w:t>
      </w:r>
      <w:r w:rsidR="00844E33" w:rsidRPr="00EC02CA">
        <w:t>consensual</w:t>
      </w:r>
      <w:r w:rsidR="00530B63" w:rsidRPr="00EC02CA">
        <w:t xml:space="preserve"> sharing of images</w:t>
      </w:r>
      <w:r w:rsidR="00844E33" w:rsidRPr="00EC02CA">
        <w:t xml:space="preserve">. </w:t>
      </w:r>
      <w:r w:rsidR="00897A6F" w:rsidRPr="00EC02CA">
        <w:t>In Tasmania, w</w:t>
      </w:r>
      <w:r w:rsidR="00742B23" w:rsidRPr="00EC02CA">
        <w:t xml:space="preserve">hile the </w:t>
      </w:r>
      <w:r w:rsidR="00742B23" w:rsidRPr="00EC02CA">
        <w:rPr>
          <w:i/>
          <w:iCs/>
        </w:rPr>
        <w:t>Police Offences Act 1935</w:t>
      </w:r>
      <w:r w:rsidR="00742B23" w:rsidRPr="00EC02CA">
        <w:t xml:space="preserve"> (Tas) s</w:t>
      </w:r>
      <w:r w:rsidR="00A520C5" w:rsidRPr="00EC02CA">
        <w:t>s</w:t>
      </w:r>
      <w:r w:rsidR="00742B23" w:rsidRPr="00EC02CA">
        <w:t xml:space="preserve"> 13A, 13B and 13C provide some protection, the TLRI </w:t>
      </w:r>
      <w:r w:rsidR="00897A6F" w:rsidRPr="00EC02CA">
        <w:t>h</w:t>
      </w:r>
      <w:r w:rsidR="00742B23" w:rsidRPr="00EC02CA">
        <w:t>as observed that its scope is more limited tha</w:t>
      </w:r>
      <w:r w:rsidR="00A520C5" w:rsidRPr="00EC02CA">
        <w:t>n</w:t>
      </w:r>
      <w:r w:rsidR="00742B23" w:rsidRPr="00EC02CA">
        <w:t xml:space="preserve"> equivalent offences in other jurisdictions</w:t>
      </w:r>
      <w:r w:rsidR="009626AC" w:rsidRPr="00EC02CA">
        <w:t xml:space="preserve"> </w:t>
      </w:r>
      <w:r w:rsidR="00784E55" w:rsidRPr="00EC02CA">
        <w:t xml:space="preserve">in relation to </w:t>
      </w:r>
      <w:r w:rsidR="00F16A5C" w:rsidRPr="00EC02CA">
        <w:t>the distri</w:t>
      </w:r>
      <w:r w:rsidR="008B5A91" w:rsidRPr="00EC02CA">
        <w:t xml:space="preserve">bution </w:t>
      </w:r>
      <w:r w:rsidR="00897A6F" w:rsidRPr="00EC02CA">
        <w:t xml:space="preserve">of intimate images without </w:t>
      </w:r>
      <w:r w:rsidR="00FF6D84" w:rsidRPr="00EC02CA">
        <w:t>consent</w:t>
      </w:r>
      <w:r w:rsidR="00A520C5" w:rsidRPr="00EC02CA">
        <w:t>,</w:t>
      </w:r>
      <w:r w:rsidR="00FF6D84" w:rsidRPr="00EC02CA">
        <w:t xml:space="preserve"> </w:t>
      </w:r>
      <w:r w:rsidR="008B5A91" w:rsidRPr="00EC02CA">
        <w:t>or threats to distribute in</w:t>
      </w:r>
      <w:r w:rsidR="00FF6D84" w:rsidRPr="00EC02CA">
        <w:t>timate images</w:t>
      </w:r>
      <w:r w:rsidR="00742B23" w:rsidRPr="00EC02CA">
        <w:t>.</w:t>
      </w:r>
      <w:r w:rsidR="00355EE3" w:rsidRPr="00EC02CA">
        <w:rPr>
          <w:rStyle w:val="FootnoteReference"/>
        </w:rPr>
        <w:footnoteReference w:id="410"/>
      </w:r>
      <w:r w:rsidR="0078253A" w:rsidRPr="00EC02CA">
        <w:t xml:space="preserve"> </w:t>
      </w:r>
      <w:r w:rsidRPr="00EC02CA">
        <w:t xml:space="preserve">Accordingly, </w:t>
      </w:r>
      <w:r w:rsidR="00396E95" w:rsidRPr="00EC02CA">
        <w:t>the</w:t>
      </w:r>
      <w:r w:rsidR="002C592E" w:rsidRPr="00EC02CA">
        <w:t xml:space="preserve"> TLRI has previously recommended</w:t>
      </w:r>
      <w:r w:rsidR="00396E95" w:rsidRPr="00EC02CA">
        <w:t xml:space="preserve"> that there is a</w:t>
      </w:r>
      <w:r w:rsidR="002C592E" w:rsidRPr="00EC02CA">
        <w:t xml:space="preserve"> need to reform the laws in Tasmania to strengthen protections against image-based abuse. </w:t>
      </w:r>
      <w:r w:rsidR="003701D2" w:rsidRPr="00EC02CA">
        <w:t xml:space="preserve">Currently, the government is </w:t>
      </w:r>
      <w:r w:rsidR="003B1E53" w:rsidRPr="00EC02CA">
        <w:t>seeking</w:t>
      </w:r>
      <w:r w:rsidR="003701D2" w:rsidRPr="00EC02CA">
        <w:t xml:space="preserve"> feedback in relation to </w:t>
      </w:r>
      <w:r w:rsidR="003B1E53" w:rsidRPr="00EC02CA">
        <w:t>legislative</w:t>
      </w:r>
      <w:r w:rsidR="003701D2" w:rsidRPr="00EC02CA">
        <w:t xml:space="preserve"> reforms that may be required to respond to image-based abuse, </w:t>
      </w:r>
      <w:r w:rsidR="00160DB5" w:rsidRPr="00EC02CA">
        <w:t>including deepfake pornography.</w:t>
      </w:r>
      <w:r w:rsidR="00160DB5" w:rsidRPr="00EC02CA">
        <w:rPr>
          <w:rStyle w:val="FootnoteReference"/>
        </w:rPr>
        <w:footnoteReference w:id="411"/>
      </w:r>
    </w:p>
    <w:p w14:paraId="4FBA0ED5" w14:textId="26D07E2F" w:rsidR="005B5D3A" w:rsidRPr="00EC02CA" w:rsidRDefault="00A93646" w:rsidP="00A920EC">
      <w:pPr>
        <w:pStyle w:val="NormalNumberedTextTLRI"/>
      </w:pPr>
      <w:r w:rsidRPr="00EC02CA">
        <w:t xml:space="preserve">In the context of </w:t>
      </w:r>
      <w:r w:rsidR="0065739A" w:rsidRPr="00EC02CA">
        <w:t>young</w:t>
      </w:r>
      <w:r w:rsidRPr="00EC02CA">
        <w:t xml:space="preserve"> </w:t>
      </w:r>
      <w:r w:rsidR="0065739A" w:rsidRPr="00EC02CA">
        <w:t xml:space="preserve">people </w:t>
      </w:r>
      <w:r w:rsidR="000F756F" w:rsidRPr="00EC02CA">
        <w:t xml:space="preserve">and </w:t>
      </w:r>
      <w:r w:rsidR="0065739A" w:rsidRPr="00EC02CA">
        <w:t xml:space="preserve">image-based offending, the </w:t>
      </w:r>
      <w:r w:rsidR="00E66DCD" w:rsidRPr="00EC02CA">
        <w:t xml:space="preserve">TLRI considers that there is </w:t>
      </w:r>
      <w:r w:rsidR="00B570A9" w:rsidRPr="00EC02CA">
        <w:t xml:space="preserve">a </w:t>
      </w:r>
      <w:r w:rsidR="00E66DCD" w:rsidRPr="00EC02CA">
        <w:t xml:space="preserve">need to </w:t>
      </w:r>
      <w:r w:rsidR="00B570A9" w:rsidRPr="00EC02CA">
        <w:t xml:space="preserve">make changes to the </w:t>
      </w:r>
      <w:r w:rsidR="00B570A9" w:rsidRPr="00EC02CA">
        <w:rPr>
          <w:i/>
          <w:iCs/>
        </w:rPr>
        <w:t xml:space="preserve">Police Offences Act 1995 </w:t>
      </w:r>
      <w:r w:rsidR="00B570A9" w:rsidRPr="00EC02CA">
        <w:t>(Tas)</w:t>
      </w:r>
      <w:r w:rsidR="00392F48" w:rsidRPr="00EC02CA">
        <w:t>. The</w:t>
      </w:r>
      <w:r w:rsidR="00B570A9" w:rsidRPr="00EC02CA">
        <w:t xml:space="preserve"> provisions relating to </w:t>
      </w:r>
      <w:r w:rsidR="002B10EF" w:rsidRPr="00EC02CA">
        <w:t>recording</w:t>
      </w:r>
      <w:r w:rsidR="007B54ED" w:rsidRPr="00EC02CA">
        <w:t xml:space="preserve">, </w:t>
      </w:r>
      <w:r w:rsidR="00B570A9" w:rsidRPr="00EC02CA">
        <w:t>publishing</w:t>
      </w:r>
      <w:r w:rsidR="000F756F" w:rsidRPr="00EC02CA">
        <w:t xml:space="preserve">, </w:t>
      </w:r>
      <w:r w:rsidR="00B570A9" w:rsidRPr="00EC02CA">
        <w:t>distributing</w:t>
      </w:r>
      <w:r w:rsidR="007B54ED" w:rsidRPr="00EC02CA">
        <w:t xml:space="preserve"> or possessing</w:t>
      </w:r>
      <w:r w:rsidR="00B570A9" w:rsidRPr="00EC02CA">
        <w:t xml:space="preserve"> a </w:t>
      </w:r>
      <w:r w:rsidR="00E80805" w:rsidRPr="00EC02CA">
        <w:t>prohibited</w:t>
      </w:r>
      <w:r w:rsidR="00B570A9" w:rsidRPr="00EC02CA">
        <w:t xml:space="preserve"> </w:t>
      </w:r>
      <w:r w:rsidR="00E80805" w:rsidRPr="00EC02CA">
        <w:t xml:space="preserve">visual recording </w:t>
      </w:r>
      <w:r w:rsidR="00392F48" w:rsidRPr="00EC02CA">
        <w:t xml:space="preserve">should be amended </w:t>
      </w:r>
      <w:r w:rsidR="00E80805" w:rsidRPr="00EC02CA">
        <w:t xml:space="preserve">to </w:t>
      </w:r>
      <w:r w:rsidR="00E66DCD" w:rsidRPr="00EC02CA">
        <w:t xml:space="preserve">introduce </w:t>
      </w:r>
      <w:r w:rsidR="00C07F75" w:rsidRPr="00EC02CA">
        <w:t>an offence</w:t>
      </w:r>
      <w:r w:rsidR="00EC6BFB" w:rsidRPr="00EC02CA">
        <w:t xml:space="preserve"> of distribution </w:t>
      </w:r>
      <w:r w:rsidR="00897A6F" w:rsidRPr="00EC02CA">
        <w:t xml:space="preserve">of an intimate image </w:t>
      </w:r>
      <w:r w:rsidR="005B5D3A" w:rsidRPr="00EC02CA">
        <w:t>without</w:t>
      </w:r>
      <w:r w:rsidR="00EC6BFB" w:rsidRPr="00EC02CA">
        <w:t xml:space="preserve"> </w:t>
      </w:r>
      <w:r w:rsidR="005B5D3A" w:rsidRPr="00EC02CA">
        <w:t>consent</w:t>
      </w:r>
      <w:r w:rsidR="00392F48" w:rsidRPr="00EC02CA">
        <w:t>,</w:t>
      </w:r>
      <w:r w:rsidR="00EC6BFB" w:rsidRPr="00EC02CA">
        <w:t xml:space="preserve"> </w:t>
      </w:r>
      <w:r w:rsidR="005B5D3A" w:rsidRPr="00EC02CA">
        <w:t>or threatening to distribute</w:t>
      </w:r>
      <w:r w:rsidR="00EC6BFB" w:rsidRPr="00EC02CA">
        <w:t xml:space="preserve"> an </w:t>
      </w:r>
      <w:r w:rsidR="005B5D3A" w:rsidRPr="00EC02CA">
        <w:t>intimate</w:t>
      </w:r>
      <w:r w:rsidR="00EC6BFB" w:rsidRPr="00EC02CA">
        <w:t xml:space="preserve"> image.</w:t>
      </w:r>
      <w:r w:rsidR="009B23EE" w:rsidRPr="00EC02CA">
        <w:rPr>
          <w:rStyle w:val="FootnoteReference"/>
        </w:rPr>
        <w:footnoteReference w:id="412"/>
      </w:r>
      <w:r w:rsidR="00EC6BFB" w:rsidRPr="00EC02CA">
        <w:t xml:space="preserve"> </w:t>
      </w:r>
      <w:r w:rsidR="009B23EE" w:rsidRPr="00EC02CA">
        <w:t xml:space="preserve">The scope of </w:t>
      </w:r>
      <w:r w:rsidR="00246253" w:rsidRPr="00EC02CA">
        <w:t xml:space="preserve">protection </w:t>
      </w:r>
      <w:r w:rsidR="00392F48" w:rsidRPr="00EC02CA">
        <w:t>should also</w:t>
      </w:r>
      <w:r w:rsidR="00246253" w:rsidRPr="00EC02CA">
        <w:t xml:space="preserve"> extend </w:t>
      </w:r>
      <w:r w:rsidR="00706EA5" w:rsidRPr="00EC02CA">
        <w:t>to a broader category of</w:t>
      </w:r>
      <w:r w:rsidR="009B23EE" w:rsidRPr="00EC02CA">
        <w:t xml:space="preserve"> intimate images</w:t>
      </w:r>
      <w:r w:rsidR="00BF7EE6" w:rsidRPr="00EC02CA">
        <w:t xml:space="preserve"> (</w:t>
      </w:r>
      <w:r w:rsidR="00AC75DB" w:rsidRPr="00EC02CA">
        <w:t xml:space="preserve">for example in </w:t>
      </w:r>
      <w:r w:rsidR="007F6834" w:rsidRPr="00EC02CA">
        <w:t>Victoria</w:t>
      </w:r>
      <w:r w:rsidR="00AC75DB" w:rsidRPr="00EC02CA">
        <w:t>,</w:t>
      </w:r>
      <w:r w:rsidR="007F6834" w:rsidRPr="00EC02CA">
        <w:t xml:space="preserve"> </w:t>
      </w:r>
      <w:r w:rsidR="0000045F" w:rsidRPr="00EC02CA">
        <w:t xml:space="preserve">images that show the breasts of a female, or a transgender or intersex </w:t>
      </w:r>
      <w:r w:rsidR="002B10EF" w:rsidRPr="00EC02CA">
        <w:t>person</w:t>
      </w:r>
      <w:r w:rsidR="0000045F" w:rsidRPr="00EC02CA">
        <w:t xml:space="preserve"> </w:t>
      </w:r>
      <w:r w:rsidR="002B10EF" w:rsidRPr="00EC02CA">
        <w:t>identif</w:t>
      </w:r>
      <w:r w:rsidR="0000045F" w:rsidRPr="00EC02CA">
        <w:t>ying as female</w:t>
      </w:r>
      <w:r w:rsidR="00392F48" w:rsidRPr="00EC02CA">
        <w:t>,</w:t>
      </w:r>
      <w:r w:rsidR="0000045F" w:rsidRPr="00EC02CA">
        <w:t xml:space="preserve"> </w:t>
      </w:r>
      <w:r w:rsidR="002B10EF" w:rsidRPr="00EC02CA">
        <w:t xml:space="preserve">are </w:t>
      </w:r>
      <w:r w:rsidR="0000045F" w:rsidRPr="00EC02CA">
        <w:t>included in the definition).</w:t>
      </w:r>
      <w:r w:rsidR="0000045F" w:rsidRPr="00EC02CA">
        <w:rPr>
          <w:rStyle w:val="FootnoteReference"/>
        </w:rPr>
        <w:footnoteReference w:id="413"/>
      </w:r>
      <w:r w:rsidR="00AC75DB" w:rsidRPr="00EC02CA">
        <w:t xml:space="preserve"> </w:t>
      </w:r>
      <w:r w:rsidR="007B54ED" w:rsidRPr="00EC02CA">
        <w:t xml:space="preserve">In addition, </w:t>
      </w:r>
      <w:r w:rsidR="00392F48" w:rsidRPr="00EC02CA">
        <w:t>the Act should</w:t>
      </w:r>
      <w:r w:rsidR="007B54ED" w:rsidRPr="00EC02CA">
        <w:t xml:space="preserve"> make clear that the </w:t>
      </w:r>
      <w:r w:rsidR="00392F48" w:rsidRPr="00EC02CA">
        <w:t xml:space="preserve">conduct </w:t>
      </w:r>
      <w:r w:rsidR="00E859E9" w:rsidRPr="00EC02CA">
        <w:t>prohibit</w:t>
      </w:r>
      <w:r w:rsidR="00392F48" w:rsidRPr="00EC02CA">
        <w:t>ed by the new offence</w:t>
      </w:r>
      <w:r w:rsidR="007B54ED" w:rsidRPr="00EC02CA">
        <w:t xml:space="preserve"> extends to distributing (or </w:t>
      </w:r>
      <w:r w:rsidR="00E859E9" w:rsidRPr="00EC02CA">
        <w:t>threatening to distribute</w:t>
      </w:r>
      <w:r w:rsidR="007B54ED" w:rsidRPr="00EC02CA">
        <w:t>) images c</w:t>
      </w:r>
      <w:r w:rsidR="00E859E9" w:rsidRPr="00EC02CA">
        <w:t>reated</w:t>
      </w:r>
      <w:r w:rsidR="007B54ED" w:rsidRPr="00EC02CA">
        <w:t xml:space="preserve"> or </w:t>
      </w:r>
      <w:r w:rsidR="00E859E9" w:rsidRPr="00EC02CA">
        <w:t>modified</w:t>
      </w:r>
      <w:r w:rsidR="007B54ED" w:rsidRPr="00EC02CA">
        <w:t xml:space="preserve"> by the use of </w:t>
      </w:r>
      <w:r w:rsidR="00E859E9" w:rsidRPr="00EC02CA">
        <w:t>artificial</w:t>
      </w:r>
      <w:r w:rsidR="007B54ED" w:rsidRPr="00EC02CA">
        <w:t xml:space="preserve"> </w:t>
      </w:r>
      <w:r w:rsidR="00E859E9" w:rsidRPr="00EC02CA">
        <w:t xml:space="preserve">intelligence. </w:t>
      </w:r>
      <w:r w:rsidR="00EC6BFB" w:rsidRPr="00EC02CA">
        <w:t>Th</w:t>
      </w:r>
      <w:r w:rsidR="005B5D3A" w:rsidRPr="00EC02CA">
        <w:t>e</w:t>
      </w:r>
      <w:r w:rsidR="00EC6BFB" w:rsidRPr="00EC02CA">
        <w:t>s</w:t>
      </w:r>
      <w:r w:rsidR="005B5D3A" w:rsidRPr="00EC02CA">
        <w:t>e offences</w:t>
      </w:r>
      <w:r w:rsidR="00EC6BFB" w:rsidRPr="00EC02CA">
        <w:t xml:space="preserve"> should be separate from the child </w:t>
      </w:r>
      <w:r w:rsidR="005B5D3A" w:rsidRPr="00EC02CA">
        <w:t xml:space="preserve">exploitation material offences in the </w:t>
      </w:r>
      <w:r w:rsidR="005B5D3A" w:rsidRPr="00EC02CA">
        <w:rPr>
          <w:i/>
          <w:iCs/>
        </w:rPr>
        <w:t xml:space="preserve">Criminal Code </w:t>
      </w:r>
      <w:r w:rsidR="005B5D3A" w:rsidRPr="00EC02CA">
        <w:t xml:space="preserve">(Tas) and </w:t>
      </w:r>
      <w:r w:rsidR="00AE6154" w:rsidRPr="00EC02CA">
        <w:rPr>
          <w:i/>
          <w:sz w:val="23"/>
          <w:szCs w:val="23"/>
        </w:rPr>
        <w:t>Classification (Publications, Films and Computer Games) Enforcement Act 1995</w:t>
      </w:r>
      <w:r w:rsidR="00AE6154" w:rsidRPr="00EC02CA">
        <w:rPr>
          <w:sz w:val="23"/>
          <w:szCs w:val="23"/>
        </w:rPr>
        <w:t xml:space="preserve"> </w:t>
      </w:r>
      <w:r w:rsidR="00AE6154" w:rsidRPr="00EC02CA">
        <w:t>(Tas</w:t>
      </w:r>
      <w:r w:rsidR="00A96975" w:rsidRPr="00EC02CA">
        <w:t xml:space="preserve">). Such offences </w:t>
      </w:r>
      <w:r w:rsidR="0065739A" w:rsidRPr="00EC02CA">
        <w:t xml:space="preserve">will improve the ability of the youth justice system to provide a </w:t>
      </w:r>
      <w:r w:rsidR="006B3E17" w:rsidRPr="00EC02CA">
        <w:t xml:space="preserve">range of </w:t>
      </w:r>
      <w:r w:rsidR="0065739A" w:rsidRPr="00EC02CA">
        <w:t>response</w:t>
      </w:r>
      <w:r w:rsidR="006B3E17" w:rsidRPr="00EC02CA">
        <w:t>s</w:t>
      </w:r>
      <w:r w:rsidR="0065739A" w:rsidRPr="00EC02CA">
        <w:t xml:space="preserve"> to young people </w:t>
      </w:r>
      <w:r w:rsidR="00392F48" w:rsidRPr="00EC02CA">
        <w:t xml:space="preserve">who engage in </w:t>
      </w:r>
      <w:r w:rsidR="0065739A" w:rsidRPr="00EC02CA">
        <w:t>harmful sexual behaviour</w:t>
      </w:r>
      <w:r w:rsidR="005B5D3A" w:rsidRPr="00EC02CA">
        <w:t xml:space="preserve">, </w:t>
      </w:r>
      <w:r w:rsidR="0065739A" w:rsidRPr="00EC02CA">
        <w:t xml:space="preserve">where </w:t>
      </w:r>
      <w:r w:rsidR="005B5D3A" w:rsidRPr="00EC02CA">
        <w:t xml:space="preserve">a criminal justice intervention is </w:t>
      </w:r>
      <w:r w:rsidR="0065739A" w:rsidRPr="00EC02CA">
        <w:t xml:space="preserve">appropriate. </w:t>
      </w:r>
      <w:r w:rsidR="00A339FC" w:rsidRPr="00EC02CA">
        <w:t>It is necessary to consider whether this should be a summary offence</w:t>
      </w:r>
      <w:r w:rsidR="007008DB" w:rsidRPr="00EC02CA">
        <w:t xml:space="preserve"> (as exists in </w:t>
      </w:r>
      <w:r w:rsidR="00DE4AB3" w:rsidRPr="00EC02CA">
        <w:t xml:space="preserve">South </w:t>
      </w:r>
      <w:r w:rsidR="006A108C" w:rsidRPr="00EC02CA">
        <w:t>Australia</w:t>
      </w:r>
      <w:r w:rsidR="008326C2" w:rsidRPr="00EC02CA">
        <w:t>)</w:t>
      </w:r>
      <w:r w:rsidR="00A339FC" w:rsidRPr="00EC02CA">
        <w:t>,</w:t>
      </w:r>
      <w:r w:rsidR="008326C2" w:rsidRPr="00EC02CA">
        <w:rPr>
          <w:rStyle w:val="FootnoteReference"/>
        </w:rPr>
        <w:footnoteReference w:id="414"/>
      </w:r>
      <w:r w:rsidR="00A339FC" w:rsidRPr="00EC02CA">
        <w:t xml:space="preserve"> an indictable offence </w:t>
      </w:r>
      <w:r w:rsidR="00277729" w:rsidRPr="00EC02CA">
        <w:t>(as exists in Victoria</w:t>
      </w:r>
      <w:r w:rsidR="00F40DE4" w:rsidRPr="00EC02CA">
        <w:t>)</w:t>
      </w:r>
      <w:r w:rsidR="009532D0" w:rsidRPr="00EC02CA">
        <w:t xml:space="preserve">, an </w:t>
      </w:r>
      <w:r w:rsidR="00A10B7A" w:rsidRPr="00EC02CA">
        <w:t>indictable</w:t>
      </w:r>
      <w:r w:rsidR="009532D0" w:rsidRPr="00EC02CA">
        <w:t xml:space="preserve"> </w:t>
      </w:r>
      <w:r w:rsidR="00A10B7A" w:rsidRPr="00EC02CA">
        <w:t>offence</w:t>
      </w:r>
      <w:r w:rsidR="009532D0" w:rsidRPr="00EC02CA">
        <w:t xml:space="preserve"> that can be </w:t>
      </w:r>
      <w:r w:rsidR="00A10B7A" w:rsidRPr="00EC02CA">
        <w:t>dealt</w:t>
      </w:r>
      <w:r w:rsidR="009532D0" w:rsidRPr="00EC02CA">
        <w:t xml:space="preserve"> with </w:t>
      </w:r>
      <w:r w:rsidR="00A10B7A" w:rsidRPr="00EC02CA">
        <w:t>summarily</w:t>
      </w:r>
      <w:r w:rsidR="009532D0" w:rsidRPr="00EC02CA">
        <w:t xml:space="preserve"> (as is the position in New South Wales)</w:t>
      </w:r>
      <w:r w:rsidR="003D2AEA" w:rsidRPr="00EC02CA">
        <w:t>,</w:t>
      </w:r>
      <w:r w:rsidR="009532D0" w:rsidRPr="00EC02CA">
        <w:rPr>
          <w:rStyle w:val="FootnoteReference"/>
        </w:rPr>
        <w:footnoteReference w:id="415"/>
      </w:r>
      <w:r w:rsidR="009532D0" w:rsidRPr="00EC02CA">
        <w:t xml:space="preserve"> </w:t>
      </w:r>
      <w:r w:rsidR="00A339FC" w:rsidRPr="00EC02CA">
        <w:t xml:space="preserve">or both a summary and </w:t>
      </w:r>
      <w:r w:rsidR="00F40DE4" w:rsidRPr="00EC02CA">
        <w:t xml:space="preserve">an </w:t>
      </w:r>
      <w:r w:rsidR="00A339FC" w:rsidRPr="00EC02CA">
        <w:t>indictable offence</w:t>
      </w:r>
      <w:r w:rsidR="00F40DE4" w:rsidRPr="00EC02CA">
        <w:t xml:space="preserve">  (as is the current position with child exploitation material offenc</w:t>
      </w:r>
      <w:r w:rsidR="001B5407" w:rsidRPr="00EC02CA">
        <w:t>es)</w:t>
      </w:r>
      <w:r w:rsidR="00B1500E" w:rsidRPr="00EC02CA">
        <w:t>.</w:t>
      </w:r>
      <w:r w:rsidR="00695017" w:rsidRPr="00EC02CA">
        <w:t xml:space="preserve"> Accordingly, the precise wor</w:t>
      </w:r>
      <w:r w:rsidR="00B203BF" w:rsidRPr="00EC02CA">
        <w:t>d</w:t>
      </w:r>
      <w:r w:rsidR="00695017" w:rsidRPr="00EC02CA">
        <w:t xml:space="preserve">ing of any new offence, and which legislation </w:t>
      </w:r>
      <w:r w:rsidR="00205475" w:rsidRPr="00EC02CA">
        <w:t>such a</w:t>
      </w:r>
      <w:r w:rsidR="003D2AEA" w:rsidRPr="00EC02CA">
        <w:t>n</w:t>
      </w:r>
      <w:r w:rsidR="00205475" w:rsidRPr="00EC02CA">
        <w:t xml:space="preserve"> offence should be included </w:t>
      </w:r>
      <w:r w:rsidR="007B0E34" w:rsidRPr="00EC02CA">
        <w:t>in</w:t>
      </w:r>
      <w:r w:rsidR="00392F48" w:rsidRPr="00EC02CA">
        <w:t>,</w:t>
      </w:r>
      <w:r w:rsidR="007B0E34" w:rsidRPr="00EC02CA">
        <w:t xml:space="preserve"> are matters</w:t>
      </w:r>
      <w:r w:rsidR="00205475" w:rsidRPr="00EC02CA">
        <w:t xml:space="preserve"> that require further focussed consultation.</w:t>
      </w:r>
    </w:p>
    <w:p w14:paraId="2A59B00C" w14:textId="1DC31EDF" w:rsidR="00F97044" w:rsidRPr="00EC02CA" w:rsidRDefault="00E859E9" w:rsidP="00A920EC">
      <w:pPr>
        <w:pStyle w:val="NormalNumberedTextTLRI"/>
      </w:pPr>
      <w:r w:rsidRPr="00EC02CA">
        <w:t xml:space="preserve">A </w:t>
      </w:r>
      <w:r w:rsidR="00BE52D1" w:rsidRPr="00EC02CA">
        <w:t>further</w:t>
      </w:r>
      <w:r w:rsidRPr="00EC02CA">
        <w:t xml:space="preserve"> area for review and potential </w:t>
      </w:r>
      <w:r w:rsidR="00BE52D1" w:rsidRPr="00EC02CA">
        <w:t>reform</w:t>
      </w:r>
      <w:r w:rsidRPr="00EC02CA">
        <w:t xml:space="preserve"> relates to police powers</w:t>
      </w:r>
      <w:r w:rsidR="00BE52D1" w:rsidRPr="00EC02CA">
        <w:t xml:space="preserve">. </w:t>
      </w:r>
      <w:r w:rsidR="00F97044" w:rsidRPr="00EC02CA">
        <w:t xml:space="preserve">Based on </w:t>
      </w:r>
      <w:r w:rsidR="00E86FE1" w:rsidRPr="00EC02CA">
        <w:t xml:space="preserve">feedback provided to the TLRI in interviews, the TLRI’s view is that </w:t>
      </w:r>
      <w:r w:rsidR="002231DB" w:rsidRPr="00EC02CA">
        <w:t xml:space="preserve">the powers of </w:t>
      </w:r>
      <w:r w:rsidR="008158E2" w:rsidRPr="00EC02CA">
        <w:t xml:space="preserve">Tasmania Police </w:t>
      </w:r>
      <w:r w:rsidR="002231DB" w:rsidRPr="00EC02CA">
        <w:t>be reviewed to determine whether they are adequate for the purposes of investigating online offending</w:t>
      </w:r>
      <w:r w:rsidR="00392F48" w:rsidRPr="00EC02CA">
        <w:t xml:space="preserve">, </w:t>
      </w:r>
      <w:r w:rsidR="002231DB" w:rsidRPr="00EC02CA">
        <w:t xml:space="preserve">particularly </w:t>
      </w:r>
      <w:r w:rsidR="003C12E3" w:rsidRPr="00EC02CA">
        <w:t xml:space="preserve">in light of </w:t>
      </w:r>
      <w:r w:rsidR="002231DB" w:rsidRPr="00EC02CA">
        <w:t xml:space="preserve">the powers to </w:t>
      </w:r>
      <w:r w:rsidR="00392F48" w:rsidRPr="00EC02CA">
        <w:t xml:space="preserve">compel disclosure of a password and gain </w:t>
      </w:r>
      <w:r w:rsidR="002231DB" w:rsidRPr="00EC02CA">
        <w:t xml:space="preserve">access to data stored on someone’s </w:t>
      </w:r>
      <w:r w:rsidR="00CA15E0" w:rsidRPr="00EC02CA">
        <w:t>phone or computer</w:t>
      </w:r>
      <w:r w:rsidR="00392F48" w:rsidRPr="00EC02CA">
        <w:t>, under</w:t>
      </w:r>
      <w:r w:rsidR="00A80713" w:rsidRPr="00EC02CA">
        <w:t xml:space="preserve"> the </w:t>
      </w:r>
      <w:r w:rsidR="00A80713" w:rsidRPr="00EC02CA">
        <w:rPr>
          <w:i/>
          <w:iCs/>
        </w:rPr>
        <w:t xml:space="preserve">Crimes Act 1914 </w:t>
      </w:r>
      <w:r w:rsidR="00A80713" w:rsidRPr="00EC02CA">
        <w:t>(Cth) s 3LA</w:t>
      </w:r>
      <w:r w:rsidR="000964F6" w:rsidRPr="00EC02CA">
        <w:t>.</w:t>
      </w:r>
      <w:r w:rsidR="002C2E40" w:rsidRPr="00EC02CA">
        <w:t xml:space="preserve"> </w:t>
      </w:r>
      <w:r w:rsidR="008147DC" w:rsidRPr="00EC02CA">
        <w:t xml:space="preserve">This </w:t>
      </w:r>
      <w:r w:rsidR="00392F48" w:rsidRPr="00EC02CA">
        <w:t xml:space="preserve">provision </w:t>
      </w:r>
      <w:r w:rsidR="008147DC" w:rsidRPr="00EC02CA">
        <w:t xml:space="preserve">provides powers beyond those that </w:t>
      </w:r>
      <w:r w:rsidR="00A513CC" w:rsidRPr="00EC02CA">
        <w:t>exist</w:t>
      </w:r>
      <w:r w:rsidR="008147DC" w:rsidRPr="00EC02CA">
        <w:t xml:space="preserve"> under the </w:t>
      </w:r>
      <w:r w:rsidR="00A513CC" w:rsidRPr="00EC02CA">
        <w:rPr>
          <w:i/>
          <w:iCs/>
        </w:rPr>
        <w:t>Search</w:t>
      </w:r>
      <w:r w:rsidR="008147DC" w:rsidRPr="00EC02CA">
        <w:rPr>
          <w:i/>
          <w:iCs/>
        </w:rPr>
        <w:t xml:space="preserve"> </w:t>
      </w:r>
      <w:r w:rsidR="00A513CC" w:rsidRPr="00EC02CA">
        <w:rPr>
          <w:i/>
          <w:iCs/>
        </w:rPr>
        <w:t xml:space="preserve">Warrants Act 1997 </w:t>
      </w:r>
      <w:r w:rsidR="00A513CC" w:rsidRPr="00EC02CA">
        <w:t>(Tas)</w:t>
      </w:r>
      <w:r w:rsidR="00225A8F" w:rsidRPr="00EC02CA">
        <w:t>.</w:t>
      </w:r>
    </w:p>
    <w:p w14:paraId="521D47B1" w14:textId="193AD11F" w:rsidR="004C465A" w:rsidRPr="00EC02CA" w:rsidRDefault="00E860CD" w:rsidP="00A920EC">
      <w:pPr>
        <w:pStyle w:val="TLRISubheading"/>
      </w:pPr>
      <w:bookmarkStart w:id="224" w:name="_Toc218157297"/>
      <w:r w:rsidRPr="00EC02CA">
        <w:t>Recommendation</w:t>
      </w:r>
      <w:r w:rsidR="00181BBA" w:rsidRPr="00EC02CA">
        <w:t>s</w:t>
      </w:r>
      <w:bookmarkEnd w:id="224"/>
    </w:p>
    <w:p w14:paraId="0D67DBAB" w14:textId="02AB1F95" w:rsidR="00740B01" w:rsidRPr="00EC02CA" w:rsidRDefault="00D41599" w:rsidP="00A920EC">
      <w:pPr>
        <w:rPr>
          <w:b/>
          <w:bCs/>
        </w:rPr>
      </w:pPr>
      <w:r w:rsidRPr="00EC02CA">
        <w:rPr>
          <w:b/>
          <w:bCs/>
        </w:rPr>
        <w:t xml:space="preserve">Recommendation </w:t>
      </w:r>
      <w:r w:rsidR="00DF6F03" w:rsidRPr="00EC02CA">
        <w:rPr>
          <w:b/>
          <w:bCs/>
        </w:rPr>
        <w:t>1</w:t>
      </w:r>
      <w:r w:rsidRPr="00EC02CA">
        <w:t>:</w:t>
      </w:r>
      <w:r w:rsidR="005C7A95" w:rsidRPr="00EC02CA">
        <w:rPr>
          <w:b/>
          <w:bCs/>
        </w:rPr>
        <w:t xml:space="preserve"> </w:t>
      </w:r>
      <w:r w:rsidR="00E860CD" w:rsidRPr="00EC02CA">
        <w:t xml:space="preserve">The </w:t>
      </w:r>
      <w:r w:rsidR="0087056A" w:rsidRPr="00EC02CA">
        <w:t xml:space="preserve">defences that apply to young people for the offences concerning child exploitation material contained in the </w:t>
      </w:r>
      <w:r w:rsidR="00E860CD" w:rsidRPr="00EC02CA">
        <w:rPr>
          <w:i/>
          <w:iCs/>
        </w:rPr>
        <w:t xml:space="preserve">Criminal Code </w:t>
      </w:r>
      <w:r w:rsidR="00E860CD" w:rsidRPr="00EC02CA">
        <w:t>(Tas)</w:t>
      </w:r>
      <w:r w:rsidR="0007588A" w:rsidRPr="00EC02CA">
        <w:t xml:space="preserve">, </w:t>
      </w:r>
      <w:r w:rsidR="00E860CD" w:rsidRPr="00EC02CA">
        <w:t xml:space="preserve">the </w:t>
      </w:r>
      <w:r w:rsidR="0087056A" w:rsidRPr="00EC02CA">
        <w:rPr>
          <w:i/>
          <w:iCs/>
        </w:rPr>
        <w:t xml:space="preserve">Classification (Publications, Films and Computer Games) Enforcement Act 1995 </w:t>
      </w:r>
      <w:r w:rsidR="0087056A" w:rsidRPr="00EC02CA">
        <w:t xml:space="preserve">(Tas) </w:t>
      </w:r>
      <w:r w:rsidR="0007588A" w:rsidRPr="00EC02CA">
        <w:t xml:space="preserve">and the </w:t>
      </w:r>
      <w:r w:rsidR="005D4971" w:rsidRPr="00EC02CA">
        <w:rPr>
          <w:i/>
          <w:iCs/>
        </w:rPr>
        <w:t>Police</w:t>
      </w:r>
      <w:r w:rsidR="0007588A" w:rsidRPr="00EC02CA">
        <w:rPr>
          <w:i/>
          <w:iCs/>
        </w:rPr>
        <w:t xml:space="preserve"> Offences Act </w:t>
      </w:r>
      <w:r w:rsidR="005D4971" w:rsidRPr="00EC02CA">
        <w:rPr>
          <w:i/>
          <w:iCs/>
        </w:rPr>
        <w:t xml:space="preserve">1935 </w:t>
      </w:r>
      <w:r w:rsidR="005D4971" w:rsidRPr="00EC02CA">
        <w:t xml:space="preserve">(Tas) </w:t>
      </w:r>
      <w:r w:rsidR="006C7A14" w:rsidRPr="00EC02CA">
        <w:t xml:space="preserve">should </w:t>
      </w:r>
      <w:r w:rsidR="0087056A" w:rsidRPr="00EC02CA">
        <w:t xml:space="preserve">be reviewed and clarified </w:t>
      </w:r>
      <w:r w:rsidR="00F424DE" w:rsidRPr="00EC02CA">
        <w:t>in relation to a</w:t>
      </w:r>
      <w:r w:rsidR="0087056A" w:rsidRPr="00EC02CA">
        <w:t xml:space="preserve"> young person</w:t>
      </w:r>
      <w:r w:rsidR="00F424DE" w:rsidRPr="00EC02CA">
        <w:t>’s criminal responsibility</w:t>
      </w:r>
      <w:r w:rsidR="0087056A" w:rsidRPr="00EC02CA">
        <w:t xml:space="preserve"> </w:t>
      </w:r>
      <w:r w:rsidR="00C91EC4" w:rsidRPr="00EC02CA">
        <w:t>for</w:t>
      </w:r>
      <w:r w:rsidR="00740B01" w:rsidRPr="00EC02CA">
        <w:t>:</w:t>
      </w:r>
    </w:p>
    <w:p w14:paraId="303523CF" w14:textId="7341D9D6" w:rsidR="00740B01" w:rsidRPr="00EC02CA" w:rsidRDefault="00EC495E" w:rsidP="00A920EC">
      <w:pPr>
        <w:pStyle w:val="NormalNumberedTextTLRI"/>
        <w:numPr>
          <w:ilvl w:val="0"/>
          <w:numId w:val="236"/>
        </w:numPr>
      </w:pPr>
      <w:r w:rsidRPr="00EC02CA">
        <w:t>producing, distributing, accessing or possessing an</w:t>
      </w:r>
      <w:r w:rsidR="00C91EC4" w:rsidRPr="00EC02CA">
        <w:t xml:space="preserve"> image </w:t>
      </w:r>
      <w:r w:rsidRPr="00EC02CA">
        <w:t>depicting</w:t>
      </w:r>
      <w:r w:rsidR="00C91EC4" w:rsidRPr="00EC02CA">
        <w:t xml:space="preserve"> themselves</w:t>
      </w:r>
      <w:r w:rsidR="00D41599" w:rsidRPr="00EC02CA">
        <w:t>;</w:t>
      </w:r>
    </w:p>
    <w:p w14:paraId="5C332CC5" w14:textId="404EE9B8" w:rsidR="004A21DA" w:rsidRPr="00EC02CA" w:rsidRDefault="0060373F" w:rsidP="00A920EC">
      <w:pPr>
        <w:pStyle w:val="NormalNumberedTextTLRI"/>
        <w:numPr>
          <w:ilvl w:val="0"/>
          <w:numId w:val="236"/>
        </w:numPr>
      </w:pPr>
      <w:r w:rsidRPr="00EC02CA">
        <w:t>p</w:t>
      </w:r>
      <w:r w:rsidR="002A1FF7" w:rsidRPr="00EC02CA">
        <w:t>roducing</w:t>
      </w:r>
      <w:r w:rsidR="00740B01" w:rsidRPr="00EC02CA">
        <w:t xml:space="preserve"> an ima</w:t>
      </w:r>
      <w:r w:rsidR="00C32197" w:rsidRPr="00EC02CA">
        <w:t>ge of another young person with their consent</w:t>
      </w:r>
      <w:r w:rsidR="002A1FF7" w:rsidRPr="00EC02CA">
        <w:t xml:space="preserve">, distributing </w:t>
      </w:r>
      <w:r w:rsidR="004A21DA" w:rsidRPr="00EC02CA">
        <w:t xml:space="preserve">that image </w:t>
      </w:r>
      <w:r w:rsidR="002A1FF7" w:rsidRPr="00EC02CA">
        <w:t>to the</w:t>
      </w:r>
      <w:r w:rsidR="004A21DA" w:rsidRPr="00EC02CA">
        <w:t xml:space="preserve"> </w:t>
      </w:r>
      <w:r w:rsidR="006030BB" w:rsidRPr="00EC02CA">
        <w:t>young person depicted</w:t>
      </w:r>
      <w:r w:rsidR="6FDAD268" w:rsidRPr="00EC02CA">
        <w:t>,</w:t>
      </w:r>
      <w:r w:rsidR="00C91EC4" w:rsidRPr="00EC02CA">
        <w:t xml:space="preserve"> or </w:t>
      </w:r>
      <w:r w:rsidR="00EC495E" w:rsidRPr="00EC02CA">
        <w:t>possessing</w:t>
      </w:r>
      <w:r w:rsidR="00235050" w:rsidRPr="00EC02CA">
        <w:t xml:space="preserve"> or accessing</w:t>
      </w:r>
      <w:r w:rsidR="00EC495E" w:rsidRPr="00EC02CA">
        <w:t xml:space="preserve"> </w:t>
      </w:r>
      <w:r w:rsidR="00740B01" w:rsidRPr="00EC02CA">
        <w:t xml:space="preserve">that </w:t>
      </w:r>
      <w:r w:rsidR="00C91EC4" w:rsidRPr="00EC02CA">
        <w:t>image</w:t>
      </w:r>
      <w:r w:rsidR="006C7A14" w:rsidRPr="00EC02CA">
        <w:t>; and</w:t>
      </w:r>
    </w:p>
    <w:p w14:paraId="2149E734" w14:textId="2E68FECD" w:rsidR="00EC495E" w:rsidRPr="00EC02CA" w:rsidRDefault="0060373F" w:rsidP="00A920EC">
      <w:pPr>
        <w:pStyle w:val="NormalNumberedTextTLRI"/>
        <w:numPr>
          <w:ilvl w:val="0"/>
          <w:numId w:val="236"/>
        </w:numPr>
      </w:pPr>
      <w:r w:rsidRPr="00EC02CA">
        <w:t>possessing</w:t>
      </w:r>
      <w:r w:rsidR="00900820" w:rsidRPr="00EC02CA">
        <w:t xml:space="preserve"> or accessing an image </w:t>
      </w:r>
      <w:r w:rsidR="00C91EC4" w:rsidRPr="00EC02CA">
        <w:t>that</w:t>
      </w:r>
      <w:r w:rsidR="00235050" w:rsidRPr="00EC02CA">
        <w:t xml:space="preserve"> was produced by another young person and provided</w:t>
      </w:r>
      <w:r w:rsidR="00C91EC4" w:rsidRPr="00EC02CA">
        <w:t xml:space="preserve"> consensually </w:t>
      </w:r>
      <w:r w:rsidR="00EC495E" w:rsidRPr="00EC02CA">
        <w:t xml:space="preserve">to them by </w:t>
      </w:r>
      <w:r w:rsidR="00235050" w:rsidRPr="00EC02CA">
        <w:t xml:space="preserve">that </w:t>
      </w:r>
      <w:r w:rsidR="00C91EC4" w:rsidRPr="00EC02CA">
        <w:t>person</w:t>
      </w:r>
      <w:r w:rsidR="00EC495E" w:rsidRPr="00EC02CA">
        <w:t xml:space="preserve">. </w:t>
      </w:r>
    </w:p>
    <w:p w14:paraId="45769333" w14:textId="0DF1CB6A" w:rsidR="00900820" w:rsidRPr="00EC02CA" w:rsidRDefault="00D41599" w:rsidP="00A920EC">
      <w:r w:rsidRPr="00EC02CA">
        <w:rPr>
          <w:b/>
          <w:bCs/>
        </w:rPr>
        <w:t xml:space="preserve">Recommendation </w:t>
      </w:r>
      <w:r w:rsidR="00DF6F03" w:rsidRPr="00EC02CA">
        <w:rPr>
          <w:b/>
          <w:bCs/>
        </w:rPr>
        <w:t>2</w:t>
      </w:r>
      <w:r w:rsidR="006C7A14" w:rsidRPr="00EC02CA">
        <w:t>:</w:t>
      </w:r>
      <w:r w:rsidR="005C7A95" w:rsidRPr="00EC02CA">
        <w:rPr>
          <w:b/>
          <w:bCs/>
        </w:rPr>
        <w:t xml:space="preserve"> </w:t>
      </w:r>
      <w:r w:rsidR="00900820" w:rsidRPr="00EC02CA">
        <w:t xml:space="preserve">The </w:t>
      </w:r>
      <w:r w:rsidR="00900820" w:rsidRPr="00EC02CA">
        <w:rPr>
          <w:i/>
          <w:iCs/>
        </w:rPr>
        <w:t xml:space="preserve">Criminal Code </w:t>
      </w:r>
      <w:r w:rsidR="00900820" w:rsidRPr="00EC02CA">
        <w:t xml:space="preserve">(Tas) </w:t>
      </w:r>
      <w:r w:rsidR="00165F98" w:rsidRPr="00EC02CA">
        <w:t>s</w:t>
      </w:r>
      <w:r w:rsidR="006C7A14" w:rsidRPr="00EC02CA">
        <w:t>s</w:t>
      </w:r>
      <w:r w:rsidR="0045722F" w:rsidRPr="00EC02CA">
        <w:t xml:space="preserve"> </w:t>
      </w:r>
      <w:r w:rsidR="00165F98" w:rsidRPr="00EC02CA">
        <w:t>130</w:t>
      </w:r>
      <w:r w:rsidR="00A86A3A" w:rsidRPr="00EC02CA">
        <w:t xml:space="preserve">–130D </w:t>
      </w:r>
      <w:r w:rsidR="007E0DE1" w:rsidRPr="00EC02CA">
        <w:t xml:space="preserve">and the </w:t>
      </w:r>
      <w:r w:rsidR="007E0DE1" w:rsidRPr="00EC02CA">
        <w:rPr>
          <w:i/>
          <w:iCs/>
        </w:rPr>
        <w:t xml:space="preserve">Classification (Publication, Films and Computer Games) </w:t>
      </w:r>
      <w:r w:rsidR="00886351" w:rsidRPr="00EC02CA">
        <w:rPr>
          <w:i/>
          <w:iCs/>
        </w:rPr>
        <w:t>Enforcement</w:t>
      </w:r>
      <w:r w:rsidR="007E0DE1" w:rsidRPr="00EC02CA">
        <w:rPr>
          <w:i/>
          <w:iCs/>
        </w:rPr>
        <w:t xml:space="preserve"> Act 1995 </w:t>
      </w:r>
      <w:r w:rsidR="007E0DE1" w:rsidRPr="00EC02CA">
        <w:t>(Tas) s</w:t>
      </w:r>
      <w:r w:rsidR="006C7A14" w:rsidRPr="00EC02CA">
        <w:t>s</w:t>
      </w:r>
      <w:r w:rsidR="007E0DE1" w:rsidRPr="00EC02CA">
        <w:t xml:space="preserve"> 72A, </w:t>
      </w:r>
      <w:r w:rsidR="00463715" w:rsidRPr="00EC02CA">
        <w:t>73</w:t>
      </w:r>
      <w:r w:rsidR="00886351" w:rsidRPr="00EC02CA">
        <w:t xml:space="preserve"> </w:t>
      </w:r>
      <w:r w:rsidR="006C7A14" w:rsidRPr="00EC02CA">
        <w:t xml:space="preserve">and </w:t>
      </w:r>
      <w:r w:rsidR="00886351" w:rsidRPr="00EC02CA">
        <w:t xml:space="preserve">74A </w:t>
      </w:r>
      <w:r w:rsidR="00A86A3A" w:rsidRPr="00EC02CA">
        <w:t>should be amended to require th</w:t>
      </w:r>
      <w:r w:rsidR="00B04014" w:rsidRPr="00EC02CA">
        <w:t>at proceedings against a youth</w:t>
      </w:r>
      <w:r w:rsidR="0029005E" w:rsidRPr="00EC02CA">
        <w:t xml:space="preserve"> (as defined in the </w:t>
      </w:r>
      <w:r w:rsidR="0029005E" w:rsidRPr="00EC02CA">
        <w:rPr>
          <w:i/>
          <w:iCs/>
        </w:rPr>
        <w:t xml:space="preserve">Youth Justice Act 1997 </w:t>
      </w:r>
      <w:r w:rsidR="0029005E" w:rsidRPr="00EC02CA">
        <w:t>(Tas))</w:t>
      </w:r>
      <w:r w:rsidR="00B04014" w:rsidRPr="00EC02CA">
        <w:t xml:space="preserve"> should only </w:t>
      </w:r>
      <w:r w:rsidR="0029005E" w:rsidRPr="00EC02CA">
        <w:t>be instituted by or with th</w:t>
      </w:r>
      <w:r w:rsidR="00A86A3A" w:rsidRPr="00EC02CA">
        <w:t>e</w:t>
      </w:r>
      <w:r w:rsidR="00165F98" w:rsidRPr="00EC02CA">
        <w:t xml:space="preserve"> </w:t>
      </w:r>
      <w:r w:rsidR="00900820" w:rsidRPr="00EC02CA">
        <w:t xml:space="preserve">approval of the </w:t>
      </w:r>
      <w:r w:rsidR="00165F98" w:rsidRPr="00EC02CA">
        <w:t>Director</w:t>
      </w:r>
      <w:r w:rsidR="00900820" w:rsidRPr="00EC02CA">
        <w:t xml:space="preserve"> of </w:t>
      </w:r>
      <w:r w:rsidR="00165F98" w:rsidRPr="00EC02CA">
        <w:t>P</w:t>
      </w:r>
      <w:r w:rsidR="00900820" w:rsidRPr="00EC02CA">
        <w:t>ublic P</w:t>
      </w:r>
      <w:r w:rsidR="00165F98" w:rsidRPr="00EC02CA">
        <w:t>rosecutions</w:t>
      </w:r>
      <w:r w:rsidR="0029005E" w:rsidRPr="00EC02CA">
        <w:t>.</w:t>
      </w:r>
    </w:p>
    <w:p w14:paraId="05020011" w14:textId="10156924" w:rsidR="00EC495E" w:rsidRPr="00EC02CA" w:rsidRDefault="006C7A14" w:rsidP="00A920EC">
      <w:r w:rsidRPr="00EC02CA">
        <w:rPr>
          <w:b/>
          <w:bCs/>
        </w:rPr>
        <w:t xml:space="preserve">Recommendation </w:t>
      </w:r>
      <w:r w:rsidR="00DF6F03" w:rsidRPr="00EC02CA">
        <w:rPr>
          <w:b/>
          <w:bCs/>
        </w:rPr>
        <w:t>3</w:t>
      </w:r>
      <w:r w:rsidRPr="00EC02CA">
        <w:t>:</w:t>
      </w:r>
      <w:r w:rsidR="00900820" w:rsidRPr="00EC02CA">
        <w:t xml:space="preserve"> </w:t>
      </w:r>
      <w:r w:rsidR="005C7A95" w:rsidRPr="00EC02CA">
        <w:t xml:space="preserve">An offence relating to the non-consensual sharing </w:t>
      </w:r>
      <w:r w:rsidR="00545C03" w:rsidRPr="00EC02CA">
        <w:t xml:space="preserve">or threatening to share </w:t>
      </w:r>
      <w:r w:rsidR="005C7A95" w:rsidRPr="00EC02CA">
        <w:t>intimate images should be created in Tasma</w:t>
      </w:r>
      <w:r w:rsidR="00695017" w:rsidRPr="00EC02CA">
        <w:t xml:space="preserve">nia </w:t>
      </w:r>
      <w:r w:rsidR="00545C03" w:rsidRPr="00EC02CA">
        <w:t xml:space="preserve">(see </w:t>
      </w:r>
      <w:r w:rsidR="000035DF" w:rsidRPr="00EC02CA">
        <w:t xml:space="preserve">TLRI’s </w:t>
      </w:r>
      <w:r w:rsidR="00EC3A79" w:rsidRPr="00EC02CA">
        <w:t>R</w:t>
      </w:r>
      <w:r w:rsidR="00181BBA" w:rsidRPr="00EC02CA">
        <w:t>ecommendation</w:t>
      </w:r>
      <w:r w:rsidR="00EC3A79" w:rsidRPr="00EC02CA">
        <w:t xml:space="preserve"> 61 </w:t>
      </w:r>
      <w:r w:rsidR="00181BBA" w:rsidRPr="00EC02CA">
        <w:t xml:space="preserve">in the </w:t>
      </w:r>
      <w:r w:rsidR="00181BBA" w:rsidRPr="00EC02CA">
        <w:rPr>
          <w:i/>
          <w:iCs/>
        </w:rPr>
        <w:t xml:space="preserve">Review </w:t>
      </w:r>
      <w:r w:rsidR="00545C03" w:rsidRPr="00EC02CA">
        <w:rPr>
          <w:i/>
          <w:iCs/>
        </w:rPr>
        <w:t>of</w:t>
      </w:r>
      <w:r w:rsidR="00181BBA" w:rsidRPr="00EC02CA">
        <w:rPr>
          <w:i/>
          <w:iCs/>
        </w:rPr>
        <w:t xml:space="preserve"> Privacy </w:t>
      </w:r>
      <w:r w:rsidR="00EC3A79" w:rsidRPr="00EC02CA">
        <w:rPr>
          <w:i/>
          <w:iCs/>
        </w:rPr>
        <w:t>L</w:t>
      </w:r>
      <w:r w:rsidR="00181BBA" w:rsidRPr="00EC02CA">
        <w:rPr>
          <w:i/>
          <w:iCs/>
        </w:rPr>
        <w:t>aws in Tasmania</w:t>
      </w:r>
      <w:r w:rsidR="00545C03" w:rsidRPr="00EC02CA">
        <w:t>)</w:t>
      </w:r>
      <w:r w:rsidR="00181BBA" w:rsidRPr="00EC02CA">
        <w:t>.</w:t>
      </w:r>
      <w:r w:rsidR="00A24F6D" w:rsidRPr="00EC02CA">
        <w:t xml:space="preserve"> </w:t>
      </w:r>
    </w:p>
    <w:p w14:paraId="3869D820" w14:textId="34634E87" w:rsidR="002C2E40" w:rsidRPr="00EC02CA" w:rsidRDefault="006C7A14" w:rsidP="00A920EC">
      <w:r w:rsidRPr="00EC02CA">
        <w:rPr>
          <w:b/>
          <w:bCs/>
        </w:rPr>
        <w:t>Recommendation 4</w:t>
      </w:r>
      <w:r w:rsidRPr="00EC02CA">
        <w:t>:</w:t>
      </w:r>
      <w:r w:rsidR="002C2E40" w:rsidRPr="00EC02CA">
        <w:t xml:space="preserve"> </w:t>
      </w:r>
      <w:r w:rsidRPr="00EC02CA">
        <w:t>A</w:t>
      </w:r>
      <w:r w:rsidR="002C2E40" w:rsidRPr="00EC02CA">
        <w:t xml:space="preserve"> review of Tasmania Police’s powers</w:t>
      </w:r>
      <w:r w:rsidR="005D77B2" w:rsidRPr="00EC02CA">
        <w:t xml:space="preserve"> in the </w:t>
      </w:r>
      <w:r w:rsidR="005D77B2" w:rsidRPr="00EC02CA">
        <w:rPr>
          <w:i/>
          <w:iCs/>
        </w:rPr>
        <w:t>Search Warrant</w:t>
      </w:r>
      <w:r w:rsidR="00463467" w:rsidRPr="00EC02CA">
        <w:rPr>
          <w:i/>
          <w:iCs/>
        </w:rPr>
        <w:t xml:space="preserve">s Act 1997 </w:t>
      </w:r>
      <w:r w:rsidR="00463467" w:rsidRPr="00EC02CA">
        <w:t xml:space="preserve">(Tas) </w:t>
      </w:r>
      <w:r w:rsidRPr="00EC02CA">
        <w:t xml:space="preserve">be </w:t>
      </w:r>
      <w:r w:rsidR="00491C85" w:rsidRPr="00EC02CA">
        <w:t>undertaken</w:t>
      </w:r>
      <w:r w:rsidRPr="00EC02CA">
        <w:t xml:space="preserve"> </w:t>
      </w:r>
      <w:r w:rsidR="00B9118E" w:rsidRPr="00EC02CA">
        <w:t>to determine whether they are</w:t>
      </w:r>
      <w:r w:rsidR="009954F2" w:rsidRPr="00EC02CA">
        <w:t xml:space="preserve"> adequate</w:t>
      </w:r>
      <w:r w:rsidR="002C2E40" w:rsidRPr="00EC02CA">
        <w:t xml:space="preserve"> </w:t>
      </w:r>
      <w:r w:rsidRPr="00EC02CA">
        <w:t xml:space="preserve">for </w:t>
      </w:r>
      <w:r w:rsidR="002C2E40" w:rsidRPr="00EC02CA">
        <w:t>investigat</w:t>
      </w:r>
      <w:r w:rsidRPr="00EC02CA">
        <w:t>ing</w:t>
      </w:r>
      <w:r w:rsidR="002C2E40" w:rsidRPr="00EC02CA">
        <w:t xml:space="preserve"> online offending </w:t>
      </w:r>
      <w:r w:rsidR="00654D32" w:rsidRPr="00EC02CA">
        <w:t xml:space="preserve">(particularly </w:t>
      </w:r>
      <w:r w:rsidRPr="00EC02CA">
        <w:t xml:space="preserve">given </w:t>
      </w:r>
      <w:r w:rsidR="00654D32" w:rsidRPr="00EC02CA">
        <w:t xml:space="preserve">the powers to obtain access to data stored on someone’s phone or computer </w:t>
      </w:r>
      <w:r w:rsidRPr="00EC02CA">
        <w:t xml:space="preserve">under </w:t>
      </w:r>
      <w:r w:rsidR="00654D32" w:rsidRPr="00EC02CA">
        <w:t xml:space="preserve">the </w:t>
      </w:r>
      <w:r w:rsidR="00654D32" w:rsidRPr="00EC02CA">
        <w:rPr>
          <w:i/>
          <w:iCs/>
        </w:rPr>
        <w:t xml:space="preserve">Crimes Act 1914 </w:t>
      </w:r>
      <w:r w:rsidR="00654D32" w:rsidRPr="00EC02CA">
        <w:t>(Cth) s 3LA)</w:t>
      </w:r>
      <w:r w:rsidR="004C48A4" w:rsidRPr="00EC02CA">
        <w:t>)</w:t>
      </w:r>
      <w:r w:rsidR="00654D32" w:rsidRPr="00EC02CA">
        <w:t>.</w:t>
      </w:r>
    </w:p>
    <w:p w14:paraId="43DB0E23" w14:textId="2B97B79F" w:rsidR="00E860CD" w:rsidRPr="00EC02CA" w:rsidRDefault="00E860CD" w:rsidP="002F0007">
      <w:pPr>
        <w:pStyle w:val="NormalNumberedTextTLRI"/>
        <w:numPr>
          <w:ilvl w:val="0"/>
          <w:numId w:val="0"/>
        </w:numPr>
        <w:sectPr w:rsidR="00E860CD" w:rsidRPr="00EC02CA" w:rsidSect="00147507">
          <w:headerReference w:type="even" r:id="rId32"/>
          <w:headerReference w:type="default" r:id="rId33"/>
          <w:pgSz w:w="11906" w:h="16838"/>
          <w:pgMar w:top="1440" w:right="1440" w:bottom="1440" w:left="1440" w:header="708" w:footer="708" w:gutter="0"/>
          <w:cols w:space="708"/>
          <w:docGrid w:linePitch="360"/>
        </w:sectPr>
      </w:pPr>
    </w:p>
    <w:p w14:paraId="4141B540" w14:textId="578524C3" w:rsidR="00D1649A" w:rsidRPr="00EC02CA" w:rsidRDefault="00B872AB" w:rsidP="00A920EC">
      <w:pPr>
        <w:pStyle w:val="PartNoTLRI"/>
        <w:spacing w:after="640"/>
        <w:ind w:left="0" w:firstLine="0"/>
      </w:pPr>
      <w:bookmarkStart w:id="225" w:name="_Toc218154167"/>
      <w:bookmarkStart w:id="226" w:name="_Toc218154421"/>
      <w:bookmarkStart w:id="227" w:name="_Toc218154921"/>
      <w:bookmarkStart w:id="228" w:name="_Toc218156481"/>
      <w:bookmarkStart w:id="229" w:name="_Toc218157086"/>
      <w:bookmarkStart w:id="230" w:name="_Toc218157298"/>
      <w:bookmarkEnd w:id="225"/>
      <w:bookmarkEnd w:id="226"/>
      <w:bookmarkEnd w:id="227"/>
      <w:bookmarkEnd w:id="228"/>
      <w:bookmarkEnd w:id="229"/>
      <w:bookmarkEnd w:id="230"/>
      <w:r w:rsidRPr="00EC02CA">
        <w:br/>
      </w:r>
      <w:r w:rsidRPr="00EC02CA">
        <w:br/>
      </w:r>
      <w:bookmarkStart w:id="231" w:name="_Toc218157299"/>
      <w:r w:rsidR="00D1649A" w:rsidRPr="00EC02CA">
        <w:rPr>
          <w:sz w:val="56"/>
          <w:szCs w:val="32"/>
        </w:rPr>
        <w:t xml:space="preserve">The </w:t>
      </w:r>
      <w:r w:rsidR="00D1649A" w:rsidRPr="00EC02CA">
        <w:rPr>
          <w:sz w:val="52"/>
          <w:szCs w:val="52"/>
        </w:rPr>
        <w:t xml:space="preserve">Tasmanian </w:t>
      </w:r>
      <w:r w:rsidR="001B595A" w:rsidRPr="00EC02CA">
        <w:rPr>
          <w:sz w:val="52"/>
          <w:szCs w:val="52"/>
        </w:rPr>
        <w:t>y</w:t>
      </w:r>
      <w:r w:rsidR="00D1649A" w:rsidRPr="00EC02CA">
        <w:rPr>
          <w:sz w:val="52"/>
          <w:szCs w:val="52"/>
        </w:rPr>
        <w:t xml:space="preserve">outh </w:t>
      </w:r>
      <w:r w:rsidR="001B595A" w:rsidRPr="00EC02CA">
        <w:rPr>
          <w:sz w:val="52"/>
          <w:szCs w:val="52"/>
        </w:rPr>
        <w:t>j</w:t>
      </w:r>
      <w:r w:rsidR="00D1649A" w:rsidRPr="00EC02CA">
        <w:rPr>
          <w:sz w:val="52"/>
          <w:szCs w:val="52"/>
        </w:rPr>
        <w:t xml:space="preserve">ustice </w:t>
      </w:r>
      <w:r w:rsidR="001B595A" w:rsidRPr="00EC02CA">
        <w:rPr>
          <w:sz w:val="52"/>
          <w:szCs w:val="52"/>
        </w:rPr>
        <w:t>s</w:t>
      </w:r>
      <w:r w:rsidR="00D1649A" w:rsidRPr="00EC02CA">
        <w:rPr>
          <w:sz w:val="52"/>
          <w:szCs w:val="52"/>
        </w:rPr>
        <w:t>ystem</w:t>
      </w:r>
      <w:bookmarkEnd w:id="231"/>
    </w:p>
    <w:p w14:paraId="10D3279A" w14:textId="77777777" w:rsidR="00D1649A" w:rsidRPr="00EC02CA" w:rsidRDefault="00D1649A" w:rsidP="00D1649A">
      <w:pPr>
        <w:pStyle w:val="NumberedHeadingTLRI"/>
      </w:pPr>
      <w:bookmarkStart w:id="232" w:name="_Toc211849401"/>
      <w:bookmarkStart w:id="233" w:name="_Toc218157300"/>
      <w:r w:rsidRPr="00EC02CA">
        <w:t>Introduction</w:t>
      </w:r>
      <w:bookmarkEnd w:id="232"/>
      <w:bookmarkEnd w:id="233"/>
    </w:p>
    <w:p w14:paraId="0FA30023" w14:textId="004D788F" w:rsidR="00D1649A" w:rsidRPr="00EC02CA" w:rsidRDefault="00D1649A" w:rsidP="00D1649A">
      <w:pPr>
        <w:numPr>
          <w:ilvl w:val="2"/>
          <w:numId w:val="2"/>
        </w:numPr>
        <w:spacing w:before="220"/>
        <w:rPr>
          <w:rFonts w:eastAsia="Times" w:cs="Times New Roman"/>
          <w:szCs w:val="20"/>
        </w:rPr>
      </w:pPr>
      <w:r w:rsidRPr="00EC02CA">
        <w:rPr>
          <w:rFonts w:eastAsia="Times" w:cs="Times New Roman"/>
          <w:szCs w:val="20"/>
        </w:rPr>
        <w:t xml:space="preserve">Building on the discussion in Part 4, which explained </w:t>
      </w:r>
      <w:r w:rsidRPr="00EC02CA">
        <w:rPr>
          <w:rFonts w:eastAsia="Times" w:cs="Times New Roman"/>
          <w:i/>
          <w:szCs w:val="20"/>
        </w:rPr>
        <w:t>when</w:t>
      </w:r>
      <w:r w:rsidRPr="00EC02CA">
        <w:rPr>
          <w:rFonts w:eastAsia="Times" w:cs="Times New Roman"/>
          <w:szCs w:val="20"/>
        </w:rPr>
        <w:t xml:space="preserve"> a young person may be criminally responsible for harmful sexual behaviour, Part 5 begins the evaluation of </w:t>
      </w:r>
      <w:r w:rsidRPr="00EC02CA">
        <w:rPr>
          <w:rFonts w:eastAsia="Times" w:cs="Times New Roman"/>
          <w:i/>
          <w:szCs w:val="20"/>
        </w:rPr>
        <w:t>how</w:t>
      </w:r>
      <w:r w:rsidRPr="00EC02CA">
        <w:rPr>
          <w:rFonts w:eastAsia="Times" w:cs="Times New Roman"/>
          <w:szCs w:val="20"/>
        </w:rPr>
        <w:t xml:space="preserve"> the </w:t>
      </w:r>
      <w:r w:rsidR="00E76ABE" w:rsidRPr="00EC02CA">
        <w:rPr>
          <w:rFonts w:eastAsia="Times" w:cs="Times New Roman"/>
          <w:szCs w:val="20"/>
        </w:rPr>
        <w:t>youth</w:t>
      </w:r>
      <w:r w:rsidRPr="00EC02CA">
        <w:rPr>
          <w:rFonts w:eastAsia="Times" w:cs="Times New Roman"/>
          <w:szCs w:val="20"/>
        </w:rPr>
        <w:t xml:space="preserve"> justice system responds to a young person who is alleged to have committed a sexual offence. The youth justice system has long recognised that young offenders need to be distinguished from adult offenders. However, there have been shifting approaches as to how the recognise this difference. Crucial to evaluating the current response of the youth justice system to young people alleged to have committed sexual offence, and considering how the system might better respond, is an understanding of this evolution. Part 5 describes the shift in approach to young people in the justice system from a model situated in the welfare needs of young people to one that reflects principles of justice, with a focus also on rehabilitation and diversion. </w:t>
      </w:r>
    </w:p>
    <w:p w14:paraId="7B48F33C" w14:textId="4FC73DBC" w:rsidR="00D1649A" w:rsidRPr="00EC02CA" w:rsidRDefault="00D1649A" w:rsidP="00635196">
      <w:pPr>
        <w:numPr>
          <w:ilvl w:val="2"/>
          <w:numId w:val="2"/>
        </w:numPr>
        <w:spacing w:before="220"/>
        <w:rPr>
          <w:rFonts w:eastAsia="Times" w:cs="Times New Roman"/>
          <w:szCs w:val="20"/>
        </w:rPr>
      </w:pPr>
      <w:r w:rsidRPr="00EC02CA">
        <w:rPr>
          <w:rFonts w:eastAsia="Times" w:cs="Times New Roman"/>
          <w:szCs w:val="20"/>
        </w:rPr>
        <w:t xml:space="preserve">Part 5 also sets out the key agencies involved in youth justice. It then describes the legislative framework set out in the </w:t>
      </w:r>
      <w:r w:rsidRPr="00EC02CA">
        <w:rPr>
          <w:rFonts w:eastAsia="Times" w:cs="Times New Roman"/>
          <w:i/>
          <w:szCs w:val="20"/>
        </w:rPr>
        <w:t xml:space="preserve">Youth Justice Act 1997 </w:t>
      </w:r>
      <w:r w:rsidRPr="00EC02CA">
        <w:rPr>
          <w:rFonts w:eastAsia="Times" w:cs="Times New Roman"/>
          <w:szCs w:val="20"/>
        </w:rPr>
        <w:t xml:space="preserve">(Tas), </w:t>
      </w:r>
      <w:r w:rsidR="00635196" w:rsidRPr="00EC02CA">
        <w:rPr>
          <w:rFonts w:eastAsia="Times" w:cs="Times New Roman"/>
          <w:szCs w:val="20"/>
        </w:rPr>
        <w:t>which applies to ‘youths’ defined as a person who is 10 or more years old but less than 18 years old at the time when the offence was committed or suspected of having been committed.</w:t>
      </w:r>
      <w:r w:rsidR="00635196" w:rsidRPr="00EC02CA">
        <w:rPr>
          <w:rFonts w:eastAsia="Times" w:cs="Times New Roman"/>
          <w:szCs w:val="20"/>
          <w:vertAlign w:val="superscript"/>
        </w:rPr>
        <w:footnoteReference w:id="416"/>
      </w:r>
      <w:r w:rsidR="00635196" w:rsidRPr="00EC02CA">
        <w:rPr>
          <w:rFonts w:eastAsia="Times" w:cs="Times New Roman"/>
          <w:szCs w:val="20"/>
        </w:rPr>
        <w:t xml:space="preserve"> It discusses the </w:t>
      </w:r>
      <w:r w:rsidR="00C1237F" w:rsidRPr="00EC02CA">
        <w:rPr>
          <w:rFonts w:eastAsia="Times" w:cs="Times New Roman"/>
          <w:szCs w:val="20"/>
        </w:rPr>
        <w:t>tiers of the</w:t>
      </w:r>
      <w:r w:rsidRPr="00EC02CA">
        <w:rPr>
          <w:rFonts w:eastAsia="Times" w:cs="Times New Roman"/>
          <w:szCs w:val="20"/>
        </w:rPr>
        <w:t xml:space="preserve"> system involving informal cautions, formal cautions, community conferences and a specialist court – the Magistrates Court (Youth Justice Division).</w:t>
      </w:r>
      <w:r w:rsidR="00400E51" w:rsidRPr="00EC02CA">
        <w:rPr>
          <w:rFonts w:eastAsia="Times" w:cs="Times New Roman"/>
          <w:szCs w:val="20"/>
        </w:rPr>
        <w:t xml:space="preserve"> Finally,</w:t>
      </w:r>
      <w:r w:rsidRPr="00EC02CA">
        <w:rPr>
          <w:rFonts w:eastAsia="Times" w:cs="Times New Roman"/>
          <w:szCs w:val="20"/>
        </w:rPr>
        <w:t xml:space="preserve"> </w:t>
      </w:r>
      <w:r w:rsidR="00400E51" w:rsidRPr="00EC02CA">
        <w:rPr>
          <w:rFonts w:eastAsia="Times" w:cs="Times New Roman"/>
          <w:szCs w:val="20"/>
        </w:rPr>
        <w:t>i</w:t>
      </w:r>
      <w:r w:rsidR="008E4C29" w:rsidRPr="00EC02CA">
        <w:rPr>
          <w:rFonts w:eastAsia="Times" w:cs="Times New Roman"/>
          <w:szCs w:val="20"/>
        </w:rPr>
        <w:t xml:space="preserve">t </w:t>
      </w:r>
      <w:r w:rsidR="002D7E60" w:rsidRPr="00EC02CA">
        <w:rPr>
          <w:rFonts w:eastAsia="Times" w:cs="Times New Roman"/>
          <w:szCs w:val="20"/>
        </w:rPr>
        <w:t>considers the</w:t>
      </w:r>
      <w:r w:rsidR="008E4C29" w:rsidRPr="00EC02CA">
        <w:rPr>
          <w:rFonts w:eastAsia="Times" w:cs="Times New Roman"/>
          <w:szCs w:val="20"/>
        </w:rPr>
        <w:t xml:space="preserve"> key recommendations of the </w:t>
      </w:r>
      <w:r w:rsidR="00526223" w:rsidRPr="00EC02CA">
        <w:rPr>
          <w:rFonts w:eastAsia="Times" w:cs="Times New Roman"/>
          <w:szCs w:val="20"/>
        </w:rPr>
        <w:t>Commission</w:t>
      </w:r>
      <w:r w:rsidR="008E4C29" w:rsidRPr="00EC02CA">
        <w:rPr>
          <w:rFonts w:eastAsia="Times" w:cs="Times New Roman"/>
          <w:szCs w:val="20"/>
        </w:rPr>
        <w:t xml:space="preserve"> of Inquiry that </w:t>
      </w:r>
      <w:r w:rsidR="00526223" w:rsidRPr="00EC02CA">
        <w:rPr>
          <w:rFonts w:eastAsia="Times" w:cs="Times New Roman"/>
          <w:szCs w:val="20"/>
        </w:rPr>
        <w:t>relate</w:t>
      </w:r>
      <w:r w:rsidR="008E4C29" w:rsidRPr="00EC02CA">
        <w:rPr>
          <w:rFonts w:eastAsia="Times" w:cs="Times New Roman"/>
          <w:szCs w:val="20"/>
        </w:rPr>
        <w:t xml:space="preserve"> to the </w:t>
      </w:r>
      <w:r w:rsidR="00526223" w:rsidRPr="00EC02CA">
        <w:rPr>
          <w:rFonts w:eastAsia="Times" w:cs="Times New Roman"/>
          <w:szCs w:val="20"/>
        </w:rPr>
        <w:t>structure</w:t>
      </w:r>
      <w:r w:rsidR="008E4C29" w:rsidRPr="00EC02CA">
        <w:rPr>
          <w:rFonts w:eastAsia="Times" w:cs="Times New Roman"/>
          <w:szCs w:val="20"/>
        </w:rPr>
        <w:t xml:space="preserve"> of the youth </w:t>
      </w:r>
      <w:r w:rsidR="00526223" w:rsidRPr="00EC02CA">
        <w:rPr>
          <w:rFonts w:eastAsia="Times" w:cs="Times New Roman"/>
          <w:szCs w:val="20"/>
        </w:rPr>
        <w:t>justice</w:t>
      </w:r>
      <w:r w:rsidR="008E4C29" w:rsidRPr="00EC02CA">
        <w:rPr>
          <w:rFonts w:eastAsia="Times" w:cs="Times New Roman"/>
          <w:szCs w:val="20"/>
        </w:rPr>
        <w:t xml:space="preserve"> </w:t>
      </w:r>
      <w:r w:rsidR="00526223" w:rsidRPr="00EC02CA">
        <w:rPr>
          <w:rFonts w:eastAsia="Times" w:cs="Times New Roman"/>
          <w:szCs w:val="20"/>
        </w:rPr>
        <w:t xml:space="preserve">system and the principles </w:t>
      </w:r>
      <w:r w:rsidR="00400E51" w:rsidRPr="00EC02CA">
        <w:rPr>
          <w:rFonts w:eastAsia="Times" w:cs="Times New Roman"/>
          <w:szCs w:val="20"/>
        </w:rPr>
        <w:t xml:space="preserve">contained </w:t>
      </w:r>
      <w:r w:rsidR="00526223" w:rsidRPr="00EC02CA">
        <w:rPr>
          <w:rFonts w:eastAsia="Times" w:cs="Times New Roman"/>
          <w:szCs w:val="20"/>
        </w:rPr>
        <w:t xml:space="preserve">in the </w:t>
      </w:r>
      <w:r w:rsidR="00526223" w:rsidRPr="00EC02CA">
        <w:rPr>
          <w:rFonts w:eastAsia="Times" w:cs="Times New Roman"/>
          <w:i/>
          <w:szCs w:val="20"/>
        </w:rPr>
        <w:t xml:space="preserve">Youth Justice Act 1997 </w:t>
      </w:r>
      <w:r w:rsidR="00526223" w:rsidRPr="00EC02CA">
        <w:rPr>
          <w:rFonts w:eastAsia="Times" w:cs="Times New Roman"/>
          <w:szCs w:val="20"/>
        </w:rPr>
        <w:t>(Tas), as well as the government response</w:t>
      </w:r>
      <w:r w:rsidR="002D7E60" w:rsidRPr="00EC02CA">
        <w:rPr>
          <w:rFonts w:eastAsia="Times" w:cs="Times New Roman"/>
          <w:szCs w:val="20"/>
        </w:rPr>
        <w:t>.</w:t>
      </w:r>
      <w:r w:rsidR="00957844" w:rsidRPr="00EC02CA">
        <w:rPr>
          <w:rFonts w:eastAsia="Times" w:cs="Times New Roman"/>
          <w:szCs w:val="20"/>
        </w:rPr>
        <w:t xml:space="preserve"> </w:t>
      </w:r>
    </w:p>
    <w:p w14:paraId="2C51ACD1" w14:textId="77777777" w:rsidR="00D1649A" w:rsidRPr="00EC02CA" w:rsidRDefault="00D1649A" w:rsidP="00D1649A">
      <w:pPr>
        <w:pStyle w:val="NumberedHeadingTLRI"/>
      </w:pPr>
      <w:bookmarkStart w:id="234" w:name="_Toc211849402"/>
      <w:bookmarkStart w:id="235" w:name="_Toc218157301"/>
      <w:bookmarkStart w:id="236" w:name="_Ref218253132"/>
      <w:r w:rsidRPr="00EC02CA">
        <w:t>Development of the Tasmania’s youth justice philosophy</w:t>
      </w:r>
      <w:bookmarkEnd w:id="234"/>
      <w:bookmarkEnd w:id="235"/>
      <w:bookmarkEnd w:id="236"/>
    </w:p>
    <w:p w14:paraId="545FA165" w14:textId="1AB893CF" w:rsidR="00D1649A" w:rsidRPr="00EC02CA" w:rsidRDefault="00D1649A" w:rsidP="00D1649A">
      <w:pPr>
        <w:numPr>
          <w:ilvl w:val="2"/>
          <w:numId w:val="2"/>
        </w:numPr>
        <w:tabs>
          <w:tab w:val="left" w:pos="851"/>
        </w:tabs>
        <w:spacing w:before="220"/>
        <w:rPr>
          <w:rFonts w:eastAsia="Times" w:cs="Times New Roman"/>
          <w:szCs w:val="20"/>
        </w:rPr>
      </w:pPr>
      <w:r w:rsidRPr="00EC02CA">
        <w:rPr>
          <w:rFonts w:eastAsia="Times" w:cs="Times New Roman"/>
          <w:szCs w:val="20"/>
        </w:rPr>
        <w:t xml:space="preserve">The </w:t>
      </w:r>
      <w:r w:rsidRPr="00EC02CA">
        <w:rPr>
          <w:rFonts w:eastAsia="Times" w:cs="Times New Roman"/>
          <w:i/>
          <w:iCs/>
          <w:szCs w:val="20"/>
        </w:rPr>
        <w:t xml:space="preserve">Youth Justice Act 1997 </w:t>
      </w:r>
      <w:r w:rsidRPr="00EC02CA">
        <w:rPr>
          <w:rFonts w:eastAsia="Times" w:cs="Times New Roman"/>
          <w:szCs w:val="20"/>
        </w:rPr>
        <w:t>(Tas) was one of several similar pieces of legislation enacted across Australia in the 1990s that sought to revitalise the policies and practices underpinning youth justice system</w:t>
      </w:r>
      <w:r w:rsidR="001E0BA9" w:rsidRPr="00EC02CA">
        <w:rPr>
          <w:rFonts w:eastAsia="Times" w:cs="Times New Roman"/>
          <w:szCs w:val="20"/>
        </w:rPr>
        <w:t>s</w:t>
      </w:r>
      <w:r w:rsidRPr="00EC02CA">
        <w:rPr>
          <w:rFonts w:eastAsia="Times" w:cs="Times New Roman"/>
          <w:szCs w:val="20"/>
        </w:rPr>
        <w:t>. A very wide variety of factors contributed to this overhaul, some of which were occurring at the international level. For decades, policy had struggled to balance two competing models</w:t>
      </w:r>
      <w:r w:rsidR="00363BA5" w:rsidRPr="00EC02CA">
        <w:rPr>
          <w:rFonts w:eastAsia="Times" w:cs="Times New Roman"/>
          <w:szCs w:val="20"/>
        </w:rPr>
        <w:t>: the welfare model and the justice model</w:t>
      </w:r>
      <w:r w:rsidRPr="00EC02CA">
        <w:rPr>
          <w:rFonts w:eastAsia="Times" w:cs="Times New Roman"/>
          <w:szCs w:val="20"/>
        </w:rPr>
        <w:t xml:space="preserve">. </w:t>
      </w:r>
    </w:p>
    <w:p w14:paraId="73BF86DD" w14:textId="0CDBA70A" w:rsidR="00D1649A" w:rsidRPr="00EC02CA" w:rsidRDefault="00D1649A" w:rsidP="00D1649A">
      <w:pPr>
        <w:numPr>
          <w:ilvl w:val="2"/>
          <w:numId w:val="2"/>
        </w:numPr>
        <w:tabs>
          <w:tab w:val="left" w:pos="851"/>
        </w:tabs>
        <w:spacing w:before="220"/>
        <w:rPr>
          <w:rFonts w:eastAsia="Times" w:cs="Times New Roman"/>
          <w:szCs w:val="20"/>
        </w:rPr>
      </w:pPr>
      <w:r w:rsidRPr="00EC02CA">
        <w:rPr>
          <w:rFonts w:eastAsia="Times" w:cs="Times New Roman"/>
          <w:szCs w:val="20"/>
        </w:rPr>
        <w:t>The welfare model, which can be traced back to the late 19</w:t>
      </w:r>
      <w:r w:rsidRPr="00EC02CA">
        <w:rPr>
          <w:rFonts w:eastAsia="Times" w:cs="Times New Roman"/>
          <w:szCs w:val="20"/>
          <w:vertAlign w:val="superscript"/>
        </w:rPr>
        <w:t>th</w:t>
      </w:r>
      <w:r w:rsidRPr="00EC02CA">
        <w:rPr>
          <w:rFonts w:eastAsia="Times" w:cs="Times New Roman"/>
          <w:szCs w:val="20"/>
        </w:rPr>
        <w:t xml:space="preserve"> century, sought to treat young people in the justice system differently to adults. Crucially</w:t>
      </w:r>
      <w:r w:rsidR="00B603FE" w:rsidRPr="00EC02CA">
        <w:rPr>
          <w:rFonts w:eastAsia="Times" w:cs="Times New Roman"/>
          <w:szCs w:val="20"/>
        </w:rPr>
        <w:t>,</w:t>
      </w:r>
      <w:r w:rsidRPr="00EC02CA">
        <w:rPr>
          <w:rFonts w:eastAsia="Times" w:cs="Times New Roman"/>
          <w:szCs w:val="20"/>
        </w:rPr>
        <w:t xml:space="preserve"> this included attempting to respond to offending </w:t>
      </w:r>
      <w:r w:rsidR="0033104E" w:rsidRPr="00EC02CA">
        <w:rPr>
          <w:rFonts w:eastAsia="Times" w:cs="Times New Roman"/>
          <w:szCs w:val="20"/>
        </w:rPr>
        <w:t xml:space="preserve">by young people </w:t>
      </w:r>
      <w:r w:rsidRPr="00EC02CA">
        <w:rPr>
          <w:rFonts w:eastAsia="Times" w:cs="Times New Roman"/>
          <w:szCs w:val="20"/>
        </w:rPr>
        <w:t>by</w:t>
      </w:r>
      <w:r w:rsidRPr="00EC02CA">
        <w:rPr>
          <w:rFonts w:eastAsia="Times" w:cs="Times New Roman"/>
          <w:i/>
          <w:iCs/>
          <w:szCs w:val="20"/>
        </w:rPr>
        <w:t xml:space="preserve"> </w:t>
      </w:r>
      <w:r w:rsidRPr="00EC02CA">
        <w:rPr>
          <w:rFonts w:eastAsia="Times" w:cs="Times New Roman"/>
          <w:szCs w:val="20"/>
        </w:rPr>
        <w:t>addressing th</w:t>
      </w:r>
      <w:r w:rsidR="0033104E" w:rsidRPr="00EC02CA">
        <w:rPr>
          <w:rFonts w:eastAsia="Times" w:cs="Times New Roman"/>
          <w:szCs w:val="20"/>
        </w:rPr>
        <w:t>eir</w:t>
      </w:r>
      <w:r w:rsidRPr="00EC02CA">
        <w:rPr>
          <w:rFonts w:eastAsia="Times" w:cs="Times New Roman"/>
          <w:szCs w:val="20"/>
        </w:rPr>
        <w:t xml:space="preserve"> welfare needs</w:t>
      </w:r>
      <w:r w:rsidR="00B603FE" w:rsidRPr="00EC02CA">
        <w:rPr>
          <w:rFonts w:eastAsia="Times" w:cs="Times New Roman"/>
          <w:szCs w:val="20"/>
        </w:rPr>
        <w:t>,</w:t>
      </w:r>
      <w:r w:rsidRPr="00EC02CA">
        <w:rPr>
          <w:rFonts w:eastAsia="Times" w:cs="Times New Roman"/>
          <w:szCs w:val="20"/>
        </w:rPr>
        <w:t xml:space="preserve"> in the hope of reducing the likelihood that offending behaviour would continue into adulthood.</w:t>
      </w:r>
      <w:bookmarkStart w:id="237" w:name="_Ref217986370"/>
      <w:r w:rsidRPr="00EC02CA">
        <w:rPr>
          <w:rStyle w:val="FootnoteReference"/>
          <w:rFonts w:eastAsia="Times" w:cs="Times New Roman"/>
          <w:szCs w:val="20"/>
        </w:rPr>
        <w:footnoteReference w:id="417"/>
      </w:r>
      <w:bookmarkEnd w:id="237"/>
      <w:r w:rsidRPr="00EC02CA">
        <w:rPr>
          <w:rFonts w:eastAsia="Times" w:cs="Times New Roman"/>
          <w:szCs w:val="20"/>
        </w:rPr>
        <w:t xml:space="preserve"> Into the 20</w:t>
      </w:r>
      <w:r w:rsidR="00DF73D3" w:rsidRPr="00EC02CA">
        <w:rPr>
          <w:rFonts w:eastAsia="Times" w:cs="Times New Roman"/>
          <w:szCs w:val="20"/>
          <w:vertAlign w:val="superscript"/>
        </w:rPr>
        <w:t>th</w:t>
      </w:r>
      <w:r w:rsidRPr="00EC02CA">
        <w:rPr>
          <w:rFonts w:eastAsia="Times" w:cs="Times New Roman"/>
          <w:szCs w:val="20"/>
        </w:rPr>
        <w:t xml:space="preserve"> century</w:t>
      </w:r>
      <w:r w:rsidR="00B603FE" w:rsidRPr="00EC02CA">
        <w:rPr>
          <w:rFonts w:eastAsia="Times" w:cs="Times New Roman"/>
          <w:szCs w:val="20"/>
        </w:rPr>
        <w:t>,</w:t>
      </w:r>
      <w:r w:rsidRPr="00EC02CA">
        <w:rPr>
          <w:rFonts w:eastAsia="Times" w:cs="Times New Roman"/>
          <w:szCs w:val="20"/>
        </w:rPr>
        <w:t xml:space="preserve"> the social sciences encouraged a view that the state had a responsibility to use welfare interventions to reduce ‘deviant’ behaviours – a term which encompassed not just criminal behaviour, but antisocial behaviour as well. This was because the research of th</w:t>
      </w:r>
      <w:r w:rsidR="00B603FE" w:rsidRPr="00EC02CA">
        <w:rPr>
          <w:rFonts w:eastAsia="Times" w:cs="Times New Roman"/>
          <w:szCs w:val="20"/>
        </w:rPr>
        <w:t>at</w:t>
      </w:r>
      <w:r w:rsidRPr="00EC02CA">
        <w:rPr>
          <w:rFonts w:eastAsia="Times" w:cs="Times New Roman"/>
          <w:szCs w:val="20"/>
        </w:rPr>
        <w:t xml:space="preserve"> era</w:t>
      </w:r>
      <w:r w:rsidR="00A45E78" w:rsidRPr="00EC02CA">
        <w:rPr>
          <w:rFonts w:eastAsia="Times" w:cs="Times New Roman"/>
          <w:szCs w:val="20"/>
        </w:rPr>
        <w:t xml:space="preserve"> </w:t>
      </w:r>
      <w:r w:rsidRPr="00EC02CA">
        <w:rPr>
          <w:rFonts w:eastAsia="Times" w:cs="Times New Roman"/>
          <w:szCs w:val="20"/>
        </w:rPr>
        <w:t>saw deviancy as a predictor of adult criminality</w:t>
      </w:r>
      <w:r w:rsidRPr="00EC02CA">
        <w:rPr>
          <w:rFonts w:eastAsia="Times" w:cs="Times New Roman"/>
          <w:szCs w:val="20"/>
          <w:vertAlign w:val="superscript"/>
        </w:rPr>
        <w:footnoteReference w:id="418"/>
      </w:r>
      <w:r w:rsidR="00A45E78" w:rsidRPr="00EC02CA">
        <w:rPr>
          <w:rFonts w:eastAsia="Times" w:cs="Times New Roman"/>
          <w:szCs w:val="20"/>
        </w:rPr>
        <w:t>and</w:t>
      </w:r>
      <w:r w:rsidRPr="00EC02CA">
        <w:rPr>
          <w:rFonts w:eastAsia="Times" w:cs="Times New Roman"/>
          <w:szCs w:val="20"/>
        </w:rPr>
        <w:t xml:space="preserve"> </w:t>
      </w:r>
      <w:r w:rsidR="00B603FE" w:rsidRPr="00EC02CA">
        <w:rPr>
          <w:rFonts w:eastAsia="Times" w:cs="Times New Roman"/>
          <w:szCs w:val="20"/>
        </w:rPr>
        <w:t>expressed</w:t>
      </w:r>
      <w:r w:rsidRPr="00EC02CA">
        <w:rPr>
          <w:rFonts w:eastAsia="Times" w:cs="Times New Roman"/>
          <w:szCs w:val="20"/>
        </w:rPr>
        <w:t xml:space="preserve"> confiden</w:t>
      </w:r>
      <w:r w:rsidR="00B603FE" w:rsidRPr="00EC02CA">
        <w:rPr>
          <w:rFonts w:eastAsia="Times" w:cs="Times New Roman"/>
          <w:szCs w:val="20"/>
        </w:rPr>
        <w:t>ce</w:t>
      </w:r>
      <w:r w:rsidRPr="00EC02CA">
        <w:rPr>
          <w:rFonts w:eastAsia="Times" w:cs="Times New Roman"/>
          <w:szCs w:val="20"/>
        </w:rPr>
        <w:t xml:space="preserve"> in identifying the factors that ‘caused’ youth deviancy</w:t>
      </w:r>
      <w:r w:rsidR="00B603FE" w:rsidRPr="00EC02CA">
        <w:rPr>
          <w:rFonts w:eastAsia="Times" w:cs="Times New Roman"/>
          <w:szCs w:val="20"/>
        </w:rPr>
        <w:t xml:space="preserve">, such as </w:t>
      </w:r>
      <w:r w:rsidRPr="00EC02CA">
        <w:rPr>
          <w:rFonts w:eastAsia="Times" w:cs="Times New Roman"/>
          <w:szCs w:val="20"/>
        </w:rPr>
        <w:t>biological, psychological and social factors</w:t>
      </w:r>
      <w:r w:rsidR="00A45E78" w:rsidRPr="00EC02CA">
        <w:rPr>
          <w:rFonts w:eastAsia="Times" w:cs="Times New Roman"/>
          <w:szCs w:val="20"/>
        </w:rPr>
        <w:t>.</w:t>
      </w:r>
      <w:r w:rsidRPr="00EC02CA">
        <w:rPr>
          <w:rFonts w:eastAsia="Times" w:cs="Times New Roman"/>
          <w:szCs w:val="20"/>
          <w:vertAlign w:val="superscript"/>
        </w:rPr>
        <w:footnoteReference w:id="419"/>
      </w:r>
      <w:r w:rsidRPr="00EC02CA">
        <w:rPr>
          <w:rFonts w:eastAsia="Times" w:cs="Times New Roman"/>
          <w:szCs w:val="20"/>
        </w:rPr>
        <w:t xml:space="preserve"> </w:t>
      </w:r>
      <w:r w:rsidR="00B603FE" w:rsidRPr="00EC02CA">
        <w:rPr>
          <w:rFonts w:eastAsia="Times" w:cs="Times New Roman"/>
          <w:szCs w:val="20"/>
        </w:rPr>
        <w:t xml:space="preserve">The research </w:t>
      </w:r>
      <w:r w:rsidR="00A45E78" w:rsidRPr="00EC02CA">
        <w:rPr>
          <w:rFonts w:eastAsia="Times" w:cs="Times New Roman"/>
          <w:szCs w:val="20"/>
        </w:rPr>
        <w:t>also</w:t>
      </w:r>
      <w:r w:rsidRPr="00EC02CA">
        <w:rPr>
          <w:rFonts w:eastAsia="Times" w:cs="Times New Roman"/>
          <w:szCs w:val="20"/>
        </w:rPr>
        <w:t xml:space="preserve"> considered therapy and forms of rehabilitation as </w:t>
      </w:r>
      <w:r w:rsidR="00491C85" w:rsidRPr="00EC02CA">
        <w:rPr>
          <w:rFonts w:eastAsia="Times" w:cs="Times New Roman"/>
          <w:szCs w:val="20"/>
        </w:rPr>
        <w:t>effective</w:t>
      </w:r>
      <w:r w:rsidRPr="00EC02CA">
        <w:rPr>
          <w:rFonts w:eastAsia="Times" w:cs="Times New Roman"/>
          <w:szCs w:val="20"/>
        </w:rPr>
        <w:t xml:space="preserve"> means of addressing those factors and thereby reducing deviancy.</w:t>
      </w:r>
    </w:p>
    <w:p w14:paraId="15A5D110" w14:textId="33978170" w:rsidR="00D1649A" w:rsidRPr="00EC02CA" w:rsidRDefault="00D1649A" w:rsidP="002F0007">
      <w:pPr>
        <w:pStyle w:val="NormalNumberedTextTLRI"/>
      </w:pPr>
      <w:r w:rsidRPr="00EC02CA">
        <w:t xml:space="preserve">Confidence in welfare interventions also influenced the powers </w:t>
      </w:r>
      <w:r w:rsidR="00B603FE" w:rsidRPr="00EC02CA">
        <w:t xml:space="preserve">vested in </w:t>
      </w:r>
      <w:r w:rsidRPr="00EC02CA">
        <w:t xml:space="preserve">children’s courts, and encouraged a perception that children’s courts had a quite different role than the courts </w:t>
      </w:r>
      <w:r w:rsidR="00B603FE" w:rsidRPr="00EC02CA">
        <w:t xml:space="preserve">which determined </w:t>
      </w:r>
      <w:r w:rsidRPr="00EC02CA">
        <w:t xml:space="preserve">adult matters. Courts’ use of orders that were indeterminate in </w:t>
      </w:r>
      <w:r w:rsidR="00B603FE" w:rsidRPr="00EC02CA">
        <w:t xml:space="preserve">both </w:t>
      </w:r>
      <w:r w:rsidRPr="00EC02CA">
        <w:t>length and content effectively increased the discretionary power of government welfare departments.</w:t>
      </w:r>
      <w:r w:rsidRPr="00EC02CA">
        <w:rPr>
          <w:vertAlign w:val="superscript"/>
        </w:rPr>
        <w:footnoteReference w:id="420"/>
      </w:r>
      <w:r w:rsidRPr="00EC02CA">
        <w:t xml:space="preserve"> Among other things, custodial orders could continue until the relevant department was satisfied that the </w:t>
      </w:r>
      <w:r w:rsidR="00604443" w:rsidRPr="00EC02CA">
        <w:t>young person</w:t>
      </w:r>
      <w:r w:rsidRPr="00EC02CA">
        <w:t xml:space="preserve"> concerned had responded to therapeutic or welfare strategies</w:t>
      </w:r>
      <w:r w:rsidR="00C814F3" w:rsidRPr="00EC02CA">
        <w:t>.</w:t>
      </w:r>
      <w:r w:rsidRPr="00EC02CA">
        <w:t xml:space="preserve"> Committal orders were applied as a response to </w:t>
      </w:r>
      <w:r w:rsidR="00B603FE" w:rsidRPr="00EC02CA">
        <w:t xml:space="preserve">both </w:t>
      </w:r>
      <w:r w:rsidRPr="00EC02CA">
        <w:t xml:space="preserve">criminal behaviour and non-criminal welfare concerns. </w:t>
      </w:r>
    </w:p>
    <w:p w14:paraId="15520132" w14:textId="158D9D4F" w:rsidR="00D1649A" w:rsidRPr="00EC02CA" w:rsidRDefault="00D1649A" w:rsidP="00D1649A">
      <w:pPr>
        <w:numPr>
          <w:ilvl w:val="2"/>
          <w:numId w:val="2"/>
        </w:numPr>
        <w:tabs>
          <w:tab w:val="left" w:pos="851"/>
        </w:tabs>
        <w:spacing w:before="220"/>
        <w:rPr>
          <w:rFonts w:eastAsia="Times" w:cs="Times New Roman"/>
        </w:rPr>
      </w:pPr>
      <w:r w:rsidRPr="00EC02CA">
        <w:rPr>
          <w:rFonts w:eastAsia="Times" w:cs="Times New Roman"/>
        </w:rPr>
        <w:t xml:space="preserve">Between the 1970s and the 1990s the welfare model came under criticism from what became known as the </w:t>
      </w:r>
      <w:r w:rsidRPr="00EC02CA">
        <w:rPr>
          <w:rFonts w:eastAsia="Times" w:cs="Times New Roman"/>
          <w:bCs/>
        </w:rPr>
        <w:t>justice model</w:t>
      </w:r>
      <w:r w:rsidRPr="00EC02CA">
        <w:rPr>
          <w:rFonts w:eastAsia="Times" w:cs="Times New Roman"/>
        </w:rPr>
        <w:t>. The efficacy of treatment and rehabilitation was brought into question, thereby weakening a core tenet of the welfare model</w:t>
      </w:r>
      <w:r w:rsidR="00B603FE" w:rsidRPr="00EC02CA">
        <w:rPr>
          <w:rFonts w:eastAsia="Times" w:cs="Times New Roman"/>
        </w:rPr>
        <w:t xml:space="preserve"> –</w:t>
      </w:r>
      <w:r w:rsidRPr="00EC02CA">
        <w:rPr>
          <w:rFonts w:eastAsia="Times" w:cs="Times New Roman"/>
        </w:rPr>
        <w:t xml:space="preserve"> that is, </w:t>
      </w:r>
      <w:r w:rsidR="00B603FE" w:rsidRPr="00EC02CA">
        <w:rPr>
          <w:rFonts w:eastAsia="Times" w:cs="Times New Roman"/>
        </w:rPr>
        <w:t xml:space="preserve">that </w:t>
      </w:r>
      <w:r w:rsidRPr="00EC02CA">
        <w:rPr>
          <w:rFonts w:eastAsia="Times" w:cs="Times New Roman"/>
        </w:rPr>
        <w:t>the state was well-placed to intervene positively in the lives of young people.</w:t>
      </w:r>
      <w:r w:rsidRPr="00EC02CA">
        <w:rPr>
          <w:rFonts w:eastAsia="Times" w:cs="Times New Roman"/>
          <w:vertAlign w:val="superscript"/>
        </w:rPr>
        <w:footnoteReference w:id="421"/>
      </w:r>
      <w:r w:rsidRPr="00EC02CA">
        <w:rPr>
          <w:rFonts w:eastAsia="Times" w:cs="Times New Roman"/>
        </w:rPr>
        <w:t xml:space="preserve"> The justice model appeal</w:t>
      </w:r>
      <w:r w:rsidR="00B603FE" w:rsidRPr="00EC02CA">
        <w:rPr>
          <w:rFonts w:eastAsia="Times" w:cs="Times New Roman"/>
        </w:rPr>
        <w:t>ed</w:t>
      </w:r>
      <w:r w:rsidRPr="00EC02CA">
        <w:rPr>
          <w:rFonts w:eastAsia="Times" w:cs="Times New Roman"/>
        </w:rPr>
        <w:t xml:space="preserve"> to those who wanted a focus on ‘law and order’. But it is not the case that</w:t>
      </w:r>
      <w:r w:rsidR="269C22A7" w:rsidRPr="00EC02CA">
        <w:rPr>
          <w:rFonts w:eastAsia="Times" w:cs="Times New Roman"/>
        </w:rPr>
        <w:t xml:space="preserve"> all proponents of</w:t>
      </w:r>
      <w:r w:rsidRPr="00EC02CA">
        <w:rPr>
          <w:rFonts w:eastAsia="Times" w:cs="Times New Roman"/>
        </w:rPr>
        <w:t xml:space="preserve"> the justice model had confidence in traditional criminal justice responses. On the contrary, the </w:t>
      </w:r>
      <w:r w:rsidR="00B603FE" w:rsidRPr="00EC02CA">
        <w:rPr>
          <w:rFonts w:eastAsia="Times" w:cs="Times New Roman"/>
        </w:rPr>
        <w:t xml:space="preserve">justice </w:t>
      </w:r>
      <w:r w:rsidRPr="00EC02CA">
        <w:rPr>
          <w:rFonts w:eastAsia="Times" w:cs="Times New Roman"/>
        </w:rPr>
        <w:t xml:space="preserve">model underscored strong evidence that the process of arrest, trial and sentencing was criminogenic because it stigmatised and labelled young people, and </w:t>
      </w:r>
      <w:r w:rsidR="00B603FE" w:rsidRPr="00EC02CA">
        <w:rPr>
          <w:rFonts w:eastAsia="Times" w:cs="Times New Roman"/>
        </w:rPr>
        <w:t xml:space="preserve">thereby </w:t>
      </w:r>
      <w:r w:rsidRPr="00EC02CA">
        <w:rPr>
          <w:rFonts w:eastAsia="Times" w:cs="Times New Roman"/>
        </w:rPr>
        <w:t xml:space="preserve">increased </w:t>
      </w:r>
      <w:r w:rsidR="00B603FE" w:rsidRPr="00EC02CA">
        <w:rPr>
          <w:rFonts w:eastAsia="Times" w:cs="Times New Roman"/>
        </w:rPr>
        <w:t xml:space="preserve">the </w:t>
      </w:r>
      <w:r w:rsidRPr="00EC02CA">
        <w:rPr>
          <w:rFonts w:eastAsia="Times" w:cs="Times New Roman"/>
        </w:rPr>
        <w:t>risk of recidivism.</w:t>
      </w:r>
      <w:r w:rsidRPr="00EC02CA">
        <w:rPr>
          <w:rFonts w:eastAsia="Times" w:cs="Times New Roman"/>
          <w:vertAlign w:val="superscript"/>
        </w:rPr>
        <w:footnoteReference w:id="422"/>
      </w:r>
      <w:r w:rsidRPr="00EC02CA">
        <w:rPr>
          <w:rFonts w:eastAsia="Times" w:cs="Times New Roman"/>
        </w:rPr>
        <w:t xml:space="preserve"> </w:t>
      </w:r>
    </w:p>
    <w:p w14:paraId="06049F5A" w14:textId="7DA6159D" w:rsidR="00D1649A" w:rsidRPr="00EC02CA" w:rsidRDefault="00D1649A" w:rsidP="00D1649A">
      <w:pPr>
        <w:numPr>
          <w:ilvl w:val="2"/>
          <w:numId w:val="2"/>
        </w:numPr>
        <w:tabs>
          <w:tab w:val="left" w:pos="851"/>
        </w:tabs>
        <w:spacing w:before="220"/>
        <w:rPr>
          <w:rFonts w:eastAsia="Times" w:cs="Times New Roman"/>
          <w:szCs w:val="20"/>
        </w:rPr>
      </w:pPr>
      <w:r w:rsidRPr="00EC02CA">
        <w:rPr>
          <w:rFonts w:eastAsia="Times" w:cs="Times New Roman"/>
          <w:szCs w:val="20"/>
        </w:rPr>
        <w:t xml:space="preserve">Commentators </w:t>
      </w:r>
      <w:r w:rsidR="00B55C07" w:rsidRPr="00EC02CA">
        <w:rPr>
          <w:rFonts w:eastAsia="Times" w:cs="Times New Roman"/>
          <w:szCs w:val="20"/>
        </w:rPr>
        <w:t xml:space="preserve">also </w:t>
      </w:r>
      <w:r w:rsidRPr="00EC02CA">
        <w:rPr>
          <w:rFonts w:eastAsia="Times" w:cs="Times New Roman"/>
          <w:szCs w:val="20"/>
        </w:rPr>
        <w:t xml:space="preserve">highlighted the disparity between the procedural legal rights afforded to adults and </w:t>
      </w:r>
      <w:r w:rsidR="00B603FE" w:rsidRPr="00EC02CA">
        <w:rPr>
          <w:rFonts w:eastAsia="Times" w:cs="Times New Roman"/>
          <w:szCs w:val="20"/>
        </w:rPr>
        <w:t xml:space="preserve">those afforded to </w:t>
      </w:r>
      <w:r w:rsidRPr="00EC02CA">
        <w:rPr>
          <w:rFonts w:eastAsia="Times" w:cs="Times New Roman"/>
          <w:szCs w:val="20"/>
        </w:rPr>
        <w:t>young people under the welfare model.</w:t>
      </w:r>
      <w:r w:rsidRPr="00EC02CA">
        <w:rPr>
          <w:rFonts w:eastAsia="Times" w:cs="Times New Roman"/>
          <w:szCs w:val="20"/>
          <w:vertAlign w:val="superscript"/>
        </w:rPr>
        <w:footnoteReference w:id="423"/>
      </w:r>
      <w:r w:rsidRPr="00EC02CA">
        <w:rPr>
          <w:rFonts w:eastAsia="Times" w:cs="Times New Roman"/>
          <w:szCs w:val="20"/>
        </w:rPr>
        <w:t xml:space="preserve"> A central argument was that the legal rights of children were diminished. Unlike adults, for children</w:t>
      </w:r>
      <w:r w:rsidR="00B55C07" w:rsidRPr="00EC02CA">
        <w:rPr>
          <w:rFonts w:eastAsia="Times" w:cs="Times New Roman"/>
          <w:szCs w:val="20"/>
        </w:rPr>
        <w:t>:</w:t>
      </w:r>
      <w:r w:rsidRPr="00EC02CA">
        <w:rPr>
          <w:rFonts w:eastAsia="Times" w:cs="Times New Roman"/>
          <w:szCs w:val="20"/>
        </w:rPr>
        <w:t xml:space="preserve"> (a) </w:t>
      </w:r>
      <w:r w:rsidR="00B603FE" w:rsidRPr="00EC02CA">
        <w:rPr>
          <w:rFonts w:eastAsia="Times" w:cs="Times New Roman"/>
          <w:szCs w:val="20"/>
        </w:rPr>
        <w:t xml:space="preserve">the </w:t>
      </w:r>
      <w:r w:rsidRPr="00EC02CA">
        <w:rPr>
          <w:rFonts w:eastAsia="Times" w:cs="Times New Roman"/>
          <w:szCs w:val="20"/>
        </w:rPr>
        <w:t>unlawful use of police powers was less likely to be checked</w:t>
      </w:r>
      <w:r w:rsidR="00B603FE" w:rsidRPr="00EC02CA">
        <w:rPr>
          <w:rFonts w:eastAsia="Times" w:cs="Times New Roman"/>
          <w:szCs w:val="20"/>
        </w:rPr>
        <w:t>;</w:t>
      </w:r>
      <w:bookmarkStart w:id="238" w:name="_Ref217986586"/>
      <w:r w:rsidRPr="00EC02CA">
        <w:rPr>
          <w:rFonts w:eastAsia="Times" w:cs="Times New Roman"/>
          <w:szCs w:val="20"/>
          <w:vertAlign w:val="superscript"/>
        </w:rPr>
        <w:footnoteReference w:id="424"/>
      </w:r>
      <w:bookmarkEnd w:id="238"/>
      <w:r w:rsidRPr="00EC02CA">
        <w:rPr>
          <w:rFonts w:eastAsia="Times" w:cs="Times New Roman"/>
          <w:szCs w:val="20"/>
        </w:rPr>
        <w:t xml:space="preserve"> (b) the courts were prepared to heavily intervene in non-legal matters</w:t>
      </w:r>
      <w:r w:rsidR="00B603FE" w:rsidRPr="00EC02CA">
        <w:rPr>
          <w:rFonts w:eastAsia="Times" w:cs="Times New Roman"/>
          <w:szCs w:val="20"/>
        </w:rPr>
        <w:t>;</w:t>
      </w:r>
      <w:r w:rsidRPr="00EC02CA">
        <w:rPr>
          <w:rFonts w:eastAsia="Times" w:cs="Times New Roman"/>
          <w:szCs w:val="20"/>
        </w:rPr>
        <w:t xml:space="preserve"> and (c) government agencies retained significant discretionary powers – powers that were not subject to public scrutiny.</w:t>
      </w:r>
      <w:r w:rsidRPr="00EC02CA">
        <w:rPr>
          <w:rFonts w:eastAsia="Times" w:cs="Times New Roman"/>
          <w:szCs w:val="20"/>
          <w:vertAlign w:val="superscript"/>
        </w:rPr>
        <w:footnoteReference w:id="425"/>
      </w:r>
      <w:r w:rsidRPr="00EC02CA">
        <w:rPr>
          <w:rFonts w:eastAsia="Times" w:cs="Times New Roman"/>
          <w:szCs w:val="20"/>
        </w:rPr>
        <w:t xml:space="preserve"> </w:t>
      </w:r>
    </w:p>
    <w:p w14:paraId="7A61FE68" w14:textId="53499E1C" w:rsidR="00D1649A" w:rsidRPr="00EC02CA" w:rsidRDefault="00D1649A" w:rsidP="00D1649A">
      <w:pPr>
        <w:numPr>
          <w:ilvl w:val="2"/>
          <w:numId w:val="2"/>
        </w:numPr>
        <w:tabs>
          <w:tab w:val="left" w:pos="851"/>
        </w:tabs>
        <w:spacing w:before="220"/>
        <w:rPr>
          <w:rFonts w:eastAsia="Times" w:cs="Times New Roman"/>
          <w:szCs w:val="20"/>
        </w:rPr>
      </w:pPr>
      <w:r w:rsidRPr="00EC02CA">
        <w:rPr>
          <w:rFonts w:eastAsia="Times" w:cs="Times New Roman"/>
          <w:szCs w:val="20"/>
        </w:rPr>
        <w:t>Moreover, instead of sentencing young people based on the seriousness of their offences, their culpability and their prior offending history, court orders were driven by indeterminate welfare objectives.</w:t>
      </w:r>
      <w:r w:rsidRPr="00EC02CA">
        <w:rPr>
          <w:rFonts w:eastAsia="Times" w:cs="Times New Roman"/>
          <w:szCs w:val="20"/>
          <w:vertAlign w:val="superscript"/>
        </w:rPr>
        <w:t xml:space="preserve"> </w:t>
      </w:r>
      <w:r w:rsidRPr="00EC02CA">
        <w:rPr>
          <w:rFonts w:eastAsia="Times" w:cs="Times New Roman"/>
          <w:szCs w:val="20"/>
          <w:vertAlign w:val="superscript"/>
        </w:rPr>
        <w:footnoteReference w:id="426"/>
      </w:r>
      <w:r w:rsidRPr="00EC02CA">
        <w:rPr>
          <w:rFonts w:eastAsia="Times" w:cs="Times New Roman"/>
          <w:szCs w:val="20"/>
        </w:rPr>
        <w:t xml:space="preserve"> The result was that court outcomes were inconsistent: sometimes too lenient (and thereby intimating to young people that they lacked the agency to be accountable for their actions); and sometimes too harsh (for example, because they led to excessive state intervention in young people’s lives). All of these factors contributed to what was termed ‘net-widening’ – that is, unnecessary increases in the number of young people having contact with the justice system and the duration or severity of criminal justice interventions.</w:t>
      </w:r>
      <w:bookmarkStart w:id="239" w:name="_Ref217987402"/>
      <w:r w:rsidRPr="00EC02CA">
        <w:rPr>
          <w:rStyle w:val="FootnoteReference"/>
          <w:rFonts w:eastAsia="Times" w:cs="Times New Roman"/>
          <w:szCs w:val="20"/>
        </w:rPr>
        <w:footnoteReference w:id="427"/>
      </w:r>
      <w:bookmarkEnd w:id="239"/>
    </w:p>
    <w:p w14:paraId="3EE82B27" w14:textId="1E176D50" w:rsidR="00DF79F5" w:rsidRPr="00EC02CA" w:rsidRDefault="00B44C9F" w:rsidP="002F0007">
      <w:pPr>
        <w:pStyle w:val="NormalNumberedTextTLRI"/>
      </w:pPr>
      <w:r w:rsidRPr="00EC02CA">
        <w:t>In 1985</w:t>
      </w:r>
      <w:r w:rsidR="001E0BA9" w:rsidRPr="00EC02CA">
        <w:t>,</w:t>
      </w:r>
      <w:r w:rsidRPr="00EC02CA">
        <w:t xml:space="preserve"> the United Nations adopted the </w:t>
      </w:r>
      <w:r w:rsidRPr="00EC02CA">
        <w:rPr>
          <w:i/>
        </w:rPr>
        <w:t>Standard Minimum Rules for the Administration of Juvenile Justice</w:t>
      </w:r>
      <w:r w:rsidRPr="00EC02CA">
        <w:t xml:space="preserve">, referred to as the </w:t>
      </w:r>
      <w:r w:rsidRPr="00EC02CA">
        <w:rPr>
          <w:i/>
        </w:rPr>
        <w:t>Beijing Rules</w:t>
      </w:r>
      <w:r w:rsidRPr="00EC02CA">
        <w:t>.</w:t>
      </w:r>
      <w:r w:rsidR="00DB0E1F" w:rsidRPr="00EC02CA">
        <w:rPr>
          <w:rStyle w:val="FootnoteReference"/>
        </w:rPr>
        <w:t xml:space="preserve"> </w:t>
      </w:r>
      <w:r w:rsidRPr="00EC02CA">
        <w:t xml:space="preserve">These endorsed several important features of the justice model, including proportionality and accountability. </w:t>
      </w:r>
      <w:r w:rsidR="00DF79F5" w:rsidRPr="00EC02CA">
        <w:t xml:space="preserve">Diversion of young offenders in appropriate circumstances was also given international recognition in the </w:t>
      </w:r>
      <w:r w:rsidR="00DF79F5" w:rsidRPr="00EC02CA">
        <w:rPr>
          <w:i/>
        </w:rPr>
        <w:t>Beijing Rules</w:t>
      </w:r>
      <w:r w:rsidR="00DF79F5" w:rsidRPr="00EC02CA">
        <w:t>.</w:t>
      </w:r>
      <w:r w:rsidR="00DF79F5" w:rsidRPr="00EC02CA">
        <w:rPr>
          <w:rStyle w:val="FootnoteReference"/>
        </w:rPr>
        <w:footnoteReference w:id="428"/>
      </w:r>
      <w:r w:rsidR="000866D2" w:rsidRPr="00EC02CA">
        <w:t xml:space="preserve"> </w:t>
      </w:r>
      <w:r w:rsidR="001E0BA9" w:rsidRPr="00EC02CA">
        <w:t>In the 1990s, a</w:t>
      </w:r>
      <w:r w:rsidR="00280009" w:rsidRPr="00EC02CA">
        <w:t>t an international level, the United Nat</w:t>
      </w:r>
      <w:r w:rsidR="000B5E83" w:rsidRPr="00EC02CA">
        <w:t xml:space="preserve">ions </w:t>
      </w:r>
      <w:r w:rsidR="000B5E83" w:rsidRPr="00EC02CA">
        <w:rPr>
          <w:i/>
        </w:rPr>
        <w:t xml:space="preserve">Convention on the Rights of the Child </w:t>
      </w:r>
      <w:r w:rsidR="000B5E83" w:rsidRPr="00EC02CA">
        <w:t xml:space="preserve">was </w:t>
      </w:r>
      <w:r w:rsidR="001E0BA9" w:rsidRPr="00EC02CA">
        <w:t xml:space="preserve">also </w:t>
      </w:r>
      <w:r w:rsidR="000B5E83" w:rsidRPr="00EC02CA">
        <w:t>adopted</w:t>
      </w:r>
      <w:r w:rsidR="001E0BA9" w:rsidRPr="00EC02CA">
        <w:t>.</w:t>
      </w:r>
      <w:r w:rsidR="00E421A1" w:rsidRPr="00EC02CA">
        <w:rPr>
          <w:rStyle w:val="FootnoteReference"/>
        </w:rPr>
        <w:footnoteReference w:id="429"/>
      </w:r>
      <w:r w:rsidR="000B5E83" w:rsidRPr="00EC02CA">
        <w:t xml:space="preserve"> </w:t>
      </w:r>
      <w:r w:rsidR="001E0BA9" w:rsidRPr="00EC02CA">
        <w:t xml:space="preserve">This </w:t>
      </w:r>
      <w:r w:rsidR="000B5E83" w:rsidRPr="00EC02CA">
        <w:t>set out a range of human rights principles</w:t>
      </w:r>
      <w:r w:rsidR="00C17CBC" w:rsidRPr="00EC02CA">
        <w:t xml:space="preserve"> relevant to the operation of youth justice system</w:t>
      </w:r>
      <w:r w:rsidR="001E0BA9" w:rsidRPr="00EC02CA">
        <w:t>s</w:t>
      </w:r>
      <w:r w:rsidR="00837C0E" w:rsidRPr="00EC02CA">
        <w:t>, including</w:t>
      </w:r>
      <w:r w:rsidR="001E0BA9" w:rsidRPr="00EC02CA">
        <w:t>:</w:t>
      </w:r>
      <w:r w:rsidR="00837C0E" w:rsidRPr="00EC02CA">
        <w:t xml:space="preserve"> </w:t>
      </w:r>
      <w:r w:rsidR="00A42EEB" w:rsidRPr="00EC02CA">
        <w:t>t</w:t>
      </w:r>
      <w:r w:rsidR="00837C0E" w:rsidRPr="00EC02CA">
        <w:t>he need for detention to be a measure of last resort and for the shortest appropriate period of time;</w:t>
      </w:r>
      <w:r w:rsidR="00837C0E" w:rsidRPr="00EC02CA">
        <w:rPr>
          <w:rStyle w:val="FootnoteReference"/>
        </w:rPr>
        <w:footnoteReference w:id="430"/>
      </w:r>
      <w:r w:rsidR="00837C0E" w:rsidRPr="00EC02CA">
        <w:t xml:space="preserve"> the preference for alternative diversionary measures over formal judicial proceedings;</w:t>
      </w:r>
      <w:r w:rsidR="00837C0E" w:rsidRPr="00EC02CA">
        <w:rPr>
          <w:rStyle w:val="FootnoteReference"/>
        </w:rPr>
        <w:footnoteReference w:id="431"/>
      </w:r>
      <w:r w:rsidR="00837C0E" w:rsidRPr="00EC02CA">
        <w:t xml:space="preserve"> the importance of rehabilitation for children; </w:t>
      </w:r>
      <w:r w:rsidR="00837C0E" w:rsidRPr="00EC02CA">
        <w:rPr>
          <w:rStyle w:val="FootnoteReference"/>
        </w:rPr>
        <w:footnoteReference w:id="432"/>
      </w:r>
      <w:r w:rsidR="00837C0E" w:rsidRPr="00EC02CA">
        <w:t>the availability of a range of sentencing options;</w:t>
      </w:r>
      <w:r w:rsidR="00837C0E" w:rsidRPr="00EC02CA">
        <w:rPr>
          <w:rStyle w:val="FootnoteReference"/>
        </w:rPr>
        <w:footnoteReference w:id="433"/>
      </w:r>
      <w:r w:rsidR="00837C0E" w:rsidRPr="00EC02CA">
        <w:t xml:space="preserve"> and the requirement of proportionality.</w:t>
      </w:r>
      <w:r w:rsidR="00837C0E" w:rsidRPr="00EC02CA">
        <w:rPr>
          <w:rStyle w:val="FootnoteReference"/>
        </w:rPr>
        <w:footnoteReference w:id="434"/>
      </w:r>
    </w:p>
    <w:p w14:paraId="056B95BF" w14:textId="5C7020CB" w:rsidR="00B44C9F" w:rsidRPr="00EC02CA" w:rsidRDefault="00B44C9F" w:rsidP="00D1649A">
      <w:pPr>
        <w:numPr>
          <w:ilvl w:val="2"/>
          <w:numId w:val="2"/>
        </w:numPr>
        <w:tabs>
          <w:tab w:val="left" w:pos="851"/>
        </w:tabs>
        <w:spacing w:before="220"/>
        <w:rPr>
          <w:rFonts w:eastAsia="Times" w:cs="Times New Roman"/>
          <w:szCs w:val="20"/>
        </w:rPr>
      </w:pPr>
      <w:r w:rsidRPr="00EC02CA">
        <w:t xml:space="preserve">Nationally, the first steps towards formal recognition of </w:t>
      </w:r>
      <w:r w:rsidR="009E62D6" w:rsidRPr="00EC02CA">
        <w:t>a new</w:t>
      </w:r>
      <w:r w:rsidRPr="00EC02CA">
        <w:t xml:space="preserve"> </w:t>
      </w:r>
      <w:r w:rsidR="001E0BA9" w:rsidRPr="00EC02CA">
        <w:t xml:space="preserve">youth </w:t>
      </w:r>
      <w:r w:rsidRPr="00EC02CA">
        <w:t xml:space="preserve">justice model were </w:t>
      </w:r>
      <w:r w:rsidR="001E0BA9" w:rsidRPr="00EC02CA">
        <w:t xml:space="preserve">taken </w:t>
      </w:r>
      <w:r w:rsidRPr="00EC02CA">
        <w:t xml:space="preserve">in the separation of juvenile welfare and juvenile justice. This </w:t>
      </w:r>
      <w:r w:rsidR="001E0BA9" w:rsidRPr="00EC02CA">
        <w:t xml:space="preserve">first </w:t>
      </w:r>
      <w:r w:rsidRPr="00EC02CA">
        <w:t>occurred in South Australia in 1979</w:t>
      </w:r>
      <w:r w:rsidR="001676E3" w:rsidRPr="00EC02CA">
        <w:t>,</w:t>
      </w:r>
      <w:bookmarkStart w:id="240" w:name="_Ref217997405"/>
      <w:r w:rsidR="00093CAD" w:rsidRPr="00EC02CA">
        <w:rPr>
          <w:rStyle w:val="FootnoteReference"/>
        </w:rPr>
        <w:footnoteReference w:id="435"/>
      </w:r>
      <w:bookmarkEnd w:id="240"/>
      <w:r w:rsidR="009C0258" w:rsidRPr="00EC02CA">
        <w:t xml:space="preserve"> and then in other jurisdictions which </w:t>
      </w:r>
      <w:r w:rsidR="001E0BA9" w:rsidRPr="00EC02CA">
        <w:t xml:space="preserve">similarly </w:t>
      </w:r>
      <w:r w:rsidR="009C0258" w:rsidRPr="00EC02CA">
        <w:t xml:space="preserve">separated child </w:t>
      </w:r>
      <w:r w:rsidR="00646A51" w:rsidRPr="00EC02CA">
        <w:t>protection</w:t>
      </w:r>
      <w:r w:rsidR="009C0258" w:rsidRPr="00EC02CA">
        <w:t xml:space="preserve"> </w:t>
      </w:r>
      <w:r w:rsidR="00646A51" w:rsidRPr="00EC02CA">
        <w:t xml:space="preserve">responses </w:t>
      </w:r>
      <w:r w:rsidR="009C0258" w:rsidRPr="00EC02CA">
        <w:t xml:space="preserve">from </w:t>
      </w:r>
      <w:r w:rsidR="00646A51" w:rsidRPr="00EC02CA">
        <w:t>criminal responses to young people.</w:t>
      </w:r>
    </w:p>
    <w:p w14:paraId="1C69DD43" w14:textId="54A6FED6" w:rsidR="00D1649A" w:rsidRPr="00EC02CA" w:rsidRDefault="00646A51" w:rsidP="00D1649A">
      <w:pPr>
        <w:numPr>
          <w:ilvl w:val="2"/>
          <w:numId w:val="2"/>
        </w:numPr>
        <w:tabs>
          <w:tab w:val="left" w:pos="851"/>
        </w:tabs>
        <w:spacing w:before="220"/>
        <w:rPr>
          <w:rFonts w:eastAsia="Times" w:cs="Times New Roman"/>
          <w:szCs w:val="20"/>
        </w:rPr>
      </w:pPr>
      <w:bookmarkStart w:id="241" w:name="_Ref218242031"/>
      <w:r w:rsidRPr="00EC02CA">
        <w:rPr>
          <w:rFonts w:eastAsia="Times" w:cs="Times New Roman"/>
          <w:szCs w:val="20"/>
        </w:rPr>
        <w:t>As with other jurisdictions, t</w:t>
      </w:r>
      <w:r w:rsidR="00D1649A" w:rsidRPr="00EC02CA">
        <w:rPr>
          <w:rFonts w:eastAsia="Times" w:cs="Times New Roman"/>
          <w:szCs w:val="20"/>
        </w:rPr>
        <w:t>he policy tensions between the welfare and justice models were felt in Tasmania. In 1986</w:t>
      </w:r>
      <w:r w:rsidR="001E0BA9" w:rsidRPr="00EC02CA">
        <w:rPr>
          <w:rFonts w:eastAsia="Times" w:cs="Times New Roman"/>
          <w:szCs w:val="20"/>
        </w:rPr>
        <w:t>,</w:t>
      </w:r>
      <w:r w:rsidR="00D1649A" w:rsidRPr="00EC02CA">
        <w:rPr>
          <w:rFonts w:eastAsia="Times" w:cs="Times New Roman"/>
          <w:szCs w:val="20"/>
        </w:rPr>
        <w:t xml:space="preserve"> a government-funded report on the Tasmanian </w:t>
      </w:r>
      <w:r w:rsidR="00A42EEB" w:rsidRPr="00EC02CA">
        <w:rPr>
          <w:rFonts w:eastAsia="Times" w:cs="Times New Roman"/>
          <w:szCs w:val="20"/>
        </w:rPr>
        <w:t>y</w:t>
      </w:r>
      <w:r w:rsidR="00D1649A" w:rsidRPr="00EC02CA">
        <w:rPr>
          <w:rFonts w:eastAsia="Times" w:cs="Times New Roman"/>
          <w:szCs w:val="20"/>
        </w:rPr>
        <w:t xml:space="preserve">outh </w:t>
      </w:r>
      <w:r w:rsidR="00A42EEB" w:rsidRPr="00EC02CA">
        <w:rPr>
          <w:rFonts w:eastAsia="Times" w:cs="Times New Roman"/>
          <w:szCs w:val="20"/>
        </w:rPr>
        <w:t>j</w:t>
      </w:r>
      <w:r w:rsidR="00D1649A" w:rsidRPr="00EC02CA">
        <w:rPr>
          <w:rFonts w:eastAsia="Times" w:cs="Times New Roman"/>
          <w:szCs w:val="20"/>
        </w:rPr>
        <w:t xml:space="preserve">ustice </w:t>
      </w:r>
      <w:r w:rsidR="00A42EEB" w:rsidRPr="00EC02CA">
        <w:rPr>
          <w:rFonts w:eastAsia="Times" w:cs="Times New Roman"/>
          <w:szCs w:val="20"/>
        </w:rPr>
        <w:t>s</w:t>
      </w:r>
      <w:r w:rsidR="00D1649A" w:rsidRPr="00EC02CA">
        <w:rPr>
          <w:rFonts w:eastAsia="Times" w:cs="Times New Roman"/>
          <w:szCs w:val="20"/>
        </w:rPr>
        <w:t>ystem was completed. It drew the following conclusions</w:t>
      </w:r>
      <w:r w:rsidR="001E0BA9" w:rsidRPr="00EC02CA">
        <w:rPr>
          <w:rFonts w:eastAsia="Times" w:cs="Times New Roman"/>
          <w:szCs w:val="20"/>
        </w:rPr>
        <w:t>:</w:t>
      </w:r>
      <w:bookmarkEnd w:id="241"/>
      <w:r w:rsidR="00D1649A" w:rsidRPr="00EC02CA">
        <w:rPr>
          <w:rFonts w:eastAsia="Times" w:cs="Times New Roman"/>
          <w:szCs w:val="20"/>
        </w:rPr>
        <w:t xml:space="preserve"> </w:t>
      </w:r>
    </w:p>
    <w:p w14:paraId="245A0206" w14:textId="7700AB53" w:rsidR="00D1649A" w:rsidRPr="00EC02CA" w:rsidRDefault="001E0BA9" w:rsidP="00D1649A">
      <w:pPr>
        <w:numPr>
          <w:ilvl w:val="0"/>
          <w:numId w:val="1"/>
        </w:numPr>
        <w:spacing w:after="120"/>
        <w:rPr>
          <w:rFonts w:eastAsia="Times New Roman" w:cs="Times New Roman"/>
        </w:rPr>
      </w:pPr>
      <w:r w:rsidRPr="00EC02CA">
        <w:rPr>
          <w:rFonts w:eastAsia="Times New Roman" w:cs="Times New Roman"/>
        </w:rPr>
        <w:t>Y</w:t>
      </w:r>
      <w:r w:rsidR="00D1649A" w:rsidRPr="00EC02CA">
        <w:rPr>
          <w:rFonts w:eastAsia="Times New Roman" w:cs="Times New Roman"/>
        </w:rPr>
        <w:t xml:space="preserve">outh justice was provided for under the </w:t>
      </w:r>
      <w:r w:rsidR="00D1649A" w:rsidRPr="00EC02CA">
        <w:rPr>
          <w:rFonts w:eastAsia="Times New Roman" w:cs="Times New Roman"/>
          <w:i/>
          <w:iCs/>
        </w:rPr>
        <w:t xml:space="preserve">Child Protection Act 1960 </w:t>
      </w:r>
      <w:r w:rsidR="00D1649A" w:rsidRPr="00EC02CA">
        <w:rPr>
          <w:rFonts w:eastAsia="Times New Roman" w:cs="Times New Roman"/>
        </w:rPr>
        <w:t>(Tas), which inappropriately melded welfare and justice considerations for young offenders.</w:t>
      </w:r>
      <w:r w:rsidR="00D1649A" w:rsidRPr="00EC02CA">
        <w:rPr>
          <w:rFonts w:eastAsia="Times New Roman" w:cs="Times New Roman"/>
          <w:vertAlign w:val="superscript"/>
        </w:rPr>
        <w:footnoteReference w:id="436"/>
      </w:r>
      <w:r w:rsidR="00D1649A" w:rsidRPr="00EC02CA">
        <w:rPr>
          <w:rFonts w:eastAsia="Times New Roman" w:cs="Times New Roman"/>
        </w:rPr>
        <w:t xml:space="preserve"> This primed the courts to</w:t>
      </w:r>
      <w:r w:rsidRPr="00EC02CA">
        <w:rPr>
          <w:rFonts w:eastAsia="Times New Roman" w:cs="Times New Roman"/>
        </w:rPr>
        <w:t>:</w:t>
      </w:r>
      <w:r w:rsidR="00D1649A" w:rsidRPr="00EC02CA">
        <w:rPr>
          <w:rFonts w:eastAsia="Times New Roman" w:cs="Times New Roman"/>
        </w:rPr>
        <w:t xml:space="preserve"> (a) over</w:t>
      </w:r>
      <w:r w:rsidR="00043A5A" w:rsidRPr="00EC02CA">
        <w:rPr>
          <w:rFonts w:eastAsia="Times New Roman" w:cs="Times New Roman"/>
        </w:rPr>
        <w:t>-</w:t>
      </w:r>
      <w:r w:rsidR="00D1649A" w:rsidRPr="00EC02CA">
        <w:rPr>
          <w:rFonts w:eastAsia="Times New Roman" w:cs="Times New Roman"/>
        </w:rPr>
        <w:t>reach by attempting to solve complex welfare issues, or alternatively</w:t>
      </w:r>
      <w:r w:rsidRPr="00EC02CA">
        <w:rPr>
          <w:rFonts w:eastAsia="Times New Roman" w:cs="Times New Roman"/>
        </w:rPr>
        <w:t>,</w:t>
      </w:r>
      <w:r w:rsidR="00D1649A" w:rsidRPr="00EC02CA">
        <w:rPr>
          <w:rFonts w:eastAsia="Times New Roman" w:cs="Times New Roman"/>
        </w:rPr>
        <w:t xml:space="preserve"> to (b) over</w:t>
      </w:r>
      <w:r w:rsidRPr="00EC02CA">
        <w:rPr>
          <w:rFonts w:eastAsia="Times New Roman" w:cs="Times New Roman"/>
        </w:rPr>
        <w:t>-</w:t>
      </w:r>
      <w:r w:rsidR="00D1649A" w:rsidRPr="00EC02CA">
        <w:rPr>
          <w:rFonts w:eastAsia="Times New Roman" w:cs="Times New Roman"/>
        </w:rPr>
        <w:t>complicate the meaning of less serious offending</w:t>
      </w:r>
      <w:r w:rsidR="00500350" w:rsidRPr="00EC02CA">
        <w:rPr>
          <w:rFonts w:eastAsia="Times New Roman" w:cs="Times New Roman"/>
        </w:rPr>
        <w:t xml:space="preserve"> by young people</w:t>
      </w:r>
      <w:r w:rsidR="00D1649A" w:rsidRPr="00EC02CA">
        <w:rPr>
          <w:rFonts w:eastAsia="Times New Roman" w:cs="Times New Roman"/>
        </w:rPr>
        <w:t xml:space="preserve"> (for example, by misinterpreting thoughtless or spontaneous acts of rule</w:t>
      </w:r>
      <w:r w:rsidRPr="00EC02CA">
        <w:rPr>
          <w:rFonts w:eastAsia="Times New Roman" w:cs="Times New Roman"/>
        </w:rPr>
        <w:t>-</w:t>
      </w:r>
      <w:r w:rsidR="00D1649A" w:rsidRPr="00EC02CA">
        <w:rPr>
          <w:rFonts w:eastAsia="Times New Roman" w:cs="Times New Roman"/>
        </w:rPr>
        <w:t>breaking as indicators of deep psychological or social problems).</w:t>
      </w:r>
    </w:p>
    <w:p w14:paraId="2C0C59E0" w14:textId="6AB4352F" w:rsidR="00D1649A" w:rsidRPr="00EC02CA" w:rsidRDefault="001E0BA9" w:rsidP="00D1649A">
      <w:pPr>
        <w:numPr>
          <w:ilvl w:val="0"/>
          <w:numId w:val="1"/>
        </w:numPr>
        <w:spacing w:after="120"/>
        <w:rPr>
          <w:rFonts w:eastAsia="Times New Roman" w:cs="Times New Roman"/>
        </w:rPr>
      </w:pPr>
      <w:r w:rsidRPr="00EC02CA">
        <w:rPr>
          <w:rFonts w:eastAsia="Times New Roman" w:cs="Times New Roman"/>
        </w:rPr>
        <w:t>C</w:t>
      </w:r>
      <w:r w:rsidR="00D1649A" w:rsidRPr="00EC02CA">
        <w:rPr>
          <w:rFonts w:eastAsia="Times New Roman" w:cs="Times New Roman"/>
        </w:rPr>
        <w:t xml:space="preserve">ourt proceedings for young offenders were too complicated for young people or their parents to understand, did not allow young offenders to participate meaningfully, and commonly involved </w:t>
      </w:r>
      <w:r w:rsidRPr="00EC02CA">
        <w:rPr>
          <w:rFonts w:eastAsia="Times New Roman" w:cs="Times New Roman"/>
        </w:rPr>
        <w:t xml:space="preserve">a </w:t>
      </w:r>
      <w:r w:rsidR="00D1649A" w:rsidRPr="00EC02CA">
        <w:rPr>
          <w:rFonts w:eastAsia="Times New Roman" w:cs="Times New Roman"/>
        </w:rPr>
        <w:t>long delay between the date of the offence and the date of the final hearing.</w:t>
      </w:r>
      <w:r w:rsidR="00D1649A" w:rsidRPr="00EC02CA">
        <w:rPr>
          <w:rFonts w:eastAsia="Times New Roman" w:cs="Times New Roman"/>
          <w:vertAlign w:val="superscript"/>
        </w:rPr>
        <w:footnoteReference w:id="437"/>
      </w:r>
      <w:r w:rsidR="00D1649A" w:rsidRPr="00EC02CA">
        <w:rPr>
          <w:rFonts w:eastAsia="Times New Roman" w:cs="Times New Roman"/>
        </w:rPr>
        <w:t xml:space="preserve"> These features risked stigmatising young people who had committed offences.</w:t>
      </w:r>
    </w:p>
    <w:p w14:paraId="70E0BAF7" w14:textId="4F9D8DAA" w:rsidR="00D1649A" w:rsidRPr="00EC02CA" w:rsidRDefault="001E0BA9" w:rsidP="00D1649A">
      <w:pPr>
        <w:numPr>
          <w:ilvl w:val="0"/>
          <w:numId w:val="1"/>
        </w:numPr>
        <w:spacing w:after="120"/>
        <w:rPr>
          <w:rFonts w:eastAsia="Times New Roman" w:cs="Times New Roman"/>
        </w:rPr>
      </w:pPr>
      <w:r w:rsidRPr="00EC02CA">
        <w:rPr>
          <w:rFonts w:eastAsia="Times New Roman" w:cs="Times New Roman"/>
        </w:rPr>
        <w:t>T</w:t>
      </w:r>
      <w:r w:rsidR="00D1649A" w:rsidRPr="00EC02CA">
        <w:rPr>
          <w:rFonts w:eastAsia="Times New Roman" w:cs="Times New Roman"/>
        </w:rPr>
        <w:t>he majority of matters involved very minor offences. In court matters</w:t>
      </w:r>
      <w:r w:rsidRPr="00EC02CA">
        <w:rPr>
          <w:rFonts w:eastAsia="Times New Roman" w:cs="Times New Roman"/>
        </w:rPr>
        <w:t>,</w:t>
      </w:r>
      <w:r w:rsidR="00D1649A" w:rsidRPr="00EC02CA">
        <w:rPr>
          <w:rFonts w:eastAsia="Times New Roman" w:cs="Times New Roman"/>
        </w:rPr>
        <w:t xml:space="preserve"> approximately 80% of young people pleaded guilty, 50 to 60% of young people receive</w:t>
      </w:r>
      <w:r w:rsidRPr="00EC02CA">
        <w:rPr>
          <w:rFonts w:eastAsia="Times New Roman" w:cs="Times New Roman"/>
        </w:rPr>
        <w:t>d</w:t>
      </w:r>
      <w:r w:rsidR="00D1649A" w:rsidRPr="00EC02CA">
        <w:rPr>
          <w:rFonts w:eastAsia="Times New Roman" w:cs="Times New Roman"/>
        </w:rPr>
        <w:t xml:space="preserve"> no penalty from the court, and a further 10% received small fines. The most common sentence outcome was an admonishment and discharge – that is, a verbal reproach from a magistrate.</w:t>
      </w:r>
      <w:r w:rsidR="00D1649A" w:rsidRPr="00EC02CA">
        <w:rPr>
          <w:rFonts w:eastAsia="Times New Roman" w:cs="Times New Roman"/>
          <w:vertAlign w:val="superscript"/>
        </w:rPr>
        <w:footnoteReference w:id="438"/>
      </w:r>
      <w:r w:rsidR="00D1649A" w:rsidRPr="00EC02CA">
        <w:rPr>
          <w:rFonts w:eastAsia="Times New Roman" w:cs="Times New Roman"/>
        </w:rPr>
        <w:t xml:space="preserve"> </w:t>
      </w:r>
    </w:p>
    <w:p w14:paraId="787198B4" w14:textId="34040A0D" w:rsidR="00D1649A" w:rsidRPr="00EC02CA" w:rsidRDefault="00D1649A" w:rsidP="002F0007">
      <w:pPr>
        <w:pStyle w:val="NormalNumberedTextTLRI"/>
      </w:pPr>
      <w:r w:rsidRPr="00EC02CA">
        <w:t>Five years later</w:t>
      </w:r>
      <w:r w:rsidR="00500350" w:rsidRPr="00EC02CA">
        <w:t>,</w:t>
      </w:r>
      <w:r w:rsidR="00935367" w:rsidRPr="00EC02CA">
        <w:t xml:space="preserve"> </w:t>
      </w:r>
      <w:r w:rsidRPr="00EC02CA">
        <w:t>the Tasmanian Department of Community Services released a policy paper</w:t>
      </w:r>
      <w:r w:rsidRPr="00EC02CA">
        <w:rPr>
          <w:vertAlign w:val="superscript"/>
        </w:rPr>
        <w:footnoteReference w:id="439"/>
      </w:r>
      <w:r w:rsidR="00886D26" w:rsidRPr="00EC02CA">
        <w:t xml:space="preserve"> that </w:t>
      </w:r>
      <w:r w:rsidRPr="00EC02CA">
        <w:t>recommended incorporating the protections of the justice model with the ‘flexibility and sensitivity’ of the welfare model.</w:t>
      </w:r>
      <w:r w:rsidRPr="00EC02CA">
        <w:rPr>
          <w:vertAlign w:val="superscript"/>
        </w:rPr>
        <w:footnoteReference w:id="440"/>
      </w:r>
      <w:r w:rsidRPr="00EC02CA">
        <w:t xml:space="preserve"> It noted the </w:t>
      </w:r>
      <w:r w:rsidRPr="00EC02CA">
        <w:rPr>
          <w:rFonts w:eastAsia="Times New Roman"/>
        </w:rPr>
        <w:t>importance of the court’s role at the top of the youth justice system, but recommended the use of court appearances as a last resort for young offenders. To that end, systems to divert young people from court were recommended, namely police cautioning and community conferences.</w:t>
      </w:r>
      <w:r w:rsidRPr="00EC02CA">
        <w:rPr>
          <w:rStyle w:val="FootnoteReference"/>
          <w:rFonts w:eastAsia="Times New Roman"/>
        </w:rPr>
        <w:footnoteReference w:id="441"/>
      </w:r>
      <w:r w:rsidRPr="00EC02CA">
        <w:rPr>
          <w:rFonts w:eastAsia="Times New Roman"/>
        </w:rPr>
        <w:t xml:space="preserve"> </w:t>
      </w:r>
      <w:r w:rsidRPr="00EC02CA">
        <w:t>The paper’s strong emphasis on diversion was driven by many factors. Internationally, diversionary procedures had gained recognition as pragmatic means of responding to young people who have committed offences,</w:t>
      </w:r>
      <w:r w:rsidRPr="00EC02CA">
        <w:rPr>
          <w:vertAlign w:val="superscript"/>
        </w:rPr>
        <w:footnoteReference w:id="442"/>
      </w:r>
      <w:r w:rsidRPr="00EC02CA">
        <w:t xml:space="preserve"> particularly since the majority of young offenders stop reoffending over time. </w:t>
      </w:r>
      <w:r w:rsidR="006135FF" w:rsidRPr="00EC02CA">
        <w:rPr>
          <w:rFonts w:eastAsia="Times New Roman"/>
        </w:rPr>
        <w:t>The paper also indicated that a</w:t>
      </w:r>
      <w:r w:rsidRPr="00EC02CA">
        <w:rPr>
          <w:rFonts w:eastAsia="Times New Roman"/>
        </w:rPr>
        <w:t xml:space="preserve"> wider benefit to the state from diversion would be </w:t>
      </w:r>
      <w:r w:rsidR="006135FF" w:rsidRPr="00EC02CA">
        <w:rPr>
          <w:rFonts w:eastAsia="Times New Roman"/>
        </w:rPr>
        <w:t xml:space="preserve">the </w:t>
      </w:r>
      <w:r w:rsidRPr="00EC02CA">
        <w:rPr>
          <w:rFonts w:eastAsia="Times New Roman"/>
        </w:rPr>
        <w:t xml:space="preserve">fiscal savings from a reduction in court matters for </w:t>
      </w:r>
      <w:r w:rsidR="009B10FE" w:rsidRPr="00EC02CA">
        <w:rPr>
          <w:rFonts w:eastAsia="Times New Roman"/>
        </w:rPr>
        <w:t>young people</w:t>
      </w:r>
      <w:r w:rsidRPr="00EC02CA">
        <w:rPr>
          <w:rFonts w:eastAsia="Times New Roman"/>
        </w:rPr>
        <w:t xml:space="preserve">.  </w:t>
      </w:r>
    </w:p>
    <w:p w14:paraId="38FC1EB6" w14:textId="1A0274C9" w:rsidR="00D1649A" w:rsidRPr="00EC02CA" w:rsidRDefault="00D1649A" w:rsidP="00A920EC">
      <w:pPr>
        <w:pStyle w:val="NormalNumberedTextTLRI"/>
      </w:pPr>
      <w:bookmarkStart w:id="242" w:name="_Ref218240805"/>
      <w:r w:rsidRPr="00EC02CA">
        <w:t>By the mid-1990s</w:t>
      </w:r>
      <w:r w:rsidR="006135FF" w:rsidRPr="00EC02CA">
        <w:t>,</w:t>
      </w:r>
      <w:r w:rsidRPr="00EC02CA">
        <w:t xml:space="preserve"> interest in diversion, especially conferencing, gained momentum internationally with the rise of ‘restorative justice’. This is an umbrella term for a wide variety of overlapping perspectives of criminal justice. One definition of restorative justice is that it seeks to provide opportunities for the people most affected by a crime (offenders, victims, and their respective families and communities) to ‘collectively resolve how to deal with the aftermath of the offence and its implications for the future’.</w:t>
      </w:r>
      <w:r w:rsidRPr="00EC02CA">
        <w:rPr>
          <w:rStyle w:val="FootnoteReference"/>
          <w:rFonts w:eastAsia="Times New Roman"/>
        </w:rPr>
        <w:footnoteReference w:id="443"/>
      </w:r>
      <w:bookmarkEnd w:id="242"/>
    </w:p>
    <w:p w14:paraId="3B33068E" w14:textId="6B46F13F" w:rsidR="00D1649A" w:rsidRPr="00EC02CA" w:rsidRDefault="00D1649A" w:rsidP="00A920EC">
      <w:pPr>
        <w:pStyle w:val="NormalNumberedTextTLRI"/>
      </w:pPr>
      <w:r w:rsidRPr="00EC02CA">
        <w:rPr>
          <w:rFonts w:eastAsia="Times New Roman"/>
        </w:rPr>
        <w:t>Restorative justice emphasised</w:t>
      </w:r>
      <w:r w:rsidRPr="00EC02CA">
        <w:t xml:space="preserve"> several </w:t>
      </w:r>
      <w:r w:rsidRPr="00EC02CA">
        <w:rPr>
          <w:i/>
          <w:iCs/>
        </w:rPr>
        <w:t>potential</w:t>
      </w:r>
      <w:r w:rsidRPr="00EC02CA">
        <w:t xml:space="preserve"> positive effects of conferencing where young people had admitted to their offence (see Box </w:t>
      </w:r>
      <w:r w:rsidR="00935367" w:rsidRPr="00EC02CA">
        <w:t>5.</w:t>
      </w:r>
      <w:r w:rsidRPr="00EC02CA">
        <w:t>1).</w:t>
      </w:r>
      <w:r w:rsidRPr="00EC02CA">
        <w:rPr>
          <w:rStyle w:val="FootnoteReference"/>
        </w:rPr>
        <w:footnoteReference w:id="444"/>
      </w:r>
    </w:p>
    <w:p w14:paraId="2F8F58A4" w14:textId="1BA200DD" w:rsidR="00D1649A" w:rsidRPr="00EC02CA" w:rsidRDefault="00D1649A" w:rsidP="00D1649A">
      <w:pPr>
        <w:pBdr>
          <w:top w:val="single" w:sz="4" w:space="1" w:color="auto"/>
          <w:left w:val="single" w:sz="4" w:space="4" w:color="auto"/>
          <w:bottom w:val="single" w:sz="4" w:space="1" w:color="auto"/>
          <w:right w:val="single" w:sz="4" w:space="4" w:color="auto"/>
        </w:pBdr>
        <w:tabs>
          <w:tab w:val="left" w:pos="1276"/>
        </w:tabs>
        <w:spacing w:before="220"/>
        <w:ind w:left="426"/>
        <w:rPr>
          <w:rFonts w:eastAsia="Times" w:cs="Times New Roman"/>
          <w:b/>
          <w:bCs/>
          <w:szCs w:val="20"/>
        </w:rPr>
      </w:pPr>
      <w:r w:rsidRPr="00EC02CA">
        <w:rPr>
          <w:rFonts w:eastAsia="Times" w:cs="Times New Roman"/>
          <w:b/>
          <w:bCs/>
          <w:szCs w:val="20"/>
        </w:rPr>
        <w:t xml:space="preserve">Box </w:t>
      </w:r>
      <w:r w:rsidR="00935367" w:rsidRPr="00EC02CA">
        <w:rPr>
          <w:rFonts w:eastAsia="Times" w:cs="Times New Roman"/>
          <w:b/>
          <w:bCs/>
          <w:szCs w:val="20"/>
        </w:rPr>
        <w:t>5.</w:t>
      </w:r>
      <w:r w:rsidRPr="00EC02CA">
        <w:rPr>
          <w:rFonts w:eastAsia="Times" w:cs="Times New Roman"/>
          <w:b/>
          <w:bCs/>
          <w:szCs w:val="20"/>
        </w:rPr>
        <w:t>1. Potential benefits of conferencing:</w:t>
      </w:r>
      <w:r w:rsidR="001B595A" w:rsidRPr="00EC02CA">
        <w:rPr>
          <w:rFonts w:eastAsia="Times" w:cs="Times New Roman"/>
          <w:b/>
          <w:bCs/>
          <w:szCs w:val="20"/>
        </w:rPr>
        <w:t xml:space="preserve"> </w:t>
      </w:r>
      <w:r w:rsidRPr="00EC02CA">
        <w:rPr>
          <w:rFonts w:eastAsia="Times" w:cs="Times New Roman"/>
          <w:b/>
          <w:bCs/>
          <w:szCs w:val="20"/>
        </w:rPr>
        <w:t>1990s perspectives</w:t>
      </w:r>
    </w:p>
    <w:p w14:paraId="29486A5D" w14:textId="77777777" w:rsidR="00D1649A" w:rsidRPr="00EC02CA" w:rsidRDefault="00D1649A" w:rsidP="00D1649A">
      <w:pPr>
        <w:pBdr>
          <w:top w:val="single" w:sz="4" w:space="1" w:color="auto"/>
          <w:left w:val="single" w:sz="4" w:space="4" w:color="auto"/>
          <w:bottom w:val="single" w:sz="4" w:space="1" w:color="auto"/>
          <w:right w:val="single" w:sz="4" w:space="4" w:color="auto"/>
        </w:pBdr>
        <w:tabs>
          <w:tab w:val="left" w:pos="1276"/>
        </w:tabs>
        <w:spacing w:before="220"/>
        <w:ind w:left="426"/>
        <w:rPr>
          <w:rFonts w:eastAsia="Times" w:cs="Times New Roman"/>
          <w:szCs w:val="20"/>
        </w:rPr>
      </w:pPr>
      <w:r w:rsidRPr="00EC02CA">
        <w:rPr>
          <w:rFonts w:eastAsia="Times" w:cs="Times New Roman"/>
          <w:szCs w:val="20"/>
        </w:rPr>
        <w:t xml:space="preserve">For </w:t>
      </w:r>
      <w:r w:rsidRPr="00EC02CA">
        <w:rPr>
          <w:rFonts w:eastAsia="Times" w:cs="Times New Roman"/>
          <w:b/>
          <w:bCs/>
          <w:szCs w:val="20"/>
        </w:rPr>
        <w:t>young people who had committed an offence</w:t>
      </w:r>
      <w:r w:rsidRPr="00EC02CA">
        <w:rPr>
          <w:rFonts w:eastAsia="Times" w:cs="Times New Roman"/>
          <w:szCs w:val="20"/>
        </w:rPr>
        <w:t xml:space="preserve"> and agreed to participate, conferences provided the opportunity to:</w:t>
      </w:r>
    </w:p>
    <w:p w14:paraId="5A254302" w14:textId="16F255E4" w:rsidR="00D1649A" w:rsidRPr="00EC02CA" w:rsidRDefault="00D1649A" w:rsidP="00D1649A">
      <w:pPr>
        <w:pStyle w:val="DotPointTLRI"/>
        <w:pBdr>
          <w:top w:val="single" w:sz="4" w:space="1" w:color="auto"/>
          <w:left w:val="single" w:sz="4" w:space="4" w:color="auto"/>
          <w:bottom w:val="single" w:sz="4" w:space="1" w:color="auto"/>
          <w:right w:val="single" w:sz="4" w:space="4" w:color="auto"/>
        </w:pBdr>
        <w:tabs>
          <w:tab w:val="left" w:pos="1276"/>
        </w:tabs>
        <w:ind w:left="709" w:hanging="283"/>
        <w:rPr>
          <w:rFonts w:eastAsia="Times"/>
        </w:rPr>
      </w:pPr>
      <w:r w:rsidRPr="00EC02CA">
        <w:rPr>
          <w:rFonts w:eastAsia="Times"/>
        </w:rPr>
        <w:t>be actively involved in repairing harm caused by their behaviour – as opposed to the passivity encouraged by welfare model interventions (eg therapy), or justice model court appearances and sentencing;</w:t>
      </w:r>
    </w:p>
    <w:p w14:paraId="628879AB" w14:textId="7223247F" w:rsidR="00D1649A" w:rsidRPr="00EC02CA" w:rsidRDefault="00D1649A" w:rsidP="00D1649A">
      <w:pPr>
        <w:pStyle w:val="DotPointTLRI"/>
        <w:pBdr>
          <w:top w:val="single" w:sz="4" w:space="1" w:color="auto"/>
          <w:left w:val="single" w:sz="4" w:space="4" w:color="auto"/>
          <w:bottom w:val="single" w:sz="4" w:space="1" w:color="auto"/>
          <w:right w:val="single" w:sz="4" w:space="4" w:color="auto"/>
        </w:pBdr>
        <w:tabs>
          <w:tab w:val="left" w:pos="1276"/>
        </w:tabs>
        <w:ind w:left="709" w:hanging="283"/>
        <w:rPr>
          <w:rFonts w:eastAsia="Times"/>
        </w:rPr>
      </w:pPr>
      <w:r w:rsidRPr="00EC02CA">
        <w:rPr>
          <w:rFonts w:eastAsia="Times"/>
        </w:rPr>
        <w:t>gain genuine insight into how their behaviour had affected others (by hearing victims and others describe what happened</w:t>
      </w:r>
      <w:r w:rsidR="00C01D19" w:rsidRPr="00EC02CA">
        <w:rPr>
          <w:rFonts w:eastAsia="Times"/>
        </w:rPr>
        <w:t>,</w:t>
      </w:r>
      <w:r w:rsidRPr="00EC02CA">
        <w:rPr>
          <w:rFonts w:eastAsia="Times"/>
        </w:rPr>
        <w:t xml:space="preserve"> and how it made them feel);</w:t>
      </w:r>
    </w:p>
    <w:p w14:paraId="28B07C13" w14:textId="77777777" w:rsidR="00D1649A" w:rsidRPr="00EC02CA" w:rsidRDefault="00D1649A" w:rsidP="00D1649A">
      <w:pPr>
        <w:pStyle w:val="DotPointTLRI"/>
        <w:pBdr>
          <w:top w:val="single" w:sz="4" w:space="1" w:color="auto"/>
          <w:left w:val="single" w:sz="4" w:space="4" w:color="auto"/>
          <w:bottom w:val="single" w:sz="4" w:space="1" w:color="auto"/>
          <w:right w:val="single" w:sz="4" w:space="4" w:color="auto"/>
        </w:pBdr>
        <w:tabs>
          <w:tab w:val="left" w:pos="1276"/>
        </w:tabs>
        <w:ind w:left="709" w:hanging="283"/>
        <w:rPr>
          <w:rFonts w:eastAsia="Times"/>
        </w:rPr>
      </w:pPr>
      <w:r w:rsidRPr="00EC02CA">
        <w:rPr>
          <w:rFonts w:eastAsia="Times"/>
        </w:rPr>
        <w:t>strengthen relationships with positive adult role models, including parents; and</w:t>
      </w:r>
    </w:p>
    <w:p w14:paraId="1594AE69" w14:textId="77777777" w:rsidR="00D1649A" w:rsidRPr="00EC02CA" w:rsidRDefault="00D1649A" w:rsidP="00D1649A">
      <w:pPr>
        <w:pStyle w:val="DotPointTLRI"/>
        <w:pBdr>
          <w:top w:val="single" w:sz="4" w:space="1" w:color="auto"/>
          <w:left w:val="single" w:sz="4" w:space="4" w:color="auto"/>
          <w:bottom w:val="single" w:sz="4" w:space="1" w:color="auto"/>
          <w:right w:val="single" w:sz="4" w:space="4" w:color="auto"/>
        </w:pBdr>
        <w:tabs>
          <w:tab w:val="left" w:pos="1276"/>
        </w:tabs>
        <w:ind w:left="709" w:hanging="283"/>
        <w:rPr>
          <w:rFonts w:eastAsia="Times"/>
        </w:rPr>
      </w:pPr>
      <w:r w:rsidRPr="00EC02CA">
        <w:rPr>
          <w:rFonts w:eastAsia="Times"/>
        </w:rPr>
        <w:t>have a prompt resolution to criminal charges.</w:t>
      </w:r>
    </w:p>
    <w:p w14:paraId="03F3ACE4" w14:textId="38444AB4" w:rsidR="00D1649A" w:rsidRPr="00EC02CA" w:rsidRDefault="00D1649A" w:rsidP="00D1649A">
      <w:pPr>
        <w:pStyle w:val="DotPointTLRI"/>
        <w:numPr>
          <w:ilvl w:val="0"/>
          <w:numId w:val="0"/>
        </w:numPr>
        <w:pBdr>
          <w:top w:val="single" w:sz="4" w:space="1" w:color="auto"/>
          <w:left w:val="single" w:sz="4" w:space="4" w:color="auto"/>
          <w:bottom w:val="single" w:sz="4" w:space="1" w:color="auto"/>
          <w:right w:val="single" w:sz="4" w:space="4" w:color="auto"/>
        </w:pBdr>
        <w:tabs>
          <w:tab w:val="left" w:pos="1276"/>
        </w:tabs>
        <w:ind w:left="426"/>
        <w:rPr>
          <w:rFonts w:eastAsia="Times"/>
          <w:szCs w:val="20"/>
        </w:rPr>
      </w:pPr>
      <w:r w:rsidRPr="00EC02CA">
        <w:rPr>
          <w:rFonts w:eastAsia="Times"/>
          <w:b/>
          <w:bCs/>
          <w:szCs w:val="20"/>
        </w:rPr>
        <w:t xml:space="preserve">Victims </w:t>
      </w:r>
      <w:r w:rsidRPr="00EC02CA">
        <w:rPr>
          <w:rFonts w:eastAsia="Times"/>
          <w:szCs w:val="20"/>
        </w:rPr>
        <w:t xml:space="preserve">who chose to participate in conferences could psychologically benefit from being </w:t>
      </w:r>
      <w:r w:rsidR="00BC5BF3" w:rsidRPr="00EC02CA">
        <w:rPr>
          <w:rFonts w:eastAsia="Times"/>
          <w:szCs w:val="20"/>
        </w:rPr>
        <w:t>given a voice</w:t>
      </w:r>
      <w:r w:rsidR="00194E41" w:rsidRPr="00EC02CA">
        <w:rPr>
          <w:rFonts w:eastAsia="Times"/>
          <w:szCs w:val="20"/>
        </w:rPr>
        <w:t xml:space="preserve">, </w:t>
      </w:r>
      <w:r w:rsidRPr="00EC02CA">
        <w:rPr>
          <w:rFonts w:eastAsia="Times"/>
          <w:szCs w:val="20"/>
        </w:rPr>
        <w:t>listened to in a respectful environment</w:t>
      </w:r>
      <w:r w:rsidR="00C01D19" w:rsidRPr="00EC02CA">
        <w:rPr>
          <w:rFonts w:eastAsia="Times"/>
          <w:szCs w:val="20"/>
        </w:rPr>
        <w:t>,</w:t>
      </w:r>
      <w:r w:rsidRPr="00EC02CA">
        <w:rPr>
          <w:rFonts w:eastAsia="Times"/>
          <w:szCs w:val="20"/>
        </w:rPr>
        <w:t xml:space="preserve"> and having input into meaningful outcomes (</w:t>
      </w:r>
      <w:r w:rsidR="00BF2380" w:rsidRPr="00EC02CA">
        <w:rPr>
          <w:rFonts w:eastAsia="Times"/>
          <w:szCs w:val="20"/>
        </w:rPr>
        <w:t>that is,</w:t>
      </w:r>
      <w:r w:rsidRPr="00EC02CA">
        <w:rPr>
          <w:rFonts w:eastAsia="Times"/>
          <w:szCs w:val="20"/>
        </w:rPr>
        <w:t xml:space="preserve"> how the offender could make amends symbolically </w:t>
      </w:r>
      <w:r w:rsidR="007C4966" w:rsidRPr="00EC02CA">
        <w:rPr>
          <w:rFonts w:eastAsia="Times"/>
          <w:szCs w:val="20"/>
        </w:rPr>
        <w:t>and</w:t>
      </w:r>
      <w:r w:rsidRPr="00EC02CA">
        <w:rPr>
          <w:rFonts w:eastAsia="Times"/>
          <w:szCs w:val="20"/>
        </w:rPr>
        <w:t xml:space="preserve"> practically). </w:t>
      </w:r>
    </w:p>
    <w:p w14:paraId="363C69E4" w14:textId="486F2121" w:rsidR="00D1649A" w:rsidRPr="00EC02CA" w:rsidRDefault="00D1649A" w:rsidP="00D1649A">
      <w:pPr>
        <w:pStyle w:val="DotPointTLRI"/>
        <w:numPr>
          <w:ilvl w:val="0"/>
          <w:numId w:val="0"/>
        </w:numPr>
        <w:pBdr>
          <w:top w:val="single" w:sz="4" w:space="1" w:color="auto"/>
          <w:left w:val="single" w:sz="4" w:space="4" w:color="auto"/>
          <w:bottom w:val="single" w:sz="4" w:space="1" w:color="auto"/>
          <w:right w:val="single" w:sz="4" w:space="4" w:color="auto"/>
        </w:pBdr>
        <w:tabs>
          <w:tab w:val="left" w:pos="1276"/>
        </w:tabs>
        <w:ind w:left="426"/>
        <w:rPr>
          <w:rFonts w:eastAsia="Times"/>
          <w:szCs w:val="20"/>
        </w:rPr>
      </w:pPr>
      <w:r w:rsidRPr="00EC02CA">
        <w:rPr>
          <w:rFonts w:eastAsia="Times"/>
          <w:b/>
          <w:bCs/>
          <w:szCs w:val="20"/>
        </w:rPr>
        <w:t>Families and communities</w:t>
      </w:r>
      <w:r w:rsidRPr="00EC02CA">
        <w:rPr>
          <w:rFonts w:eastAsia="Times"/>
          <w:szCs w:val="20"/>
        </w:rPr>
        <w:t xml:space="preserve"> (eg schools, neighbourhoods) could benefit from the healing of relationships and reduced crime.</w:t>
      </w:r>
    </w:p>
    <w:p w14:paraId="46B7191C" w14:textId="6A56BFD5" w:rsidR="00D1649A" w:rsidRPr="00EC02CA" w:rsidRDefault="00D1649A" w:rsidP="00A920EC">
      <w:pPr>
        <w:pStyle w:val="NormalNumberedTextTLRI"/>
      </w:pPr>
      <w:r w:rsidRPr="00EC02CA">
        <w:rPr>
          <w:rFonts w:eastAsia="Times New Roman"/>
        </w:rPr>
        <w:t>Preparations</w:t>
      </w:r>
      <w:r w:rsidRPr="00EC02CA">
        <w:t xml:space="preserve"> in the 1990s for a legislative overhaul of the Tasmanian youth justice system were marked by a high degree of inter</w:t>
      </w:r>
      <w:r w:rsidR="00043A5A" w:rsidRPr="00EC02CA">
        <w:t>-</w:t>
      </w:r>
      <w:r w:rsidRPr="00EC02CA">
        <w:t>departmental cooperation.</w:t>
      </w:r>
      <w:r w:rsidRPr="00EC02CA">
        <w:rPr>
          <w:rStyle w:val="FootnoteReference"/>
        </w:rPr>
        <w:footnoteReference w:id="445"/>
      </w:r>
      <w:r w:rsidRPr="00EC02CA">
        <w:t xml:space="preserve"> The shared vision was </w:t>
      </w:r>
      <w:r w:rsidR="006B1197" w:rsidRPr="00EC02CA">
        <w:t xml:space="preserve">of </w:t>
      </w:r>
      <w:r w:rsidRPr="00EC02CA">
        <w:t xml:space="preserve">a new system heavily oriented towards diversion, including conferences, that avoided </w:t>
      </w:r>
      <w:r w:rsidR="005974AE" w:rsidRPr="00EC02CA">
        <w:t xml:space="preserve">the </w:t>
      </w:r>
      <w:r w:rsidRPr="00EC02CA">
        <w:t xml:space="preserve">pitfalls of both the welfare and justice models. </w:t>
      </w:r>
    </w:p>
    <w:p w14:paraId="794B135F" w14:textId="1D0A4E36" w:rsidR="00D1649A" w:rsidRPr="00EC02CA" w:rsidRDefault="00D1649A" w:rsidP="00D1649A">
      <w:pPr>
        <w:pStyle w:val="NumberedHeadingTLRI"/>
      </w:pPr>
      <w:bookmarkStart w:id="243" w:name="_Toc211849403"/>
      <w:bookmarkStart w:id="244" w:name="_Toc218157302"/>
      <w:bookmarkStart w:id="245" w:name="_Ref218240771"/>
      <w:bookmarkStart w:id="246" w:name="_Ref218240820"/>
      <w:bookmarkStart w:id="247" w:name="_Ref218241143"/>
      <w:bookmarkStart w:id="248" w:name="_Ref218253121"/>
      <w:r w:rsidRPr="00EC02CA">
        <w:t xml:space="preserve">The </w:t>
      </w:r>
      <w:r w:rsidRPr="00EC02CA">
        <w:rPr>
          <w:i/>
          <w:iCs/>
        </w:rPr>
        <w:t xml:space="preserve">Youth Justice Act 1997 </w:t>
      </w:r>
      <w:r w:rsidRPr="00EC02CA">
        <w:t>(Tas)</w:t>
      </w:r>
      <w:r w:rsidR="00072F2B" w:rsidRPr="00EC02CA">
        <w:t xml:space="preserve">: </w:t>
      </w:r>
      <w:r w:rsidR="00F56690" w:rsidRPr="00EC02CA">
        <w:t>O</w:t>
      </w:r>
      <w:r w:rsidR="00072F2B" w:rsidRPr="00EC02CA">
        <w:t>bjective</w:t>
      </w:r>
      <w:r w:rsidR="00F56690" w:rsidRPr="00EC02CA">
        <w:t>s</w:t>
      </w:r>
      <w:r w:rsidR="00072F2B" w:rsidRPr="00EC02CA">
        <w:t xml:space="preserve"> and principles</w:t>
      </w:r>
      <w:bookmarkEnd w:id="243"/>
      <w:bookmarkEnd w:id="244"/>
      <w:bookmarkEnd w:id="245"/>
      <w:bookmarkEnd w:id="246"/>
      <w:bookmarkEnd w:id="247"/>
      <w:bookmarkEnd w:id="248"/>
    </w:p>
    <w:p w14:paraId="6A20EE25" w14:textId="7A340F36" w:rsidR="00C77A86" w:rsidRPr="00EC02CA" w:rsidRDefault="00D1649A" w:rsidP="002F0007">
      <w:pPr>
        <w:pStyle w:val="NormalNumberedTextTLRI"/>
      </w:pPr>
      <w:r w:rsidRPr="00EC02CA">
        <w:t xml:space="preserve">Reflecting these changing views about youth justice, the </w:t>
      </w:r>
      <w:r w:rsidRPr="00EC02CA">
        <w:rPr>
          <w:i/>
        </w:rPr>
        <w:t xml:space="preserve">Youth Justice Act 1997 </w:t>
      </w:r>
      <w:r w:rsidRPr="00EC02CA">
        <w:t>(Tas) was passed</w:t>
      </w:r>
      <w:r w:rsidR="00C77A86" w:rsidRPr="00EC02CA">
        <w:t xml:space="preserve">, </w:t>
      </w:r>
      <w:r w:rsidR="00E83C22" w:rsidRPr="00EC02CA">
        <w:t>establishing a</w:t>
      </w:r>
      <w:r w:rsidR="00C77A86" w:rsidRPr="00EC02CA">
        <w:t xml:space="preserve"> framework and principles </w:t>
      </w:r>
      <w:r w:rsidR="00E83C22" w:rsidRPr="00EC02CA">
        <w:t xml:space="preserve">that would </w:t>
      </w:r>
      <w:r w:rsidR="00C77A86" w:rsidRPr="00EC02CA">
        <w:t xml:space="preserve">generally apply to most criminal offences (including sexual offences) committed by </w:t>
      </w:r>
      <w:r w:rsidR="00AA575B" w:rsidRPr="00EC02CA">
        <w:t>young people</w:t>
      </w:r>
      <w:r w:rsidR="00C77A86" w:rsidRPr="00EC02CA">
        <w:t>.</w:t>
      </w:r>
      <w:r w:rsidR="00C77A86" w:rsidRPr="00EC02CA">
        <w:rPr>
          <w:rStyle w:val="FootnoteReference"/>
        </w:rPr>
        <w:footnoteReference w:id="446"/>
      </w:r>
      <w:r w:rsidR="00C77A86" w:rsidRPr="00EC02CA">
        <w:t xml:space="preserve"> </w:t>
      </w:r>
    </w:p>
    <w:p w14:paraId="5033194C" w14:textId="7D9F8387" w:rsidR="00D1649A" w:rsidRPr="00EC02CA" w:rsidRDefault="00D1649A" w:rsidP="002F0007">
      <w:pPr>
        <w:pStyle w:val="NormalNumberedTextTLRI"/>
      </w:pPr>
      <w:r w:rsidRPr="00EC02CA">
        <w:t xml:space="preserve"> </w:t>
      </w:r>
      <w:r w:rsidR="006966E3" w:rsidRPr="00EC02CA">
        <w:t xml:space="preserve">As described in the </w:t>
      </w:r>
      <w:r w:rsidR="006966E3" w:rsidRPr="00EC02CA">
        <w:rPr>
          <w:i/>
          <w:iCs/>
        </w:rPr>
        <w:t>Youth Justice Blueprint</w:t>
      </w:r>
      <w:r w:rsidR="00E83C22" w:rsidRPr="00EC02CA">
        <w:rPr>
          <w:i/>
          <w:iCs/>
        </w:rPr>
        <w:t xml:space="preserve"> 2024–2034</w:t>
      </w:r>
      <w:r w:rsidR="006966E3" w:rsidRPr="00EC02CA">
        <w:t xml:space="preserve">, the legislative framework of the </w:t>
      </w:r>
      <w:r w:rsidR="006966E3" w:rsidRPr="00EC02CA">
        <w:rPr>
          <w:i/>
          <w:iCs/>
        </w:rPr>
        <w:t xml:space="preserve">Youth Justice Act 1997 </w:t>
      </w:r>
      <w:r w:rsidR="006966E3" w:rsidRPr="00EC02CA">
        <w:t>(Tas) is focussed ‘largely on the statutory response to and management of children and young people who have offended and promotes rehabilitation of a young person where possible, with detention a measure of last resort’.</w:t>
      </w:r>
      <w:r w:rsidR="006966E3" w:rsidRPr="00EC02CA">
        <w:rPr>
          <w:vertAlign w:val="superscript"/>
        </w:rPr>
        <w:footnoteReference w:id="447"/>
      </w:r>
      <w:r w:rsidR="006966E3" w:rsidRPr="00EC02CA">
        <w:t xml:space="preserve"> This is reflected</w:t>
      </w:r>
      <w:r w:rsidRPr="00EC02CA">
        <w:t xml:space="preserve"> in section 4, </w:t>
      </w:r>
      <w:r w:rsidR="006966E3" w:rsidRPr="00EC02CA">
        <w:t xml:space="preserve">where </w:t>
      </w:r>
      <w:r w:rsidRPr="00EC02CA">
        <w:t>the main objectives of this Act are</w:t>
      </w:r>
      <w:r w:rsidR="006966E3" w:rsidRPr="00EC02CA">
        <w:t xml:space="preserve"> set out as</w:t>
      </w:r>
      <w:r w:rsidRPr="00EC02CA">
        <w:t>:</w:t>
      </w:r>
    </w:p>
    <w:p w14:paraId="535E6721" w14:textId="31EDEF9D" w:rsidR="00D1649A" w:rsidRPr="00EC02CA" w:rsidRDefault="00D1649A" w:rsidP="0043642C">
      <w:pPr>
        <w:spacing w:before="220"/>
        <w:ind w:left="1134" w:right="720" w:hanging="414"/>
        <w:rPr>
          <w:sz w:val="20"/>
        </w:rPr>
      </w:pPr>
      <w:r w:rsidRPr="00EC02CA">
        <w:rPr>
          <w:sz w:val="20"/>
        </w:rPr>
        <w:t xml:space="preserve">(a) </w:t>
      </w:r>
      <w:r w:rsidR="005974AE" w:rsidRPr="00EC02CA">
        <w:rPr>
          <w:sz w:val="20"/>
        </w:rPr>
        <w:tab/>
      </w:r>
      <w:r w:rsidRPr="00EC02CA">
        <w:rPr>
          <w:sz w:val="20"/>
        </w:rPr>
        <w:t>to provide for the administration of youth justice; and</w:t>
      </w:r>
    </w:p>
    <w:p w14:paraId="67A733C1" w14:textId="429015B2" w:rsidR="00D1649A" w:rsidRPr="00EC02CA" w:rsidRDefault="00D1649A" w:rsidP="0043642C">
      <w:pPr>
        <w:spacing w:before="220"/>
        <w:ind w:left="1134" w:right="720" w:hanging="414"/>
        <w:rPr>
          <w:sz w:val="20"/>
        </w:rPr>
      </w:pPr>
      <w:r w:rsidRPr="00EC02CA">
        <w:rPr>
          <w:sz w:val="20"/>
        </w:rPr>
        <w:t xml:space="preserve">(b) </w:t>
      </w:r>
      <w:r w:rsidR="005974AE" w:rsidRPr="00EC02CA">
        <w:rPr>
          <w:sz w:val="20"/>
        </w:rPr>
        <w:tab/>
      </w:r>
      <w:r w:rsidRPr="00EC02CA">
        <w:rPr>
          <w:sz w:val="20"/>
        </w:rPr>
        <w:t>to provide how a youth who has committed, or is alleged to have committed, an offence is to be dealt with; and</w:t>
      </w:r>
    </w:p>
    <w:p w14:paraId="147959FE" w14:textId="50CA889F" w:rsidR="00D1649A" w:rsidRPr="00EC02CA" w:rsidRDefault="00A528E1" w:rsidP="0043642C">
      <w:pPr>
        <w:spacing w:before="220"/>
        <w:ind w:left="1134" w:right="720" w:hanging="414"/>
        <w:rPr>
          <w:sz w:val="20"/>
        </w:rPr>
      </w:pPr>
      <w:r w:rsidRPr="00EC02CA">
        <w:rPr>
          <w:sz w:val="20"/>
        </w:rPr>
        <w:t>(c)</w:t>
      </w:r>
      <w:r w:rsidR="005974AE" w:rsidRPr="00EC02CA">
        <w:rPr>
          <w:sz w:val="20"/>
        </w:rPr>
        <w:tab/>
      </w:r>
      <w:r w:rsidR="00D1649A" w:rsidRPr="00EC02CA">
        <w:rPr>
          <w:sz w:val="20"/>
        </w:rPr>
        <w:t>to specify the general principles of youth justice; and</w:t>
      </w:r>
    </w:p>
    <w:p w14:paraId="7B9069D1" w14:textId="334F8D2C" w:rsidR="00185D4A" w:rsidRPr="00EC02CA" w:rsidRDefault="00D1649A" w:rsidP="0043642C">
      <w:pPr>
        <w:spacing w:before="220"/>
        <w:ind w:left="1134" w:right="720" w:hanging="414"/>
        <w:rPr>
          <w:sz w:val="20"/>
        </w:rPr>
      </w:pPr>
      <w:r w:rsidRPr="00EC02CA">
        <w:rPr>
          <w:sz w:val="20"/>
        </w:rPr>
        <w:t>(d)</w:t>
      </w:r>
      <w:r w:rsidR="005974AE" w:rsidRPr="00EC02CA">
        <w:rPr>
          <w:sz w:val="20"/>
        </w:rPr>
        <w:tab/>
      </w:r>
      <w:r w:rsidRPr="00EC02CA">
        <w:rPr>
          <w:sz w:val="20"/>
        </w:rPr>
        <w:t>to ensure that a youth who has committed an offence is made aware of his or her rights and obligations under the law and of the consequences of contravening the law; a</w:t>
      </w:r>
      <w:r w:rsidR="00185D4A" w:rsidRPr="00EC02CA">
        <w:rPr>
          <w:sz w:val="20"/>
        </w:rPr>
        <w:t>nd</w:t>
      </w:r>
    </w:p>
    <w:p w14:paraId="18CA156E" w14:textId="0DE7A369" w:rsidR="00D1649A" w:rsidRPr="00EC02CA" w:rsidRDefault="00D1649A" w:rsidP="0043642C">
      <w:pPr>
        <w:spacing w:before="220"/>
        <w:ind w:left="1134" w:right="720" w:hanging="414"/>
        <w:rPr>
          <w:sz w:val="20"/>
        </w:rPr>
      </w:pPr>
      <w:r w:rsidRPr="00EC02CA">
        <w:rPr>
          <w:sz w:val="20"/>
        </w:rPr>
        <w:t>(e)</w:t>
      </w:r>
      <w:r w:rsidR="005974AE" w:rsidRPr="00EC02CA">
        <w:rPr>
          <w:sz w:val="20"/>
        </w:rPr>
        <w:tab/>
      </w:r>
      <w:r w:rsidRPr="00EC02CA">
        <w:rPr>
          <w:sz w:val="20"/>
        </w:rPr>
        <w:t>to ensure that a youth who has committed an offence is given appropriate treatment and rehabilitation and, if necessary, is appropriately sanctioned; and</w:t>
      </w:r>
    </w:p>
    <w:p w14:paraId="1BA4DFA6" w14:textId="405D358D" w:rsidR="00D1649A" w:rsidRPr="00EC02CA" w:rsidRDefault="00D1649A" w:rsidP="0043642C">
      <w:pPr>
        <w:spacing w:before="220"/>
        <w:ind w:left="1134" w:right="720" w:hanging="414"/>
        <w:rPr>
          <w:sz w:val="20"/>
        </w:rPr>
      </w:pPr>
      <w:r w:rsidRPr="00EC02CA">
        <w:rPr>
          <w:sz w:val="20"/>
        </w:rPr>
        <w:t xml:space="preserve">(f) </w:t>
      </w:r>
      <w:r w:rsidR="005974AE" w:rsidRPr="00EC02CA">
        <w:rPr>
          <w:sz w:val="20"/>
        </w:rPr>
        <w:tab/>
      </w:r>
      <w:r w:rsidRPr="00EC02CA">
        <w:rPr>
          <w:sz w:val="20"/>
        </w:rPr>
        <w:t>to enhance and reinforce the roles of guardians, families and communities in –</w:t>
      </w:r>
    </w:p>
    <w:p w14:paraId="1F24B01C" w14:textId="78E15129" w:rsidR="00D1649A" w:rsidRPr="00EC02CA" w:rsidRDefault="00D1649A" w:rsidP="0043642C">
      <w:pPr>
        <w:spacing w:before="220"/>
        <w:ind w:left="1548" w:right="720" w:hanging="414"/>
        <w:rPr>
          <w:sz w:val="20"/>
        </w:rPr>
      </w:pPr>
      <w:r w:rsidRPr="00EC02CA">
        <w:rPr>
          <w:sz w:val="20"/>
        </w:rPr>
        <w:t xml:space="preserve">(i) </w:t>
      </w:r>
      <w:r w:rsidR="005974AE" w:rsidRPr="00EC02CA">
        <w:rPr>
          <w:sz w:val="20"/>
        </w:rPr>
        <w:tab/>
      </w:r>
      <w:r w:rsidRPr="00EC02CA">
        <w:rPr>
          <w:sz w:val="20"/>
        </w:rPr>
        <w:t>minimising the incidence of youth crime; and</w:t>
      </w:r>
    </w:p>
    <w:p w14:paraId="5D84DC9D" w14:textId="17537A13" w:rsidR="00D1649A" w:rsidRPr="00EC02CA" w:rsidRDefault="00D1649A" w:rsidP="0043642C">
      <w:pPr>
        <w:spacing w:before="220"/>
        <w:ind w:left="1548" w:right="720" w:hanging="414"/>
        <w:rPr>
          <w:sz w:val="20"/>
        </w:rPr>
      </w:pPr>
      <w:r w:rsidRPr="00EC02CA">
        <w:rPr>
          <w:sz w:val="20"/>
        </w:rPr>
        <w:t xml:space="preserve">(ii) </w:t>
      </w:r>
      <w:r w:rsidR="005974AE" w:rsidRPr="00EC02CA">
        <w:rPr>
          <w:sz w:val="20"/>
        </w:rPr>
        <w:tab/>
      </w:r>
      <w:r w:rsidRPr="00EC02CA">
        <w:rPr>
          <w:sz w:val="20"/>
        </w:rPr>
        <w:t>sanctioning and managing youths who have committed offences; and</w:t>
      </w:r>
    </w:p>
    <w:p w14:paraId="4D1066F3" w14:textId="06D9F4E9" w:rsidR="00D1649A" w:rsidRPr="00EC02CA" w:rsidRDefault="00D1649A" w:rsidP="0043642C">
      <w:pPr>
        <w:spacing w:before="220"/>
        <w:ind w:left="1548" w:right="720" w:hanging="414"/>
        <w:rPr>
          <w:sz w:val="20"/>
        </w:rPr>
      </w:pPr>
      <w:r w:rsidRPr="00EC02CA">
        <w:rPr>
          <w:sz w:val="20"/>
        </w:rPr>
        <w:t xml:space="preserve">(iii) </w:t>
      </w:r>
      <w:r w:rsidR="005974AE" w:rsidRPr="00EC02CA">
        <w:rPr>
          <w:sz w:val="20"/>
        </w:rPr>
        <w:tab/>
      </w:r>
      <w:r w:rsidRPr="00EC02CA">
        <w:rPr>
          <w:sz w:val="20"/>
        </w:rPr>
        <w:t>rehabilitating youths who have committed offences and directing them towards the goal of becoming responsible citizens; and</w:t>
      </w:r>
    </w:p>
    <w:p w14:paraId="094A520C" w14:textId="3F89A695" w:rsidR="00D1649A" w:rsidRPr="00EC02CA" w:rsidRDefault="00D1649A" w:rsidP="0043642C">
      <w:pPr>
        <w:spacing w:before="220"/>
        <w:ind w:left="1134" w:right="720" w:hanging="414"/>
        <w:rPr>
          <w:sz w:val="20"/>
        </w:rPr>
      </w:pPr>
      <w:r w:rsidRPr="00EC02CA">
        <w:rPr>
          <w:sz w:val="20"/>
        </w:rPr>
        <w:t xml:space="preserve">(g) </w:t>
      </w:r>
      <w:r w:rsidR="005974AE" w:rsidRPr="00EC02CA">
        <w:rPr>
          <w:sz w:val="20"/>
        </w:rPr>
        <w:tab/>
      </w:r>
      <w:r w:rsidRPr="00EC02CA">
        <w:rPr>
          <w:sz w:val="20"/>
        </w:rPr>
        <w:t>to ensure that, whenever practicable, a youth who has committed, or is alleged to have committed, an offence is dealt with in a manner that is culturally appropriate and recognises and enhances his or her cultural identity; and</w:t>
      </w:r>
    </w:p>
    <w:p w14:paraId="033A3AB4" w14:textId="5E9208C9" w:rsidR="00D1649A" w:rsidRPr="00EC02CA" w:rsidRDefault="00D1649A" w:rsidP="0043642C">
      <w:pPr>
        <w:spacing w:before="220"/>
        <w:ind w:left="1134" w:right="720" w:hanging="414"/>
        <w:rPr>
          <w:sz w:val="20"/>
        </w:rPr>
      </w:pPr>
      <w:r w:rsidRPr="00EC02CA">
        <w:rPr>
          <w:sz w:val="20"/>
        </w:rPr>
        <w:t xml:space="preserve">(h) </w:t>
      </w:r>
      <w:r w:rsidR="005974AE" w:rsidRPr="00EC02CA">
        <w:rPr>
          <w:sz w:val="20"/>
        </w:rPr>
        <w:tab/>
      </w:r>
      <w:r w:rsidRPr="00EC02CA">
        <w:rPr>
          <w:sz w:val="20"/>
        </w:rPr>
        <w:t>to ensure that, whenever practicable, a youth who has committed, or is alleged to have committed, an offence is dealt with in a manner that takes into account the</w:t>
      </w:r>
      <w:r w:rsidR="00491C85" w:rsidRPr="00EC02CA">
        <w:rPr>
          <w:sz w:val="20"/>
        </w:rPr>
        <w:t xml:space="preserve"> </w:t>
      </w:r>
      <w:r w:rsidRPr="00EC02CA">
        <w:rPr>
          <w:sz w:val="20"/>
        </w:rPr>
        <w:t>youth</w:t>
      </w:r>
      <w:r w:rsidR="00491C85" w:rsidRPr="00EC02CA">
        <w:rPr>
          <w:sz w:val="20"/>
        </w:rPr>
        <w:t>’</w:t>
      </w:r>
      <w:r w:rsidRPr="00EC02CA">
        <w:rPr>
          <w:sz w:val="20"/>
        </w:rPr>
        <w:t>s social and family background and that enhances the</w:t>
      </w:r>
      <w:r w:rsidR="00491C85" w:rsidRPr="00EC02CA">
        <w:rPr>
          <w:sz w:val="20"/>
        </w:rPr>
        <w:t xml:space="preserve"> </w:t>
      </w:r>
      <w:r w:rsidRPr="00EC02CA">
        <w:rPr>
          <w:sz w:val="20"/>
        </w:rPr>
        <w:t>youth</w:t>
      </w:r>
      <w:r w:rsidR="00491C85" w:rsidRPr="00EC02CA">
        <w:rPr>
          <w:sz w:val="20"/>
        </w:rPr>
        <w:t>’</w:t>
      </w:r>
      <w:r w:rsidRPr="00EC02CA">
        <w:rPr>
          <w:sz w:val="20"/>
        </w:rPr>
        <w:t>s capacity to accept personal responsibility for his or her behaviour; and</w:t>
      </w:r>
    </w:p>
    <w:p w14:paraId="6BEAC289" w14:textId="3479569A" w:rsidR="00D1649A" w:rsidRPr="00EC02CA" w:rsidRDefault="00D1649A" w:rsidP="0043642C">
      <w:pPr>
        <w:spacing w:before="220"/>
        <w:ind w:left="1134" w:right="720" w:hanging="414"/>
        <w:rPr>
          <w:sz w:val="20"/>
        </w:rPr>
      </w:pPr>
      <w:r w:rsidRPr="00EC02CA">
        <w:rPr>
          <w:sz w:val="20"/>
        </w:rPr>
        <w:t xml:space="preserve">(i) </w:t>
      </w:r>
      <w:r w:rsidR="005974AE" w:rsidRPr="00EC02CA">
        <w:rPr>
          <w:sz w:val="20"/>
        </w:rPr>
        <w:tab/>
      </w:r>
      <w:r w:rsidRPr="00EC02CA">
        <w:rPr>
          <w:sz w:val="20"/>
        </w:rPr>
        <w:t>to ensure that, wherever practicable, a youth who has committed an offence is provided with appropriate opportunities to repair any harm caused by the commission of the offence to the victim of the offence and the community and to reintegrate himself or herself into the community.</w:t>
      </w:r>
    </w:p>
    <w:p w14:paraId="2835F5FD" w14:textId="3A3879F6" w:rsidR="00D1649A" w:rsidRPr="00EC02CA" w:rsidRDefault="00D1649A" w:rsidP="00A920EC">
      <w:pPr>
        <w:pStyle w:val="NormalNumberedTextTLRI"/>
      </w:pPr>
      <w:r w:rsidRPr="00EC02CA">
        <w:t>Aligned with the focus on personal responsibility</w:t>
      </w:r>
      <w:r w:rsidR="00E83C22" w:rsidRPr="00EC02CA">
        <w:t>,</w:t>
      </w:r>
      <w:r w:rsidRPr="00EC02CA">
        <w:t xml:space="preserve"> rehabilitation and reparation, the principles of the Act to be applied in exercising the powers under the Act are as follows:</w:t>
      </w:r>
    </w:p>
    <w:p w14:paraId="392AAAD3" w14:textId="0145F922" w:rsidR="00D1649A" w:rsidRPr="00EC02CA" w:rsidRDefault="001353A1" w:rsidP="0043642C">
      <w:pPr>
        <w:spacing w:before="220"/>
        <w:ind w:left="1701" w:right="720" w:hanging="981"/>
        <w:rPr>
          <w:sz w:val="20"/>
        </w:rPr>
      </w:pPr>
      <w:r w:rsidRPr="00EC02CA">
        <w:rPr>
          <w:sz w:val="20"/>
        </w:rPr>
        <w:t xml:space="preserve"> </w:t>
      </w:r>
      <w:r w:rsidR="00D1649A" w:rsidRPr="00EC02CA">
        <w:rPr>
          <w:sz w:val="20"/>
        </w:rPr>
        <w:t>(1)</w:t>
      </w:r>
      <w:r w:rsidR="00E83C22" w:rsidRPr="00EC02CA">
        <w:rPr>
          <w:sz w:val="20"/>
        </w:rPr>
        <w:t xml:space="preserve">      </w:t>
      </w:r>
      <w:r w:rsidR="00D1649A" w:rsidRPr="00EC02CA">
        <w:rPr>
          <w:sz w:val="20"/>
        </w:rPr>
        <w:t>(a)</w:t>
      </w:r>
      <w:r w:rsidR="00E83C22" w:rsidRPr="00EC02CA">
        <w:rPr>
          <w:sz w:val="20"/>
        </w:rPr>
        <w:t xml:space="preserve"> </w:t>
      </w:r>
      <w:r w:rsidR="00E83C22" w:rsidRPr="00EC02CA">
        <w:rPr>
          <w:sz w:val="20"/>
        </w:rPr>
        <w:tab/>
      </w:r>
      <w:r w:rsidR="00D1649A" w:rsidRPr="00EC02CA">
        <w:rPr>
          <w:sz w:val="20"/>
        </w:rPr>
        <w:t>that the youth is to be dealt with, either formally or informally, in a way that encourages the youth to accept responsibility for his or her behaviour;</w:t>
      </w:r>
    </w:p>
    <w:p w14:paraId="34E8382B" w14:textId="05EF46A8" w:rsidR="00D1649A" w:rsidRPr="00EC02CA" w:rsidRDefault="00D1649A" w:rsidP="0043642C">
      <w:pPr>
        <w:spacing w:before="220"/>
        <w:ind w:left="1701" w:right="720" w:hanging="425"/>
        <w:rPr>
          <w:sz w:val="20"/>
        </w:rPr>
      </w:pPr>
      <w:r w:rsidRPr="00EC02CA">
        <w:rPr>
          <w:sz w:val="20"/>
        </w:rPr>
        <w:t xml:space="preserve">(b) </w:t>
      </w:r>
      <w:r w:rsidR="00E83C22" w:rsidRPr="00EC02CA">
        <w:rPr>
          <w:sz w:val="20"/>
        </w:rPr>
        <w:tab/>
      </w:r>
      <w:r w:rsidRPr="00EC02CA">
        <w:rPr>
          <w:sz w:val="20"/>
        </w:rPr>
        <w:t>that the youth is not to be treated more severely than an adult woul</w:t>
      </w:r>
      <w:r w:rsidR="0043642C" w:rsidRPr="00EC02CA">
        <w:rPr>
          <w:sz w:val="20"/>
        </w:rPr>
        <w:t>d</w:t>
      </w:r>
      <w:r w:rsidRPr="00EC02CA">
        <w:rPr>
          <w:sz w:val="20"/>
        </w:rPr>
        <w:t>;</w:t>
      </w:r>
    </w:p>
    <w:p w14:paraId="4BBFA974" w14:textId="091BABC9" w:rsidR="00D1649A" w:rsidRPr="00EC02CA" w:rsidRDefault="00D1649A" w:rsidP="0043642C">
      <w:pPr>
        <w:spacing w:before="220"/>
        <w:ind w:left="1701" w:right="720" w:hanging="425"/>
        <w:rPr>
          <w:sz w:val="20"/>
        </w:rPr>
      </w:pPr>
      <w:r w:rsidRPr="00EC02CA">
        <w:rPr>
          <w:sz w:val="20"/>
        </w:rPr>
        <w:t xml:space="preserve">(c) </w:t>
      </w:r>
      <w:r w:rsidR="00E83C22" w:rsidRPr="00EC02CA">
        <w:rPr>
          <w:sz w:val="20"/>
        </w:rPr>
        <w:tab/>
      </w:r>
      <w:r w:rsidRPr="00EC02CA">
        <w:rPr>
          <w:sz w:val="20"/>
        </w:rPr>
        <w:t>that the community is to be protected from illegal behaviour;</w:t>
      </w:r>
    </w:p>
    <w:p w14:paraId="12D4AD32" w14:textId="47764D4F" w:rsidR="00D1649A" w:rsidRPr="00EC02CA" w:rsidRDefault="00D1649A" w:rsidP="0043642C">
      <w:pPr>
        <w:spacing w:before="220"/>
        <w:ind w:left="1701" w:right="720" w:hanging="425"/>
        <w:rPr>
          <w:sz w:val="20"/>
        </w:rPr>
      </w:pPr>
      <w:r w:rsidRPr="00EC02CA">
        <w:rPr>
          <w:sz w:val="20"/>
        </w:rPr>
        <w:t xml:space="preserve">(d) </w:t>
      </w:r>
      <w:r w:rsidR="00E83C22" w:rsidRPr="00EC02CA">
        <w:rPr>
          <w:sz w:val="20"/>
        </w:rPr>
        <w:tab/>
      </w:r>
      <w:r w:rsidRPr="00EC02CA">
        <w:rPr>
          <w:sz w:val="20"/>
        </w:rPr>
        <w:t>that the victim of the offence is to be given the opportunity to participate in the process of dealing with the youth as allowed by t</w:t>
      </w:r>
      <w:r w:rsidR="0043642C" w:rsidRPr="00EC02CA">
        <w:rPr>
          <w:sz w:val="20"/>
        </w:rPr>
        <w:t>he</w:t>
      </w:r>
      <w:r w:rsidRPr="00EC02CA">
        <w:rPr>
          <w:sz w:val="20"/>
        </w:rPr>
        <w:t xml:space="preserve"> Act;</w:t>
      </w:r>
    </w:p>
    <w:p w14:paraId="040519C8" w14:textId="00D7076C" w:rsidR="00D1649A" w:rsidRPr="00EC02CA" w:rsidRDefault="00D1649A" w:rsidP="0043642C">
      <w:pPr>
        <w:spacing w:before="220"/>
        <w:ind w:left="1701" w:right="720" w:hanging="425"/>
        <w:rPr>
          <w:sz w:val="20"/>
        </w:rPr>
      </w:pPr>
      <w:r w:rsidRPr="00EC02CA">
        <w:rPr>
          <w:sz w:val="20"/>
        </w:rPr>
        <w:t xml:space="preserve">(e) </w:t>
      </w:r>
      <w:r w:rsidR="00E83C22" w:rsidRPr="00EC02CA">
        <w:rPr>
          <w:sz w:val="20"/>
        </w:rPr>
        <w:tab/>
      </w:r>
      <w:r w:rsidRPr="00EC02CA">
        <w:rPr>
          <w:sz w:val="20"/>
        </w:rPr>
        <w:t>guardians are to be encouraged to fulfil their responsibility for the care and supervision of the youth and should be supported in their efforts to fulfil this responsibility;</w:t>
      </w:r>
    </w:p>
    <w:p w14:paraId="52BAAD20" w14:textId="5ACA138A" w:rsidR="00D1649A" w:rsidRPr="00EC02CA" w:rsidRDefault="00D1649A" w:rsidP="0043642C">
      <w:pPr>
        <w:spacing w:before="220"/>
        <w:ind w:left="1701" w:right="720" w:hanging="425"/>
        <w:rPr>
          <w:sz w:val="20"/>
        </w:rPr>
      </w:pPr>
      <w:r w:rsidRPr="00EC02CA">
        <w:rPr>
          <w:sz w:val="20"/>
        </w:rPr>
        <w:t xml:space="preserve">(f) </w:t>
      </w:r>
      <w:r w:rsidR="00E83C22" w:rsidRPr="00EC02CA">
        <w:rPr>
          <w:sz w:val="20"/>
        </w:rPr>
        <w:tab/>
      </w:r>
      <w:r w:rsidRPr="00EC02CA">
        <w:rPr>
          <w:sz w:val="20"/>
        </w:rPr>
        <w:t>guardians should be involved in determining the appropriate sanction as allowed by this Act;</w:t>
      </w:r>
    </w:p>
    <w:p w14:paraId="5E90898D" w14:textId="278D7ECF" w:rsidR="00D1649A" w:rsidRPr="00EC02CA" w:rsidRDefault="00D1649A" w:rsidP="0043642C">
      <w:pPr>
        <w:spacing w:before="220"/>
        <w:ind w:left="1701" w:right="720" w:hanging="425"/>
        <w:rPr>
          <w:sz w:val="20"/>
        </w:rPr>
      </w:pPr>
      <w:r w:rsidRPr="00EC02CA">
        <w:rPr>
          <w:sz w:val="20"/>
        </w:rPr>
        <w:t xml:space="preserve">(g) </w:t>
      </w:r>
      <w:r w:rsidR="00E83C22" w:rsidRPr="00EC02CA">
        <w:rPr>
          <w:sz w:val="20"/>
        </w:rPr>
        <w:tab/>
      </w:r>
      <w:r w:rsidRPr="00EC02CA">
        <w:rPr>
          <w:sz w:val="20"/>
        </w:rPr>
        <w:t>detaining a youth in custody should only be used as a last resort and should only be for as short a time as is necessary;</w:t>
      </w:r>
    </w:p>
    <w:p w14:paraId="69F9D9C3" w14:textId="50A5CEE3" w:rsidR="00D1649A" w:rsidRPr="00EC02CA" w:rsidRDefault="00D1649A" w:rsidP="0043642C">
      <w:pPr>
        <w:spacing w:before="220"/>
        <w:ind w:left="1701" w:right="720" w:hanging="425"/>
        <w:rPr>
          <w:sz w:val="20"/>
        </w:rPr>
      </w:pPr>
      <w:r w:rsidRPr="00EC02CA">
        <w:rPr>
          <w:sz w:val="20"/>
        </w:rPr>
        <w:t xml:space="preserve">(h) </w:t>
      </w:r>
      <w:r w:rsidR="00E83C22" w:rsidRPr="00EC02CA">
        <w:rPr>
          <w:sz w:val="20"/>
        </w:rPr>
        <w:tab/>
      </w:r>
      <w:r w:rsidRPr="00EC02CA">
        <w:rPr>
          <w:sz w:val="20"/>
        </w:rPr>
        <w:t>any sanctioning of a youth is to be designed so as to give him or her an opportunity to develop a sense of social responsibility and otherwise to develop in beneficial and socially acceptable ways;</w:t>
      </w:r>
    </w:p>
    <w:p w14:paraId="3123EB20" w14:textId="66DF779B" w:rsidR="00D1649A" w:rsidRPr="00EC02CA" w:rsidRDefault="00D1649A" w:rsidP="0043642C">
      <w:pPr>
        <w:spacing w:before="220"/>
        <w:ind w:left="1701" w:right="720" w:hanging="425"/>
        <w:rPr>
          <w:sz w:val="20"/>
        </w:rPr>
      </w:pPr>
      <w:r w:rsidRPr="00EC02CA">
        <w:rPr>
          <w:sz w:val="20"/>
        </w:rPr>
        <w:t xml:space="preserve">(i) </w:t>
      </w:r>
      <w:r w:rsidR="00E83C22" w:rsidRPr="00EC02CA">
        <w:rPr>
          <w:sz w:val="20"/>
        </w:rPr>
        <w:tab/>
      </w:r>
      <w:r w:rsidRPr="00EC02CA">
        <w:rPr>
          <w:sz w:val="20"/>
        </w:rPr>
        <w:t>any sanctioning of a youth is to be appropriate to the age, maturity and cultural identity of the youth;</w:t>
      </w:r>
    </w:p>
    <w:p w14:paraId="4A0009EF" w14:textId="66D121BD" w:rsidR="00D1649A" w:rsidRPr="00EC02CA" w:rsidRDefault="00D1649A" w:rsidP="0043642C">
      <w:pPr>
        <w:spacing w:before="220"/>
        <w:ind w:left="1701" w:right="720" w:hanging="425"/>
        <w:rPr>
          <w:sz w:val="20"/>
        </w:rPr>
      </w:pPr>
      <w:r w:rsidRPr="00EC02CA">
        <w:rPr>
          <w:sz w:val="20"/>
        </w:rPr>
        <w:t xml:space="preserve">(j) </w:t>
      </w:r>
      <w:r w:rsidR="00E83C22" w:rsidRPr="00EC02CA">
        <w:rPr>
          <w:sz w:val="20"/>
        </w:rPr>
        <w:tab/>
      </w:r>
      <w:r w:rsidRPr="00EC02CA">
        <w:rPr>
          <w:sz w:val="20"/>
        </w:rPr>
        <w:t>any sanctioning of a youth is to be appropriate to the previous offending history of the youth.</w:t>
      </w:r>
    </w:p>
    <w:p w14:paraId="7E89F175" w14:textId="4E6E1C38" w:rsidR="00D1649A" w:rsidRPr="00EC02CA" w:rsidRDefault="00D1649A" w:rsidP="0043642C">
      <w:pPr>
        <w:spacing w:before="220"/>
        <w:ind w:left="1276" w:right="720" w:hanging="556"/>
        <w:rPr>
          <w:sz w:val="20"/>
        </w:rPr>
      </w:pPr>
      <w:r w:rsidRPr="00EC02CA">
        <w:rPr>
          <w:sz w:val="20"/>
        </w:rPr>
        <w:t xml:space="preserve">(2)  </w:t>
      </w:r>
      <w:r w:rsidR="00E83C22" w:rsidRPr="00EC02CA">
        <w:rPr>
          <w:sz w:val="20"/>
        </w:rPr>
        <w:tab/>
      </w:r>
      <w:r w:rsidRPr="00EC02CA">
        <w:rPr>
          <w:sz w:val="20"/>
        </w:rPr>
        <w:t>Effect is to be given to the following principles so far as the circumstances of the individual case allow:</w:t>
      </w:r>
    </w:p>
    <w:p w14:paraId="0D011B54" w14:textId="0721048E" w:rsidR="00D1649A" w:rsidRPr="00EC02CA" w:rsidRDefault="00D1649A" w:rsidP="0043642C">
      <w:pPr>
        <w:spacing w:before="220"/>
        <w:ind w:left="1701" w:right="720" w:hanging="425"/>
        <w:rPr>
          <w:sz w:val="20"/>
        </w:rPr>
      </w:pPr>
      <w:r w:rsidRPr="00EC02CA">
        <w:rPr>
          <w:sz w:val="20"/>
        </w:rPr>
        <w:t xml:space="preserve">(a) </w:t>
      </w:r>
      <w:r w:rsidR="00E83C22" w:rsidRPr="00EC02CA">
        <w:rPr>
          <w:sz w:val="20"/>
        </w:rPr>
        <w:tab/>
      </w:r>
      <w:r w:rsidRPr="00EC02CA">
        <w:rPr>
          <w:sz w:val="20"/>
        </w:rPr>
        <w:t>compensation and restitution should be provided, where appropriate, for victims of offences committed by youths;</w:t>
      </w:r>
    </w:p>
    <w:p w14:paraId="7E8228DF" w14:textId="3F8203DB" w:rsidR="00D1649A" w:rsidRPr="00EC02CA" w:rsidRDefault="00D1649A" w:rsidP="0043642C">
      <w:pPr>
        <w:spacing w:before="220"/>
        <w:ind w:left="1701" w:right="720" w:hanging="425"/>
        <w:rPr>
          <w:sz w:val="20"/>
        </w:rPr>
      </w:pPr>
      <w:r w:rsidRPr="00EC02CA">
        <w:rPr>
          <w:sz w:val="20"/>
        </w:rPr>
        <w:t xml:space="preserve">(b) </w:t>
      </w:r>
      <w:r w:rsidR="00E83C22" w:rsidRPr="00EC02CA">
        <w:rPr>
          <w:sz w:val="20"/>
        </w:rPr>
        <w:tab/>
      </w:r>
      <w:r w:rsidRPr="00EC02CA">
        <w:rPr>
          <w:sz w:val="20"/>
        </w:rPr>
        <w:t>family relationships between a yout</w:t>
      </w:r>
      <w:r w:rsidR="0043642C" w:rsidRPr="00EC02CA">
        <w:rPr>
          <w:sz w:val="20"/>
        </w:rPr>
        <w:t>h</w:t>
      </w:r>
      <w:r w:rsidRPr="00EC02CA">
        <w:rPr>
          <w:sz w:val="20"/>
        </w:rPr>
        <w:t>, the youth</w:t>
      </w:r>
      <w:r w:rsidR="0043642C" w:rsidRPr="00EC02CA">
        <w:rPr>
          <w:sz w:val="20"/>
        </w:rPr>
        <w:t>’</w:t>
      </w:r>
      <w:r w:rsidRPr="00EC02CA">
        <w:rPr>
          <w:sz w:val="20"/>
        </w:rPr>
        <w:t xml:space="preserve">s parents and other members </w:t>
      </w:r>
      <w:r w:rsidR="0043642C" w:rsidRPr="00EC02CA">
        <w:rPr>
          <w:sz w:val="20"/>
        </w:rPr>
        <w:t>o</w:t>
      </w:r>
      <w:r w:rsidRPr="00EC02CA">
        <w:rPr>
          <w:sz w:val="20"/>
        </w:rPr>
        <w:t>f the youth</w:t>
      </w:r>
      <w:r w:rsidR="0043642C" w:rsidRPr="00EC02CA">
        <w:rPr>
          <w:sz w:val="20"/>
        </w:rPr>
        <w:t>’</w:t>
      </w:r>
      <w:r w:rsidRPr="00EC02CA">
        <w:rPr>
          <w:sz w:val="20"/>
        </w:rPr>
        <w:t>s family should be preserved and st</w:t>
      </w:r>
      <w:r w:rsidR="0043642C" w:rsidRPr="00EC02CA">
        <w:rPr>
          <w:sz w:val="20"/>
        </w:rPr>
        <w:t>ren</w:t>
      </w:r>
      <w:r w:rsidRPr="00EC02CA">
        <w:rPr>
          <w:sz w:val="20"/>
        </w:rPr>
        <w:t>gthened;</w:t>
      </w:r>
    </w:p>
    <w:p w14:paraId="6266FE87" w14:textId="3940EB44" w:rsidR="00D1649A" w:rsidRPr="00EC02CA" w:rsidRDefault="00D1649A" w:rsidP="0043642C">
      <w:pPr>
        <w:spacing w:before="220"/>
        <w:ind w:left="1701" w:right="720" w:hanging="425"/>
        <w:rPr>
          <w:sz w:val="20"/>
        </w:rPr>
      </w:pPr>
      <w:r w:rsidRPr="00EC02CA">
        <w:rPr>
          <w:sz w:val="20"/>
        </w:rPr>
        <w:t xml:space="preserve">(c) </w:t>
      </w:r>
      <w:r w:rsidR="00E83C22" w:rsidRPr="00EC02CA">
        <w:rPr>
          <w:sz w:val="20"/>
        </w:rPr>
        <w:tab/>
      </w:r>
      <w:r w:rsidRPr="00EC02CA">
        <w:rPr>
          <w:sz w:val="20"/>
        </w:rPr>
        <w:t>a youth should not be withdrawn unnecessarily from his or her family environment;</w:t>
      </w:r>
    </w:p>
    <w:p w14:paraId="243F6347" w14:textId="39BE38B3" w:rsidR="00D1649A" w:rsidRPr="00EC02CA" w:rsidRDefault="00D1649A" w:rsidP="0043642C">
      <w:pPr>
        <w:spacing w:before="220"/>
        <w:ind w:left="1701" w:right="720" w:hanging="425"/>
        <w:rPr>
          <w:sz w:val="20"/>
        </w:rPr>
      </w:pPr>
      <w:r w:rsidRPr="00EC02CA">
        <w:rPr>
          <w:sz w:val="20"/>
        </w:rPr>
        <w:t xml:space="preserve">(d) </w:t>
      </w:r>
      <w:r w:rsidR="00E83C22" w:rsidRPr="00EC02CA">
        <w:rPr>
          <w:sz w:val="20"/>
        </w:rPr>
        <w:tab/>
      </w:r>
      <w:r w:rsidRPr="00EC02CA">
        <w:rPr>
          <w:sz w:val="20"/>
        </w:rPr>
        <w:t>there should be no unnecessary interrup</w:t>
      </w:r>
      <w:r w:rsidR="0043642C" w:rsidRPr="00EC02CA">
        <w:rPr>
          <w:sz w:val="20"/>
        </w:rPr>
        <w:t>t</w:t>
      </w:r>
      <w:r w:rsidRPr="00EC02CA">
        <w:rPr>
          <w:sz w:val="20"/>
        </w:rPr>
        <w:t>ion of a youth</w:t>
      </w:r>
      <w:r w:rsidR="0043642C" w:rsidRPr="00EC02CA">
        <w:rPr>
          <w:sz w:val="20"/>
        </w:rPr>
        <w:t>’</w:t>
      </w:r>
      <w:r w:rsidRPr="00EC02CA">
        <w:rPr>
          <w:sz w:val="20"/>
        </w:rPr>
        <w:t>s education employ</w:t>
      </w:r>
      <w:r w:rsidR="0043642C" w:rsidRPr="00EC02CA">
        <w:rPr>
          <w:sz w:val="20"/>
        </w:rPr>
        <w:t>m</w:t>
      </w:r>
      <w:r w:rsidRPr="00EC02CA">
        <w:rPr>
          <w:sz w:val="20"/>
        </w:rPr>
        <w:t>ent;</w:t>
      </w:r>
    </w:p>
    <w:p w14:paraId="2ED0534A" w14:textId="5191FA3A" w:rsidR="00D1649A" w:rsidRPr="00EC02CA" w:rsidRDefault="00D1649A" w:rsidP="0043642C">
      <w:pPr>
        <w:spacing w:before="220"/>
        <w:ind w:left="1701" w:right="720" w:hanging="425"/>
        <w:rPr>
          <w:sz w:val="20"/>
        </w:rPr>
      </w:pPr>
      <w:r w:rsidRPr="00EC02CA">
        <w:rPr>
          <w:sz w:val="20"/>
        </w:rPr>
        <w:t xml:space="preserve">(e) </w:t>
      </w:r>
      <w:r w:rsidR="00E83C22" w:rsidRPr="00EC02CA">
        <w:rPr>
          <w:sz w:val="20"/>
        </w:rPr>
        <w:tab/>
      </w:r>
      <w:r w:rsidRPr="00EC02CA">
        <w:rPr>
          <w:sz w:val="20"/>
        </w:rPr>
        <w:t>a youth</w:t>
      </w:r>
      <w:r w:rsidR="0043642C" w:rsidRPr="00EC02CA">
        <w:rPr>
          <w:sz w:val="20"/>
        </w:rPr>
        <w:t>’</w:t>
      </w:r>
      <w:r w:rsidRPr="00EC02CA">
        <w:rPr>
          <w:sz w:val="20"/>
        </w:rPr>
        <w:t>s sense of racial, ethnic or cultural identity should not be impaired;</w:t>
      </w:r>
    </w:p>
    <w:p w14:paraId="09181614" w14:textId="679AF338" w:rsidR="00D1649A" w:rsidRPr="00EC02CA" w:rsidRDefault="00D1649A" w:rsidP="0043642C">
      <w:pPr>
        <w:spacing w:before="220"/>
        <w:ind w:left="1701" w:right="720" w:hanging="425"/>
        <w:rPr>
          <w:sz w:val="20"/>
        </w:rPr>
      </w:pPr>
      <w:r w:rsidRPr="00EC02CA">
        <w:rPr>
          <w:sz w:val="20"/>
        </w:rPr>
        <w:t xml:space="preserve">(f) </w:t>
      </w:r>
      <w:r w:rsidR="00E83C22" w:rsidRPr="00EC02CA">
        <w:rPr>
          <w:sz w:val="20"/>
        </w:rPr>
        <w:tab/>
      </w:r>
      <w:r w:rsidRPr="00EC02CA">
        <w:rPr>
          <w:sz w:val="20"/>
        </w:rPr>
        <w:t>an Aboriginal youth should be dealt with in a manner that involves his or her cultural community.</w:t>
      </w:r>
    </w:p>
    <w:p w14:paraId="7C13A8B8" w14:textId="345D55B5" w:rsidR="00D1649A" w:rsidRPr="00EC02CA" w:rsidRDefault="00254C90" w:rsidP="00D1649A">
      <w:pPr>
        <w:pStyle w:val="NumberedHeadingTLRI"/>
      </w:pPr>
      <w:bookmarkStart w:id="249" w:name="_Toc211849404"/>
      <w:bookmarkStart w:id="250" w:name="_Toc218157303"/>
      <w:bookmarkStart w:id="251" w:name="_Ref218240891"/>
      <w:r w:rsidRPr="00EC02CA">
        <w:t xml:space="preserve">The </w:t>
      </w:r>
      <w:r w:rsidRPr="00EC02CA">
        <w:rPr>
          <w:i/>
          <w:iCs/>
        </w:rPr>
        <w:t xml:space="preserve">Youth Justice Act 1997 </w:t>
      </w:r>
      <w:r w:rsidRPr="00EC02CA">
        <w:t>(Tas) and the a</w:t>
      </w:r>
      <w:r w:rsidR="00D1649A" w:rsidRPr="00EC02CA">
        <w:t>gencies involved in the youth justice system</w:t>
      </w:r>
      <w:bookmarkEnd w:id="249"/>
      <w:bookmarkEnd w:id="250"/>
      <w:bookmarkEnd w:id="251"/>
    </w:p>
    <w:p w14:paraId="193CA889" w14:textId="6959D947" w:rsidR="00D1649A" w:rsidRPr="00EC02CA" w:rsidRDefault="00BA76BA" w:rsidP="00A920EC">
      <w:pPr>
        <w:pStyle w:val="NormalNumberedTextTLRI"/>
      </w:pPr>
      <w:r w:rsidRPr="00EC02CA">
        <w:t>Traditionally viewed,</w:t>
      </w:r>
      <w:r w:rsidR="00254C90" w:rsidRPr="00EC02CA">
        <w:t xml:space="preserve"> under the structure of </w:t>
      </w:r>
      <w:r w:rsidR="00254C90" w:rsidRPr="00EC02CA">
        <w:rPr>
          <w:i/>
          <w:iCs/>
        </w:rPr>
        <w:t xml:space="preserve">Youth Justice Act 1997 </w:t>
      </w:r>
      <w:r w:rsidR="00254C90" w:rsidRPr="00EC02CA">
        <w:t>(Tas),</w:t>
      </w:r>
      <w:r w:rsidR="00D1649A" w:rsidRPr="00EC02CA">
        <w:t xml:space="preserve"> there are three main components of the Tasmanian youth justice system: </w:t>
      </w:r>
    </w:p>
    <w:p w14:paraId="2DA3ACF8" w14:textId="3137E1D8" w:rsidR="00254C90" w:rsidRPr="00EC02CA" w:rsidRDefault="00D1649A" w:rsidP="00A920EC">
      <w:pPr>
        <w:pStyle w:val="NumberlessNormalText"/>
        <w:numPr>
          <w:ilvl w:val="0"/>
          <w:numId w:val="208"/>
        </w:numPr>
      </w:pPr>
      <w:r w:rsidRPr="00EC02CA">
        <w:rPr>
          <w:b/>
          <w:bCs/>
        </w:rPr>
        <w:t>Tasmania Police</w:t>
      </w:r>
      <w:r w:rsidRPr="00EC02CA">
        <w:t xml:space="preserve">: the first point of contact for young people who have committed or allegedly committed an offence. Tasmania </w:t>
      </w:r>
      <w:r w:rsidR="00BF2380" w:rsidRPr="00EC02CA">
        <w:t>P</w:t>
      </w:r>
      <w:r w:rsidRPr="00EC02CA">
        <w:t xml:space="preserve">olice are required to take action against offending behaviour that is detected or reported. Police are responsible for investigating any alleged offending and </w:t>
      </w:r>
      <w:r w:rsidR="00DF3436" w:rsidRPr="00EC02CA">
        <w:t xml:space="preserve">for </w:t>
      </w:r>
      <w:r w:rsidRPr="00EC02CA">
        <w:t>determining whether to divert</w:t>
      </w:r>
      <w:r w:rsidR="00DF3436" w:rsidRPr="00EC02CA">
        <w:t>,</w:t>
      </w:r>
      <w:r w:rsidRPr="00EC02CA">
        <w:t xml:space="preserve"> or proceed to charge</w:t>
      </w:r>
      <w:r w:rsidR="00DF3436" w:rsidRPr="00EC02CA">
        <w:t>,</w:t>
      </w:r>
      <w:r w:rsidRPr="00EC02CA">
        <w:t xml:space="preserve"> a young person. </w:t>
      </w:r>
      <w:r w:rsidR="00F025B9" w:rsidRPr="00EC02CA">
        <w:t>Accordingly</w:t>
      </w:r>
      <w:r w:rsidR="00A31885" w:rsidRPr="00EC02CA">
        <w:t>, Tasma</w:t>
      </w:r>
      <w:r w:rsidR="00F025B9" w:rsidRPr="00EC02CA">
        <w:t>nia</w:t>
      </w:r>
      <w:r w:rsidR="00064777" w:rsidRPr="00EC02CA">
        <w:t xml:space="preserve"> Police decide predominantly how each case is to be dealt with</w:t>
      </w:r>
      <w:r w:rsidR="00DF3436" w:rsidRPr="00EC02CA">
        <w:t>,</w:t>
      </w:r>
      <w:r w:rsidR="00064777" w:rsidRPr="00EC02CA">
        <w:t xml:space="preserve"> and so act as gatekeepers to the justice system.</w:t>
      </w:r>
      <w:r w:rsidR="00634207" w:rsidRPr="00EC02CA">
        <w:t xml:space="preserve"> </w:t>
      </w:r>
      <w:r w:rsidR="004E06DF" w:rsidRPr="00EC02CA">
        <w:t xml:space="preserve">This is </w:t>
      </w:r>
      <w:r w:rsidR="007E031F" w:rsidRPr="00EC02CA">
        <w:t xml:space="preserve">legislatively </w:t>
      </w:r>
      <w:r w:rsidR="0011254F" w:rsidRPr="00EC02CA">
        <w:t>recognised</w:t>
      </w:r>
      <w:r w:rsidR="007E031F" w:rsidRPr="00EC02CA">
        <w:t xml:space="preserve"> in </w:t>
      </w:r>
      <w:r w:rsidR="002760A2" w:rsidRPr="00EC02CA">
        <w:t>key provisions in</w:t>
      </w:r>
      <w:r w:rsidR="007E031F" w:rsidRPr="00EC02CA">
        <w:t xml:space="preserve"> the</w:t>
      </w:r>
      <w:r w:rsidR="0011254F" w:rsidRPr="00EC02CA">
        <w:t xml:space="preserve"> Act</w:t>
      </w:r>
      <w:r w:rsidR="00DF3436" w:rsidRPr="00EC02CA">
        <w:t>,</w:t>
      </w:r>
      <w:r w:rsidR="0011254F" w:rsidRPr="00EC02CA">
        <w:t xml:space="preserve"> </w:t>
      </w:r>
      <w:r w:rsidR="002760A2" w:rsidRPr="00EC02CA">
        <w:t xml:space="preserve">which identify police officers as </w:t>
      </w:r>
      <w:r w:rsidR="00DF3436" w:rsidRPr="00EC02CA">
        <w:t xml:space="preserve">the </w:t>
      </w:r>
      <w:r w:rsidR="00F1220E" w:rsidRPr="00EC02CA">
        <w:t xml:space="preserve">central </w:t>
      </w:r>
      <w:r w:rsidR="002760A2" w:rsidRPr="00EC02CA">
        <w:t>decision-makers for appropriate responses</w:t>
      </w:r>
      <w:r w:rsidR="0011254F" w:rsidRPr="00EC02CA">
        <w:t xml:space="preserve"> </w:t>
      </w:r>
      <w:r w:rsidR="000A56B7" w:rsidRPr="00EC02CA">
        <w:t>to matters</w:t>
      </w:r>
      <w:r w:rsidR="00AA575B" w:rsidRPr="00EC02CA">
        <w:t xml:space="preserve"> involving young people</w:t>
      </w:r>
      <w:r w:rsidR="000A56B7" w:rsidRPr="00EC02CA">
        <w:t xml:space="preserve">, including </w:t>
      </w:r>
      <w:r w:rsidR="00DF3436" w:rsidRPr="00EC02CA">
        <w:t xml:space="preserve">issuing </w:t>
      </w:r>
      <w:r w:rsidR="00F102F7" w:rsidRPr="00EC02CA">
        <w:t>informal cautions</w:t>
      </w:r>
      <w:r w:rsidR="00D7154B" w:rsidRPr="00EC02CA">
        <w:t xml:space="preserve"> (s 8(1)), </w:t>
      </w:r>
      <w:r w:rsidR="00DF3436" w:rsidRPr="00EC02CA">
        <w:t xml:space="preserve">issuing </w:t>
      </w:r>
      <w:r w:rsidR="000A56B7" w:rsidRPr="00EC02CA">
        <w:t>formal caution</w:t>
      </w:r>
      <w:r w:rsidR="00D7154B" w:rsidRPr="00EC02CA">
        <w:t>s</w:t>
      </w:r>
      <w:r w:rsidR="008A7CAE" w:rsidRPr="00EC02CA">
        <w:t xml:space="preserve"> </w:t>
      </w:r>
      <w:r w:rsidR="0021304F" w:rsidRPr="00EC02CA">
        <w:t xml:space="preserve">and </w:t>
      </w:r>
      <w:r w:rsidR="00DF3436" w:rsidRPr="00EC02CA">
        <w:t xml:space="preserve">conducting </w:t>
      </w:r>
      <w:r w:rsidR="0021304F" w:rsidRPr="00EC02CA">
        <w:t>community conferences (s 9(1)</w:t>
      </w:r>
      <w:r w:rsidR="00AB3932" w:rsidRPr="00EC02CA">
        <w:t>)</w:t>
      </w:r>
      <w:r w:rsidR="00C40CBD" w:rsidRPr="00EC02CA">
        <w:t xml:space="preserve">, and </w:t>
      </w:r>
      <w:r w:rsidR="00DF3436" w:rsidRPr="00EC02CA">
        <w:t xml:space="preserve">issuing </w:t>
      </w:r>
      <w:r w:rsidR="00C40CBD" w:rsidRPr="00EC02CA">
        <w:t>court proce</w:t>
      </w:r>
      <w:r w:rsidR="004D75CF" w:rsidRPr="00EC02CA">
        <w:t>edings (in the decision as to whether to lay charges) (s 26(1)</w:t>
      </w:r>
      <w:r w:rsidR="00343854" w:rsidRPr="00EC02CA">
        <w:t>).</w:t>
      </w:r>
      <w:r w:rsidR="004E06DF" w:rsidRPr="00EC02CA">
        <w:t xml:space="preserve"> </w:t>
      </w:r>
      <w:r w:rsidRPr="00EC02CA">
        <w:t xml:space="preserve">As part of Tasmania Police, there is a Youth Crime Intervention Unit. In addition, Tasmania Police has </w:t>
      </w:r>
      <w:r w:rsidR="00DF3436" w:rsidRPr="00EC02CA">
        <w:t xml:space="preserve">a </w:t>
      </w:r>
      <w:r w:rsidRPr="00EC02CA">
        <w:t>dedicated unit for victims of sexual violence</w:t>
      </w:r>
      <w:r w:rsidR="00C424FA" w:rsidRPr="00EC02CA">
        <w:t>, called Arch</w:t>
      </w:r>
      <w:r w:rsidRPr="00EC02CA">
        <w:t xml:space="preserve">. </w:t>
      </w:r>
      <w:r w:rsidR="00C424FA" w:rsidRPr="00EC02CA">
        <w:t>Arch</w:t>
      </w:r>
      <w:r w:rsidRPr="00EC02CA">
        <w:t xml:space="preserve"> is a coordinated service that incorporates specialist police investigators and counselling services, and </w:t>
      </w:r>
      <w:r w:rsidR="000F6D6F" w:rsidRPr="00EC02CA">
        <w:t>C</w:t>
      </w:r>
      <w:r w:rsidRPr="00EC02CA">
        <w:t xml:space="preserve">hild </w:t>
      </w:r>
      <w:r w:rsidR="000F6D6F" w:rsidRPr="00EC02CA">
        <w:t>S</w:t>
      </w:r>
      <w:r w:rsidRPr="00EC02CA">
        <w:t>afety</w:t>
      </w:r>
      <w:r w:rsidR="00DF3436" w:rsidRPr="00EC02CA">
        <w:t xml:space="preserve"> officers</w:t>
      </w:r>
      <w:r w:rsidRPr="00EC02CA">
        <w:t>.</w:t>
      </w:r>
      <w:r w:rsidRPr="00EC02CA">
        <w:rPr>
          <w:rStyle w:val="FootnoteReference"/>
          <w:rFonts w:eastAsia="Times New Roman"/>
        </w:rPr>
        <w:footnoteReference w:id="448"/>
      </w:r>
      <w:r w:rsidRPr="00EC02CA">
        <w:t xml:space="preserve"> The Sexual Assault Support Service (South) and Laurel House (North, North</w:t>
      </w:r>
      <w:r w:rsidR="00DF3436" w:rsidRPr="00EC02CA">
        <w:t xml:space="preserve"> </w:t>
      </w:r>
      <w:r w:rsidRPr="00EC02CA">
        <w:t xml:space="preserve">West, </w:t>
      </w:r>
      <w:r w:rsidR="00DF3436" w:rsidRPr="00EC02CA">
        <w:t xml:space="preserve">and </w:t>
      </w:r>
      <w:r w:rsidRPr="00EC02CA">
        <w:t>North</w:t>
      </w:r>
      <w:r w:rsidR="00DF3436" w:rsidRPr="00EC02CA">
        <w:t xml:space="preserve"> </w:t>
      </w:r>
      <w:r w:rsidRPr="00EC02CA">
        <w:t>East) can provide advice and support a person make their report to police.</w:t>
      </w:r>
      <w:r w:rsidRPr="00EC02CA">
        <w:rPr>
          <w:rStyle w:val="FootnoteReference"/>
          <w:rFonts w:eastAsia="Times New Roman"/>
        </w:rPr>
        <w:footnoteReference w:id="449"/>
      </w:r>
    </w:p>
    <w:p w14:paraId="00A2F3C6" w14:textId="028AA153" w:rsidR="005854B5" w:rsidRPr="00EC02CA" w:rsidRDefault="005854B5" w:rsidP="00A920EC">
      <w:pPr>
        <w:pStyle w:val="NumberlessNormalText"/>
      </w:pPr>
      <w:r w:rsidRPr="00EC02CA">
        <w:rPr>
          <w:b/>
          <w:bCs/>
        </w:rPr>
        <w:t>Youth Justice Services</w:t>
      </w:r>
      <w:r w:rsidRPr="00EC02CA">
        <w:t xml:space="preserve"> (</w:t>
      </w:r>
      <w:r w:rsidR="00DF3436" w:rsidRPr="00EC02CA">
        <w:t xml:space="preserve">within </w:t>
      </w:r>
      <w:r w:rsidRPr="00EC02CA">
        <w:t>DECYP): provide services to the young person</w:t>
      </w:r>
      <w:r w:rsidR="00DF3436" w:rsidRPr="00EC02CA">
        <w:t>,</w:t>
      </w:r>
      <w:r w:rsidRPr="00EC02CA">
        <w:t xml:space="preserve"> from contact with police</w:t>
      </w:r>
      <w:r w:rsidR="00DF3436" w:rsidRPr="00EC02CA">
        <w:t xml:space="preserve"> (</w:t>
      </w:r>
      <w:r w:rsidRPr="00EC02CA">
        <w:t>if they are referred to a community conference</w:t>
      </w:r>
      <w:r w:rsidR="00DF3436" w:rsidRPr="00EC02CA">
        <w:t>)</w:t>
      </w:r>
      <w:r w:rsidRPr="00EC02CA">
        <w:t xml:space="preserve">, through </w:t>
      </w:r>
      <w:r w:rsidR="00DF3436" w:rsidRPr="00EC02CA">
        <w:t xml:space="preserve">to </w:t>
      </w:r>
      <w:r w:rsidRPr="00EC02CA">
        <w:t xml:space="preserve">court processes and then supervision and case management </w:t>
      </w:r>
      <w:r w:rsidR="00DF3436" w:rsidRPr="00EC02CA">
        <w:t>(</w:t>
      </w:r>
      <w:r w:rsidRPr="00EC02CA">
        <w:t>or custodial services</w:t>
      </w:r>
      <w:r w:rsidR="00DF3436" w:rsidRPr="00EC02CA">
        <w:t>)</w:t>
      </w:r>
      <w:r w:rsidRPr="00EC02CA">
        <w:t xml:space="preserve"> following the imposition of a court order.</w:t>
      </w:r>
      <w:r w:rsidRPr="00EC02CA">
        <w:rPr>
          <w:vertAlign w:val="superscript"/>
        </w:rPr>
        <w:footnoteReference w:id="450"/>
      </w:r>
    </w:p>
    <w:p w14:paraId="436989B9" w14:textId="7AC034E7" w:rsidR="00254C90" w:rsidRPr="00EC02CA" w:rsidRDefault="00D1649A" w:rsidP="00A920EC">
      <w:pPr>
        <w:pStyle w:val="NumberlessNormalText"/>
      </w:pPr>
      <w:r w:rsidRPr="00EC02CA">
        <w:rPr>
          <w:b/>
          <w:bCs/>
        </w:rPr>
        <w:t>Cour</w:t>
      </w:r>
      <w:r w:rsidRPr="00EC02CA">
        <w:rPr>
          <w:b/>
        </w:rPr>
        <w:t>ts</w:t>
      </w:r>
      <w:r w:rsidRPr="00EC02CA">
        <w:t xml:space="preserve"> (Youth Justice Division and </w:t>
      </w:r>
      <w:r w:rsidR="00DF3436" w:rsidRPr="00EC02CA">
        <w:t xml:space="preserve">the </w:t>
      </w:r>
      <w:r w:rsidRPr="00EC02CA">
        <w:t>Supreme Court): adjudicate cases where a young person is changed with an offence.</w:t>
      </w:r>
      <w:r w:rsidR="000C6125" w:rsidRPr="00EC02CA">
        <w:t xml:space="preserve"> Further detail about the </w:t>
      </w:r>
      <w:r w:rsidR="00932011" w:rsidRPr="00EC02CA">
        <w:t xml:space="preserve">Youth Justice Division is </w:t>
      </w:r>
      <w:r w:rsidR="00230309" w:rsidRPr="00EC02CA">
        <w:t xml:space="preserve">contained in </w:t>
      </w:r>
      <w:r w:rsidR="000D0720" w:rsidRPr="00EC02CA">
        <w:t>[</w:t>
      </w:r>
      <w:r w:rsidR="00573142" w:rsidRPr="00EC02CA">
        <w:fldChar w:fldCharType="begin"/>
      </w:r>
      <w:r w:rsidR="00573142" w:rsidRPr="00EC02CA">
        <w:instrText xml:space="preserve"> REF _Ref218240613 \r \h </w:instrText>
      </w:r>
      <w:r w:rsidR="00573142" w:rsidRPr="00EC02CA">
        <w:fldChar w:fldCharType="separate"/>
      </w:r>
      <w:r w:rsidR="007D7830">
        <w:t>5.5</w:t>
      </w:r>
      <w:r w:rsidR="00573142" w:rsidRPr="00EC02CA">
        <w:fldChar w:fldCharType="end"/>
      </w:r>
      <w:r w:rsidR="000D0720" w:rsidRPr="00EC02CA">
        <w:t>]</w:t>
      </w:r>
      <w:r w:rsidR="00230309" w:rsidRPr="00EC02CA">
        <w:t>.</w:t>
      </w:r>
    </w:p>
    <w:p w14:paraId="5114761E" w14:textId="068AC9EE" w:rsidR="00D1649A" w:rsidRPr="00EC02CA" w:rsidRDefault="00DF3436" w:rsidP="00A920EC">
      <w:pPr>
        <w:pStyle w:val="NormalNumberedTextTLRI"/>
      </w:pPr>
      <w:r w:rsidRPr="00EC02CA">
        <w:t>W</w:t>
      </w:r>
      <w:r w:rsidR="00D1649A" w:rsidRPr="00EC02CA">
        <w:t xml:space="preserve">hile these three components remain key </w:t>
      </w:r>
      <w:r w:rsidR="00CF3A40" w:rsidRPr="00EC02CA">
        <w:t xml:space="preserve">(and central) </w:t>
      </w:r>
      <w:r w:rsidR="00D1649A" w:rsidRPr="00EC02CA">
        <w:t xml:space="preserve">features </w:t>
      </w:r>
      <w:r w:rsidRPr="00EC02CA">
        <w:t xml:space="preserve">of </w:t>
      </w:r>
      <w:r w:rsidR="00D1649A" w:rsidRPr="00EC02CA">
        <w:t>the Tasmanian youth justice system, th</w:t>
      </w:r>
      <w:r w:rsidR="00CF3A40" w:rsidRPr="00EC02CA">
        <w:t xml:space="preserve">is </w:t>
      </w:r>
      <w:r w:rsidR="00D1649A" w:rsidRPr="00EC02CA">
        <w:t xml:space="preserve">traditional conception of the ‘criminal justice’ </w:t>
      </w:r>
      <w:r w:rsidRPr="00EC02CA">
        <w:t xml:space="preserve">system </w:t>
      </w:r>
      <w:r w:rsidR="00D1649A" w:rsidRPr="00EC02CA">
        <w:t xml:space="preserve">does not fully capture the other sectors and decision-makers who may be involved where young people are alleged to </w:t>
      </w:r>
      <w:r w:rsidR="00CF3A40" w:rsidRPr="00EC02CA">
        <w:t xml:space="preserve">have committed </w:t>
      </w:r>
      <w:r w:rsidR="00D1649A" w:rsidRPr="00EC02CA">
        <w:t xml:space="preserve">sexual offences. </w:t>
      </w:r>
      <w:r w:rsidR="00CF3A40" w:rsidRPr="00EC02CA">
        <w:t>This means that</w:t>
      </w:r>
      <w:r w:rsidRPr="00EC02CA">
        <w:t>,</w:t>
      </w:r>
      <w:r w:rsidR="00CF3A40" w:rsidRPr="00EC02CA">
        <w:t xml:space="preserve"> in</w:t>
      </w:r>
      <w:r w:rsidR="00D1649A" w:rsidRPr="00EC02CA">
        <w:t xml:space="preserve"> considering responses to sexual offending</w:t>
      </w:r>
      <w:r w:rsidR="00070270" w:rsidRPr="00EC02CA">
        <w:t xml:space="preserve"> by young people</w:t>
      </w:r>
      <w:r w:rsidR="00CF3A40" w:rsidRPr="00EC02CA">
        <w:t>, it is necessary to</w:t>
      </w:r>
      <w:r w:rsidR="00D1649A" w:rsidRPr="00EC02CA">
        <w:t xml:space="preserve"> </w:t>
      </w:r>
      <w:r w:rsidR="00CF3A40" w:rsidRPr="00EC02CA">
        <w:t>recognise</w:t>
      </w:r>
      <w:r w:rsidR="00D1649A" w:rsidRPr="00EC02CA">
        <w:t xml:space="preserve"> </w:t>
      </w:r>
      <w:r w:rsidR="00CF3A40" w:rsidRPr="00EC02CA">
        <w:t>the</w:t>
      </w:r>
      <w:r w:rsidR="00D1649A" w:rsidRPr="00EC02CA">
        <w:t xml:space="preserve"> broader system, and </w:t>
      </w:r>
      <w:r w:rsidR="00CF3A40" w:rsidRPr="00EC02CA">
        <w:t>to recognise</w:t>
      </w:r>
      <w:r w:rsidR="00D1649A" w:rsidRPr="00EC02CA">
        <w:t xml:space="preserve"> the complexities that arise from interactions between the sectors</w:t>
      </w:r>
      <w:r w:rsidRPr="00EC02CA">
        <w:t xml:space="preserve"> involved</w:t>
      </w:r>
      <w:r w:rsidR="00D1649A" w:rsidRPr="00EC02CA">
        <w:t xml:space="preserve">. </w:t>
      </w:r>
    </w:p>
    <w:p w14:paraId="190431A5" w14:textId="1EB1AFBF" w:rsidR="00D1649A" w:rsidRPr="00EC02CA" w:rsidRDefault="00D1649A" w:rsidP="00A920EC">
      <w:pPr>
        <w:pStyle w:val="NormalNumberedTextTLRI"/>
      </w:pPr>
      <w:r w:rsidRPr="00EC02CA">
        <w:t xml:space="preserve">Online sexual offences (as set out at </w:t>
      </w:r>
      <w:r w:rsidR="000D0720" w:rsidRPr="00EC02CA">
        <w:t>[</w:t>
      </w:r>
      <w:r w:rsidR="00573142" w:rsidRPr="00EC02CA">
        <w:fldChar w:fldCharType="begin"/>
      </w:r>
      <w:r w:rsidR="00573142" w:rsidRPr="00EC02CA">
        <w:instrText xml:space="preserve"> REF _Ref218240629 \r \h </w:instrText>
      </w:r>
      <w:r w:rsidR="00573142" w:rsidRPr="00EC02CA">
        <w:fldChar w:fldCharType="separate"/>
      </w:r>
      <w:r w:rsidR="007D7830">
        <w:t>4.3</w:t>
      </w:r>
      <w:r w:rsidR="00573142" w:rsidRPr="00EC02CA">
        <w:fldChar w:fldCharType="end"/>
      </w:r>
      <w:r w:rsidR="000D0720" w:rsidRPr="00EC02CA">
        <w:t>]</w:t>
      </w:r>
      <w:r w:rsidRPr="00EC02CA">
        <w:t xml:space="preserve">) are created under </w:t>
      </w:r>
      <w:r w:rsidR="00E246A1" w:rsidRPr="00EC02CA">
        <w:t>s</w:t>
      </w:r>
      <w:r w:rsidRPr="00EC02CA">
        <w:t>tate and Commonwealth legislation</w:t>
      </w:r>
      <w:r w:rsidR="00E246A1" w:rsidRPr="00EC02CA">
        <w:t xml:space="preserve">, and as a result, </w:t>
      </w:r>
      <w:r w:rsidRPr="00EC02CA">
        <w:t xml:space="preserve">both </w:t>
      </w:r>
      <w:r w:rsidR="00E246A1" w:rsidRPr="00EC02CA">
        <w:t>s</w:t>
      </w:r>
      <w:r w:rsidRPr="00EC02CA">
        <w:t xml:space="preserve">tate and Commonwealth agencies are involved. In relation to police, </w:t>
      </w:r>
      <w:r w:rsidR="00E246A1" w:rsidRPr="00EC02CA">
        <w:t>alongside</w:t>
      </w:r>
      <w:r w:rsidRPr="00EC02CA">
        <w:t xml:space="preserve"> Tasmania Police, the </w:t>
      </w:r>
      <w:r w:rsidRPr="00EC02CA">
        <w:rPr>
          <w:bCs/>
        </w:rPr>
        <w:t>Australian Federal Police</w:t>
      </w:r>
      <w:r w:rsidRPr="00EC02CA">
        <w:rPr>
          <w:b/>
        </w:rPr>
        <w:t xml:space="preserve"> </w:t>
      </w:r>
      <w:r w:rsidR="00CF3A40" w:rsidRPr="00EC02CA">
        <w:t>are involved</w:t>
      </w:r>
      <w:r w:rsidRPr="00EC02CA">
        <w:t xml:space="preserve"> with young people who are alleged to have committed online sexual offences. Reports of online offending </w:t>
      </w:r>
      <w:r w:rsidR="00CF3A40" w:rsidRPr="00EC02CA">
        <w:t xml:space="preserve">may be </w:t>
      </w:r>
      <w:r w:rsidRPr="00EC02CA">
        <w:t xml:space="preserve">re received from the United States’ National </w:t>
      </w:r>
      <w:r w:rsidR="00F56690" w:rsidRPr="00EC02CA">
        <w:t>Centre</w:t>
      </w:r>
      <w:r w:rsidRPr="00EC02CA">
        <w:t xml:space="preserve"> for Missing and Exploited Children, which shares </w:t>
      </w:r>
      <w:r w:rsidR="00E246A1" w:rsidRPr="00EC02CA">
        <w:t xml:space="preserve">with the AFP </w:t>
      </w:r>
      <w:r w:rsidRPr="00EC02CA">
        <w:t xml:space="preserve">information about Tasmanian users uploading and/or accessing child abuse material online. In responding to online offending, the AFP and Tasmania Police have a memorandum of understanding, which formalises the arrangement of the </w:t>
      </w:r>
      <w:r w:rsidRPr="00EC02CA">
        <w:rPr>
          <w:bCs/>
        </w:rPr>
        <w:t>Joint Anti Child Exploitation Team</w:t>
      </w:r>
      <w:r w:rsidRPr="00EC02CA">
        <w:t xml:space="preserve"> (JACET).</w:t>
      </w:r>
      <w:r w:rsidRPr="00EC02CA">
        <w:rPr>
          <w:rStyle w:val="FootnoteReference"/>
        </w:rPr>
        <w:footnoteReference w:id="451"/>
      </w:r>
      <w:r w:rsidRPr="00EC02CA">
        <w:t xml:space="preserve"> In circumstances where a person is alleged to have committed both a </w:t>
      </w:r>
      <w:r w:rsidR="00E246A1" w:rsidRPr="00EC02CA">
        <w:t>s</w:t>
      </w:r>
      <w:r w:rsidRPr="00EC02CA">
        <w:t xml:space="preserve">tate and Commonwealth crime, the Tasmanian Director of Public Prosecution has authority to prosecute Commonwealth matters </w:t>
      </w:r>
      <w:r w:rsidR="00E246A1" w:rsidRPr="00EC02CA">
        <w:t xml:space="preserve">on indictment </w:t>
      </w:r>
      <w:r w:rsidRPr="00EC02CA">
        <w:t>(and vice versa for the Commonwealth D</w:t>
      </w:r>
      <w:r w:rsidR="009E63E8" w:rsidRPr="00EC02CA">
        <w:t xml:space="preserve">irector of </w:t>
      </w:r>
      <w:r w:rsidRPr="00EC02CA">
        <w:t>P</w:t>
      </w:r>
      <w:r w:rsidR="009E63E8" w:rsidRPr="00EC02CA">
        <w:t xml:space="preserve">ublic </w:t>
      </w:r>
      <w:r w:rsidRPr="00EC02CA">
        <w:t>P</w:t>
      </w:r>
      <w:r w:rsidR="009E63E8" w:rsidRPr="00EC02CA">
        <w:t>rosecutions</w:t>
      </w:r>
      <w:r w:rsidRPr="00EC02CA">
        <w:t>).</w:t>
      </w:r>
      <w:r w:rsidRPr="00EC02CA">
        <w:rPr>
          <w:rStyle w:val="FootnoteReference"/>
        </w:rPr>
        <w:footnoteReference w:id="452"/>
      </w:r>
    </w:p>
    <w:p w14:paraId="50F14B20" w14:textId="694016E1" w:rsidR="00D1649A" w:rsidRPr="00EC02CA" w:rsidRDefault="00D1649A" w:rsidP="00A920EC">
      <w:pPr>
        <w:pStyle w:val="NormalNumberedTextTLRI"/>
      </w:pPr>
      <w:r w:rsidRPr="00EC02CA">
        <w:t xml:space="preserve">As </w:t>
      </w:r>
      <w:r w:rsidR="000D0720" w:rsidRPr="00EC02CA">
        <w:t>noted</w:t>
      </w:r>
      <w:r w:rsidRPr="00EC02CA">
        <w:t xml:space="preserve">, the Office of the Director of Public Prosecution </w:t>
      </w:r>
      <w:r w:rsidR="000D0720" w:rsidRPr="00EC02CA">
        <w:t xml:space="preserve">(DPP) </w:t>
      </w:r>
      <w:r w:rsidRPr="00EC02CA">
        <w:t xml:space="preserve">also has a role in relation to prosecution of youth offenders. In addition to prosecuting </w:t>
      </w:r>
      <w:r w:rsidR="00E246A1" w:rsidRPr="00EC02CA">
        <w:t xml:space="preserve">young people </w:t>
      </w:r>
      <w:r w:rsidRPr="00EC02CA">
        <w:t xml:space="preserve">in the Supreme Court for </w:t>
      </w:r>
      <w:r w:rsidR="00E246A1" w:rsidRPr="00EC02CA">
        <w:t>matters involving</w:t>
      </w:r>
      <w:r w:rsidRPr="00EC02CA">
        <w:t xml:space="preserve"> prescribed offences, the Office of the DPP provides an advice service to Tasmania Police prior to charging a person with sexual assault crimes ‘in circumstances where there may be a question as to the appropriateness of the changs or the sufficiency of the evidence’.</w:t>
      </w:r>
      <w:r w:rsidRPr="00EC02CA">
        <w:rPr>
          <w:rStyle w:val="FootnoteReference"/>
        </w:rPr>
        <w:footnoteReference w:id="453"/>
      </w:r>
      <w:r w:rsidR="007D163E" w:rsidRPr="00EC02CA">
        <w:t xml:space="preserve"> </w:t>
      </w:r>
      <w:r w:rsidRPr="00EC02CA">
        <w:t>This includ</w:t>
      </w:r>
      <w:r w:rsidR="007D163E" w:rsidRPr="00EC02CA">
        <w:t>es</w:t>
      </w:r>
      <w:r w:rsidRPr="00EC02CA">
        <w:t xml:space="preserve"> advice for crimes where the defendant is a </w:t>
      </w:r>
      <w:r w:rsidR="000D0720" w:rsidRPr="00EC02CA">
        <w:t xml:space="preserve">young person </w:t>
      </w:r>
      <w:r w:rsidRPr="00EC02CA">
        <w:t xml:space="preserve">and </w:t>
      </w:r>
      <w:r w:rsidR="007D163E" w:rsidRPr="00EC02CA">
        <w:t xml:space="preserve">the alleged offence </w:t>
      </w:r>
      <w:r w:rsidRPr="00EC02CA">
        <w:t xml:space="preserve">is not </w:t>
      </w:r>
      <w:r w:rsidR="007D163E" w:rsidRPr="00EC02CA">
        <w:t xml:space="preserve">a </w:t>
      </w:r>
      <w:r w:rsidRPr="00EC02CA">
        <w:t>prescribed offence.</w:t>
      </w:r>
      <w:r w:rsidRPr="00EC02CA">
        <w:rPr>
          <w:rStyle w:val="FootnoteReference"/>
        </w:rPr>
        <w:footnoteReference w:id="454"/>
      </w:r>
      <w:r w:rsidRPr="00EC02CA">
        <w:t xml:space="preserve"> The DPP </w:t>
      </w:r>
      <w:r w:rsidR="000F6D6F" w:rsidRPr="00EC02CA">
        <w:t>G</w:t>
      </w:r>
      <w:r w:rsidRPr="00EC02CA">
        <w:t>uidelines also provide guidance on prosecuting offenders</w:t>
      </w:r>
      <w:r w:rsidR="000A2C3C" w:rsidRPr="00EC02CA">
        <w:t xml:space="preserve"> who are young people</w:t>
      </w:r>
      <w:r w:rsidRPr="00EC02CA">
        <w:t>:</w:t>
      </w:r>
    </w:p>
    <w:p w14:paraId="53DBEFB4" w14:textId="77777777" w:rsidR="00D1649A" w:rsidRPr="00EC02CA" w:rsidRDefault="00D1649A" w:rsidP="00D1649A">
      <w:pPr>
        <w:pStyle w:val="Indentedquote"/>
      </w:pPr>
      <w:r w:rsidRPr="00EC02CA">
        <w:t>Special considerations apply to the prosecution of persons under the age of 18 years. Prosecution action against youthful offenders should be used sparingly and in making a decision whether to prosecute particular consideration should be given to available alternatives to prosecution, such as a caution or reprimand, as well as to the sentencing alternatives available to the relevant Youth Justice Court if the matter were to be prosecuted.</w:t>
      </w:r>
      <w:r w:rsidRPr="00EC02CA">
        <w:rPr>
          <w:rStyle w:val="FootnoteReference"/>
        </w:rPr>
        <w:footnoteReference w:id="455"/>
      </w:r>
    </w:p>
    <w:p w14:paraId="6A31D4E8" w14:textId="118D8570" w:rsidR="00D1649A" w:rsidRPr="00EC02CA" w:rsidRDefault="00D1649A" w:rsidP="00A920EC">
      <w:pPr>
        <w:pStyle w:val="NormalNumberedTextTLRI"/>
      </w:pPr>
      <w:r w:rsidRPr="00EC02CA">
        <w:t xml:space="preserve">The education system is </w:t>
      </w:r>
      <w:r w:rsidR="00CE044B" w:rsidRPr="00EC02CA">
        <w:t>clearly distinct from the youth j</w:t>
      </w:r>
      <w:r w:rsidR="00453CC4" w:rsidRPr="00EC02CA">
        <w:t xml:space="preserve">ustice system. However, </w:t>
      </w:r>
      <w:r w:rsidR="00506235" w:rsidRPr="00EC02CA">
        <w:t xml:space="preserve">its obligations to care for students </w:t>
      </w:r>
      <w:r w:rsidR="005348FA" w:rsidRPr="00EC02CA">
        <w:t xml:space="preserve">require it </w:t>
      </w:r>
      <w:r w:rsidR="00730CCB" w:rsidRPr="00EC02CA">
        <w:t xml:space="preserve">to interact with the youth </w:t>
      </w:r>
      <w:r w:rsidR="001F2F6B" w:rsidRPr="00EC02CA">
        <w:t>justice system.</w:t>
      </w:r>
      <w:r w:rsidR="00453CC4" w:rsidRPr="00EC02CA">
        <w:t xml:space="preserve"> </w:t>
      </w:r>
      <w:r w:rsidR="00972F26" w:rsidRPr="00EC02CA">
        <w:t>In fact</w:t>
      </w:r>
      <w:r w:rsidR="003D76DF" w:rsidRPr="00EC02CA">
        <w:t>,</w:t>
      </w:r>
      <w:r w:rsidR="00972F26" w:rsidRPr="00EC02CA">
        <w:t xml:space="preserve"> the education</w:t>
      </w:r>
      <w:r w:rsidRPr="00EC02CA">
        <w:t xml:space="preserve"> sector </w:t>
      </w:r>
      <w:r w:rsidR="00475E15" w:rsidRPr="00EC02CA">
        <w:t>is</w:t>
      </w:r>
      <w:r w:rsidRPr="00EC02CA">
        <w:t xml:space="preserve"> increas</w:t>
      </w:r>
      <w:r w:rsidR="00475E15" w:rsidRPr="00EC02CA">
        <w:t>ingly</w:t>
      </w:r>
      <w:r w:rsidRPr="00EC02CA">
        <w:t xml:space="preserve"> involve</w:t>
      </w:r>
      <w:r w:rsidR="00475E15" w:rsidRPr="00EC02CA">
        <w:t>d</w:t>
      </w:r>
      <w:r w:rsidRPr="00EC02CA">
        <w:t xml:space="preserve"> </w:t>
      </w:r>
      <w:r w:rsidR="00475E15" w:rsidRPr="00EC02CA">
        <w:t xml:space="preserve">in </w:t>
      </w:r>
      <w:r w:rsidRPr="00EC02CA">
        <w:t>sexual offending</w:t>
      </w:r>
      <w:r w:rsidR="000A2C3C" w:rsidRPr="00EC02CA">
        <w:t xml:space="preserve"> by young p</w:t>
      </w:r>
      <w:r w:rsidR="00112F75" w:rsidRPr="00EC02CA">
        <w:t>eople</w:t>
      </w:r>
      <w:r w:rsidRPr="00EC02CA">
        <w:t xml:space="preserve">, given the </w:t>
      </w:r>
      <w:r w:rsidR="00475E15" w:rsidRPr="00EC02CA">
        <w:t xml:space="preserve">rise </w:t>
      </w:r>
      <w:r w:rsidRPr="00EC02CA">
        <w:t xml:space="preserve">in online offending, which both increases the </w:t>
      </w:r>
      <w:r w:rsidR="00475E15" w:rsidRPr="00EC02CA">
        <w:t>likelihood of</w:t>
      </w:r>
      <w:r w:rsidRPr="00EC02CA">
        <w:t xml:space="preserve"> offence</w:t>
      </w:r>
      <w:r w:rsidR="00475E15" w:rsidRPr="00EC02CA">
        <w:t>s</w:t>
      </w:r>
      <w:r w:rsidRPr="00EC02CA">
        <w:t xml:space="preserve"> </w:t>
      </w:r>
      <w:r w:rsidR="00475E15" w:rsidRPr="00EC02CA">
        <w:t xml:space="preserve">being </w:t>
      </w:r>
      <w:r w:rsidRPr="00EC02CA">
        <w:t xml:space="preserve">committed at school </w:t>
      </w:r>
      <w:r w:rsidR="00475E15" w:rsidRPr="00EC02CA">
        <w:t>and</w:t>
      </w:r>
      <w:r w:rsidRPr="00EC02CA">
        <w:t xml:space="preserve"> blur</w:t>
      </w:r>
      <w:r w:rsidR="00475E15" w:rsidRPr="00EC02CA">
        <w:t>s</w:t>
      </w:r>
      <w:r w:rsidRPr="00EC02CA">
        <w:t xml:space="preserve"> the boundaries of responsibility where a young person engages in unlawful online sexual behaviour towards another student or a staff member. Schools have a duty of care to students and staff. This includes government and non-government schools. Schools have mandatory reporting obligations in relation to child sexual abuse, under the </w:t>
      </w:r>
      <w:r w:rsidRPr="00EC02CA">
        <w:rPr>
          <w:i/>
          <w:iCs/>
        </w:rPr>
        <w:t xml:space="preserve">Children, Young Persons and Their Families Act 1997 </w:t>
      </w:r>
      <w:r w:rsidRPr="00EC02CA">
        <w:t xml:space="preserve">(Tas), which sets out the responsibilities of teachers and principals to inform authorities </w:t>
      </w:r>
      <w:r w:rsidR="00C80EC8" w:rsidRPr="00EC02CA">
        <w:t xml:space="preserve">of </w:t>
      </w:r>
      <w:r w:rsidRPr="00EC02CA">
        <w:t>concerns about abuse or neglect, including sexual abuse.</w:t>
      </w:r>
      <w:r w:rsidRPr="00EC02CA">
        <w:rPr>
          <w:rStyle w:val="FootnoteReference"/>
        </w:rPr>
        <w:footnoteReference w:id="456"/>
      </w:r>
      <w:r w:rsidRPr="00EC02CA">
        <w:t xml:space="preserve">  Reports are made to </w:t>
      </w:r>
      <w:r w:rsidR="004D7E2F" w:rsidRPr="00EC02CA">
        <w:t xml:space="preserve">the </w:t>
      </w:r>
      <w:r w:rsidRPr="00EC02CA">
        <w:t>Strong Families</w:t>
      </w:r>
      <w:r w:rsidR="004D7E2F" w:rsidRPr="00EC02CA">
        <w:t>,</w:t>
      </w:r>
      <w:r w:rsidRPr="00EC02CA">
        <w:t xml:space="preserve"> Safe Kids</w:t>
      </w:r>
      <w:r w:rsidR="004D7E2F" w:rsidRPr="00EC02CA">
        <w:t xml:space="preserve"> Advice and Referral Line (ARL)</w:t>
      </w:r>
      <w:r w:rsidRPr="00EC02CA">
        <w:t xml:space="preserve"> either through their website or hotline.</w:t>
      </w:r>
      <w:r w:rsidRPr="00EC02CA">
        <w:rPr>
          <w:rStyle w:val="FootnoteReference"/>
        </w:rPr>
        <w:footnoteReference w:id="457"/>
      </w:r>
      <w:r w:rsidRPr="00EC02CA">
        <w:t xml:space="preserve"> Reports made to the ARL may trigger a child protection response,</w:t>
      </w:r>
      <w:r w:rsidRPr="00EC02CA">
        <w:rPr>
          <w:rStyle w:val="FootnoteReference"/>
        </w:rPr>
        <w:footnoteReference w:id="458"/>
      </w:r>
      <w:r w:rsidRPr="00EC02CA">
        <w:t xml:space="preserve"> but they may also result in a criminal justice response by referrals to police. Data on reports to</w:t>
      </w:r>
      <w:r w:rsidR="005D11BF" w:rsidRPr="00EC02CA">
        <w:t xml:space="preserve"> the</w:t>
      </w:r>
      <w:r w:rsidRPr="00EC02CA">
        <w:t xml:space="preserve"> </w:t>
      </w:r>
      <w:r w:rsidR="004D7E2F" w:rsidRPr="00EC02CA">
        <w:t>ARL</w:t>
      </w:r>
      <w:r w:rsidRPr="00EC02CA">
        <w:t xml:space="preserve"> is set out at </w:t>
      </w:r>
      <w:r w:rsidR="00F70484" w:rsidRPr="00EC02CA">
        <w:t>[</w:t>
      </w:r>
      <w:r w:rsidR="00573142" w:rsidRPr="00EC02CA">
        <w:fldChar w:fldCharType="begin"/>
      </w:r>
      <w:r w:rsidR="00573142" w:rsidRPr="00EC02CA">
        <w:instrText xml:space="preserve"> REF _Ref218240647 \r \h </w:instrText>
      </w:r>
      <w:r w:rsidR="00573142" w:rsidRPr="00EC02CA">
        <w:fldChar w:fldCharType="separate"/>
      </w:r>
      <w:r w:rsidR="007D7830">
        <w:t>6.2</w:t>
      </w:r>
      <w:r w:rsidR="00573142" w:rsidRPr="00EC02CA">
        <w:fldChar w:fldCharType="end"/>
      </w:r>
      <w:r w:rsidR="00F70484" w:rsidRPr="00EC02CA">
        <w:t xml:space="preserve">] and Appendix </w:t>
      </w:r>
      <w:r w:rsidR="00F83306" w:rsidRPr="00EC02CA">
        <w:t>H</w:t>
      </w:r>
      <w:r w:rsidRPr="00EC02CA">
        <w:t xml:space="preserve">. It is also an offence under the </w:t>
      </w:r>
      <w:r w:rsidRPr="00EC02CA">
        <w:rPr>
          <w:i/>
          <w:iCs/>
        </w:rPr>
        <w:t xml:space="preserve">Criminal Code </w:t>
      </w:r>
      <w:r w:rsidRPr="00EC02CA">
        <w:t xml:space="preserve">(Tas) for an adult to fail to report an abuse offence (which includes </w:t>
      </w:r>
      <w:r w:rsidR="004D7E2F" w:rsidRPr="00EC02CA">
        <w:t xml:space="preserve">a </w:t>
      </w:r>
      <w:r w:rsidRPr="00EC02CA">
        <w:t>sexual offence) to a police officer if they have information that leads the person to form a reasonable belief that an abuse offence has been committed against a child.</w:t>
      </w:r>
      <w:r w:rsidRPr="00EC02CA">
        <w:rPr>
          <w:rStyle w:val="FootnoteReference"/>
        </w:rPr>
        <w:footnoteReference w:id="459"/>
      </w:r>
      <w:r w:rsidRPr="00EC02CA">
        <w:t xml:space="preserve"> This </w:t>
      </w:r>
      <w:r w:rsidR="00BA1215" w:rsidRPr="00EC02CA">
        <w:t xml:space="preserve">creates </w:t>
      </w:r>
      <w:r w:rsidR="00A973FC" w:rsidRPr="00EC02CA">
        <w:t>reporting</w:t>
      </w:r>
      <w:r w:rsidR="00BA1215" w:rsidRPr="00EC02CA">
        <w:t xml:space="preserve"> obligations for </w:t>
      </w:r>
      <w:r w:rsidR="00A973FC" w:rsidRPr="00EC02CA">
        <w:t xml:space="preserve">agencies </w:t>
      </w:r>
      <w:r w:rsidR="004D7E2F" w:rsidRPr="00EC02CA">
        <w:t xml:space="preserve">that have </w:t>
      </w:r>
      <w:r w:rsidR="00A973FC" w:rsidRPr="00EC02CA">
        <w:t xml:space="preserve">contact with young people (as well as others) and </w:t>
      </w:r>
      <w:r w:rsidRPr="00EC02CA">
        <w:t xml:space="preserve">is discussed further at </w:t>
      </w:r>
      <w:r w:rsidR="0004683A" w:rsidRPr="00EC02CA">
        <w:t>[</w:t>
      </w:r>
      <w:r w:rsidR="00573142" w:rsidRPr="00EC02CA">
        <w:fldChar w:fldCharType="begin"/>
      </w:r>
      <w:r w:rsidR="00573142" w:rsidRPr="00EC02CA">
        <w:instrText xml:space="preserve"> REF _Ref218240647 \r \h </w:instrText>
      </w:r>
      <w:r w:rsidR="00573142" w:rsidRPr="00EC02CA">
        <w:fldChar w:fldCharType="separate"/>
      </w:r>
      <w:r w:rsidR="007D7830">
        <w:t>6.2</w:t>
      </w:r>
      <w:r w:rsidR="00573142" w:rsidRPr="00EC02CA">
        <w:fldChar w:fldCharType="end"/>
      </w:r>
      <w:r w:rsidR="0004683A" w:rsidRPr="00EC02CA">
        <w:t>]</w:t>
      </w:r>
    </w:p>
    <w:p w14:paraId="14C1A858" w14:textId="77777777" w:rsidR="00D1649A" w:rsidRPr="00EC02CA" w:rsidRDefault="00D1649A" w:rsidP="00D1649A">
      <w:pPr>
        <w:pStyle w:val="NumberedHeadingTLRI"/>
      </w:pPr>
      <w:bookmarkStart w:id="252" w:name="_Toc211849405"/>
      <w:bookmarkStart w:id="253" w:name="_Toc218157304"/>
      <w:bookmarkStart w:id="254" w:name="_Ref218240613"/>
      <w:r w:rsidRPr="00EC02CA">
        <w:t>The Magistrates Court (Youth Justice Division)</w:t>
      </w:r>
      <w:bookmarkEnd w:id="252"/>
      <w:bookmarkEnd w:id="253"/>
      <w:bookmarkEnd w:id="254"/>
    </w:p>
    <w:p w14:paraId="4EDBB07F" w14:textId="6B47FAFD" w:rsidR="006757CC" w:rsidRPr="00EC02CA" w:rsidRDefault="004E30CD" w:rsidP="002F0007">
      <w:pPr>
        <w:pStyle w:val="NormalNumberedTextTLRI"/>
      </w:pPr>
      <w:r w:rsidRPr="00EC02CA">
        <w:t xml:space="preserve">Under the </w:t>
      </w:r>
      <w:r w:rsidRPr="00EC02CA">
        <w:rPr>
          <w:i/>
          <w:iCs/>
        </w:rPr>
        <w:t xml:space="preserve">Youth Justice Act 1997 </w:t>
      </w:r>
      <w:r w:rsidRPr="00EC02CA">
        <w:t xml:space="preserve">(Tas), the </w:t>
      </w:r>
      <w:r w:rsidR="004D7E2F" w:rsidRPr="00EC02CA">
        <w:t xml:space="preserve">Youth Justice Division of the </w:t>
      </w:r>
      <w:r w:rsidRPr="00EC02CA">
        <w:t xml:space="preserve">Magistrates Court </w:t>
      </w:r>
      <w:r w:rsidR="008B7834" w:rsidRPr="00EC02CA">
        <w:t>was created as</w:t>
      </w:r>
      <w:r w:rsidRPr="00EC02CA">
        <w:t xml:space="preserve"> </w:t>
      </w:r>
      <w:r w:rsidR="008B7834" w:rsidRPr="00EC02CA">
        <w:t xml:space="preserve">a specialist court </w:t>
      </w:r>
      <w:r w:rsidR="00BC0213" w:rsidRPr="00EC02CA">
        <w:t>to adjudicate</w:t>
      </w:r>
      <w:r w:rsidR="004B4371" w:rsidRPr="00EC02CA">
        <w:t xml:space="preserve"> matters involving alleged criminal </w:t>
      </w:r>
      <w:r w:rsidR="004D7E2F" w:rsidRPr="00EC02CA">
        <w:t xml:space="preserve">offences </w:t>
      </w:r>
      <w:r w:rsidR="008B7834" w:rsidRPr="00EC02CA">
        <w:t>by young people</w:t>
      </w:r>
      <w:r w:rsidRPr="00EC02CA">
        <w:t>.</w:t>
      </w:r>
      <w:r w:rsidR="00FC5801" w:rsidRPr="00EC02CA">
        <w:t xml:space="preserve"> </w:t>
      </w:r>
      <w:r w:rsidR="00734FDB" w:rsidRPr="00EC02CA">
        <w:t xml:space="preserve">The operation of the </w:t>
      </w:r>
      <w:r w:rsidR="004D7E2F" w:rsidRPr="00EC02CA">
        <w:t>Youth Justice Division</w:t>
      </w:r>
      <w:r w:rsidR="00734FDB" w:rsidRPr="00EC02CA">
        <w:t xml:space="preserve"> is con</w:t>
      </w:r>
      <w:r w:rsidR="0004683A" w:rsidRPr="00EC02CA">
        <w:t>s</w:t>
      </w:r>
      <w:r w:rsidR="00734FDB" w:rsidRPr="00EC02CA">
        <w:t>t</w:t>
      </w:r>
      <w:r w:rsidR="0004683A" w:rsidRPr="00EC02CA">
        <w:t>r</w:t>
      </w:r>
      <w:r w:rsidR="00734FDB" w:rsidRPr="00EC02CA">
        <w:t>ained in two ways by the definition of prescribed offences: (1) p</w:t>
      </w:r>
      <w:r w:rsidR="00170E33" w:rsidRPr="00EC02CA">
        <w:t>rescribed</w:t>
      </w:r>
      <w:r w:rsidR="00FC5801" w:rsidRPr="00EC02CA">
        <w:t xml:space="preserve"> offences are ineligible for diversion</w:t>
      </w:r>
      <w:r w:rsidR="00734FDB" w:rsidRPr="00EC02CA">
        <w:t xml:space="preserve"> and</w:t>
      </w:r>
      <w:r w:rsidR="00FC5801" w:rsidRPr="00EC02CA">
        <w:t xml:space="preserve"> can only be dealt with by the court system</w:t>
      </w:r>
      <w:r w:rsidR="004D7E2F" w:rsidRPr="00EC02CA">
        <w:t>;</w:t>
      </w:r>
      <w:r w:rsidR="00320129" w:rsidRPr="00EC02CA">
        <w:t xml:space="preserve"> and </w:t>
      </w:r>
      <w:r w:rsidR="00734FDB" w:rsidRPr="00EC02CA">
        <w:t xml:space="preserve">(2) </w:t>
      </w:r>
      <w:r w:rsidR="004D7E2F" w:rsidRPr="00EC02CA">
        <w:t>prescribed offences must</w:t>
      </w:r>
      <w:r w:rsidR="00320129" w:rsidRPr="00EC02CA">
        <w:t xml:space="preserve"> be heard in an adult court</w:t>
      </w:r>
      <w:r w:rsidR="004D7E2F" w:rsidRPr="00EC02CA">
        <w:t>, being</w:t>
      </w:r>
      <w:r w:rsidR="00170E33" w:rsidRPr="00EC02CA">
        <w:t xml:space="preserve"> </w:t>
      </w:r>
      <w:r w:rsidR="00734FDB" w:rsidRPr="00EC02CA">
        <w:t>either the Su</w:t>
      </w:r>
      <w:r w:rsidR="00A41F71" w:rsidRPr="00EC02CA">
        <w:t xml:space="preserve">preme Court or the Magistrates Court </w:t>
      </w:r>
      <w:r w:rsidR="00170E33" w:rsidRPr="00EC02CA">
        <w:t xml:space="preserve">(and not the Youth Justice Division). The Youth </w:t>
      </w:r>
      <w:r w:rsidR="008B2B41" w:rsidRPr="00EC02CA">
        <w:t>Justice</w:t>
      </w:r>
      <w:r w:rsidR="00170E33" w:rsidRPr="00EC02CA">
        <w:t xml:space="preserve"> Division hear</w:t>
      </w:r>
      <w:r w:rsidR="004D7E2F" w:rsidRPr="00EC02CA">
        <w:t>s</w:t>
      </w:r>
      <w:r w:rsidR="00170E33" w:rsidRPr="00EC02CA">
        <w:t xml:space="preserve"> </w:t>
      </w:r>
      <w:r w:rsidR="008B2B41" w:rsidRPr="00EC02CA">
        <w:t>matters relating to offences of intermediate seriousness in circumstances where</w:t>
      </w:r>
      <w:r w:rsidR="004D7E2F" w:rsidRPr="00EC02CA">
        <w:t xml:space="preserve"> the young person</w:t>
      </w:r>
      <w:r w:rsidR="008B2B41" w:rsidRPr="00EC02CA">
        <w:t xml:space="preserve">: </w:t>
      </w:r>
    </w:p>
    <w:p w14:paraId="60D7D38B" w14:textId="43226B9C" w:rsidR="006757CC" w:rsidRPr="00EC02CA" w:rsidRDefault="00FC5801" w:rsidP="006757CC">
      <w:pPr>
        <w:pStyle w:val="DotPointTLRI"/>
      </w:pPr>
      <w:r w:rsidRPr="00EC02CA">
        <w:t>denie</w:t>
      </w:r>
      <w:r w:rsidR="00EA4C32" w:rsidRPr="00EC02CA">
        <w:t>s the alleged offence</w:t>
      </w:r>
      <w:r w:rsidR="004D7E2F" w:rsidRPr="00EC02CA">
        <w:t>;</w:t>
      </w:r>
      <w:r w:rsidRPr="00EC02CA">
        <w:t xml:space="preserve"> </w:t>
      </w:r>
    </w:p>
    <w:p w14:paraId="52BBF601" w14:textId="49B441BD" w:rsidR="006757CC" w:rsidRPr="00EC02CA" w:rsidRDefault="00EA4C32" w:rsidP="006757CC">
      <w:pPr>
        <w:pStyle w:val="DotPointTLRI"/>
      </w:pPr>
      <w:r w:rsidRPr="00EC02CA">
        <w:t xml:space="preserve">was not </w:t>
      </w:r>
      <w:r w:rsidR="003D2CF6" w:rsidRPr="00EC02CA">
        <w:t>offered</w:t>
      </w:r>
      <w:r w:rsidR="00FC5801" w:rsidRPr="00EC02CA">
        <w:t xml:space="preserve"> a </w:t>
      </w:r>
      <w:r w:rsidR="006E0DC3" w:rsidRPr="00EC02CA">
        <w:t>formal caution or community conference</w:t>
      </w:r>
      <w:r w:rsidR="004D7E2F" w:rsidRPr="00EC02CA">
        <w:t>;</w:t>
      </w:r>
      <w:r w:rsidR="00FC5801" w:rsidRPr="00EC02CA">
        <w:t xml:space="preserve"> </w:t>
      </w:r>
    </w:p>
    <w:p w14:paraId="4F37806B" w14:textId="07FE5B38" w:rsidR="006757CC" w:rsidRPr="00EC02CA" w:rsidRDefault="00FC5801" w:rsidP="006757CC">
      <w:pPr>
        <w:pStyle w:val="DotPointTLRI"/>
      </w:pPr>
      <w:r w:rsidRPr="00EC02CA">
        <w:t>was involved in a failed diversionary forum</w:t>
      </w:r>
      <w:r w:rsidR="004D7E2F" w:rsidRPr="00EC02CA">
        <w:t>;</w:t>
      </w:r>
      <w:r w:rsidRPr="00EC02CA">
        <w:t xml:space="preserve"> or </w:t>
      </w:r>
    </w:p>
    <w:p w14:paraId="6E2F392A" w14:textId="43FE1BF4" w:rsidR="004E30CD" w:rsidRPr="00EC02CA" w:rsidRDefault="00FC5801" w:rsidP="00AB59E8">
      <w:pPr>
        <w:pStyle w:val="DotPointTLRI"/>
        <w:spacing w:after="220"/>
        <w:ind w:left="714" w:hanging="357"/>
      </w:pPr>
      <w:r w:rsidRPr="00EC02CA">
        <w:t>did not complete the undertakings agreed.</w:t>
      </w:r>
      <w:r w:rsidR="008B0653" w:rsidRPr="00EC02CA">
        <w:rPr>
          <w:rStyle w:val="FootnoteReference"/>
        </w:rPr>
        <w:footnoteReference w:id="460"/>
      </w:r>
      <w:r w:rsidR="00EC7FDC" w:rsidRPr="00EC02CA">
        <w:t xml:space="preserve"> </w:t>
      </w:r>
    </w:p>
    <w:p w14:paraId="6463E633" w14:textId="4B804D0B" w:rsidR="00D1649A" w:rsidRPr="00EC02CA" w:rsidRDefault="00D1649A" w:rsidP="00A920EC">
      <w:pPr>
        <w:pStyle w:val="TLRISubheading"/>
      </w:pPr>
      <w:bookmarkStart w:id="255" w:name="_Toc218157305"/>
      <w:r w:rsidRPr="00EC02CA">
        <w:t>Jurisdiction</w:t>
      </w:r>
      <w:r w:rsidR="000E4706" w:rsidRPr="00EC02CA">
        <w:t xml:space="preserve"> of the Youth Justice Division</w:t>
      </w:r>
      <w:bookmarkEnd w:id="255"/>
    </w:p>
    <w:p w14:paraId="2B378FED" w14:textId="3387C7B7" w:rsidR="000B3751" w:rsidRPr="00EC02CA" w:rsidRDefault="00D1649A" w:rsidP="002F0007">
      <w:pPr>
        <w:pStyle w:val="NormalNumberedTextTLRI"/>
      </w:pPr>
      <w:r w:rsidRPr="00EC02CA">
        <w:t xml:space="preserve">Under the </w:t>
      </w:r>
      <w:r w:rsidRPr="00EC02CA">
        <w:rPr>
          <w:i/>
          <w:iCs/>
        </w:rPr>
        <w:t xml:space="preserve">Youth Justice Act 1997 </w:t>
      </w:r>
      <w:r w:rsidRPr="00EC02CA">
        <w:t xml:space="preserve">(Tas) s 161(1), the Magistrates Court (Youth Justice Division) can hear and determine charges against a youth (other than for prescribed offences), as well as committal proceedings where the defendant is a </w:t>
      </w:r>
      <w:r w:rsidR="00304940" w:rsidRPr="00EC02CA">
        <w:t>young person</w:t>
      </w:r>
      <w:r w:rsidR="006757CC" w:rsidRPr="00EC02CA">
        <w:t>,</w:t>
      </w:r>
      <w:r w:rsidRPr="00EC02CA">
        <w:t xml:space="preserve"> and restraint order applications, where a </w:t>
      </w:r>
      <w:r w:rsidR="00304940" w:rsidRPr="00EC02CA">
        <w:t xml:space="preserve">young person </w:t>
      </w:r>
      <w:r w:rsidRPr="00EC02CA">
        <w:t xml:space="preserve">is the respondent to the order. </w:t>
      </w:r>
    </w:p>
    <w:p w14:paraId="4BA0B16E" w14:textId="75E276BA" w:rsidR="000B3751" w:rsidRPr="00EC02CA" w:rsidRDefault="000B3751" w:rsidP="00ED2E47">
      <w:pPr>
        <w:pStyle w:val="Sub-HeadingTLRI"/>
      </w:pPr>
      <w:bookmarkStart w:id="256" w:name="_Toc211849406"/>
      <w:bookmarkStart w:id="257" w:name="_Toc218157306"/>
      <w:r w:rsidRPr="00EC02CA">
        <w:t>Definition of ‘youth’</w:t>
      </w:r>
      <w:bookmarkEnd w:id="256"/>
      <w:bookmarkEnd w:id="257"/>
    </w:p>
    <w:p w14:paraId="006152A0" w14:textId="5E9CB320" w:rsidR="003D0E9C" w:rsidRPr="00EC02CA" w:rsidRDefault="003D0E9C" w:rsidP="002F0007">
      <w:pPr>
        <w:pStyle w:val="NormalNumberedTextTLRI"/>
      </w:pPr>
      <w:r w:rsidRPr="00EC02CA">
        <w:t xml:space="preserve">For the Youth Justice Division to hear a matter the person must be a youth, </w:t>
      </w:r>
      <w:r w:rsidR="008B7834" w:rsidRPr="00EC02CA">
        <w:t xml:space="preserve">defined as a person who is 10 or more years old but less than 18 years old at the time when the offence was committed or </w:t>
      </w:r>
      <w:r w:rsidR="006757CC" w:rsidRPr="00EC02CA">
        <w:t xml:space="preserve">is </w:t>
      </w:r>
      <w:r w:rsidR="008B7834" w:rsidRPr="00EC02CA">
        <w:t>suspected of having been committed.</w:t>
      </w:r>
      <w:r w:rsidR="008B7834" w:rsidRPr="00EC02CA">
        <w:rPr>
          <w:vertAlign w:val="superscript"/>
        </w:rPr>
        <w:footnoteReference w:id="461"/>
      </w:r>
    </w:p>
    <w:p w14:paraId="6FE98F7D" w14:textId="3ABC1074" w:rsidR="003D0E9C" w:rsidRPr="00EC02CA" w:rsidRDefault="003D0E9C" w:rsidP="00ED2E47">
      <w:pPr>
        <w:pStyle w:val="Sub-HeadingTLRI"/>
      </w:pPr>
      <w:bookmarkStart w:id="258" w:name="_Toc211849407"/>
      <w:bookmarkStart w:id="259" w:name="_Toc218157307"/>
      <w:r w:rsidRPr="00EC02CA">
        <w:t>Prescribed offences</w:t>
      </w:r>
      <w:bookmarkEnd w:id="258"/>
      <w:bookmarkEnd w:id="259"/>
    </w:p>
    <w:p w14:paraId="1F4CE2C5" w14:textId="20683FAB" w:rsidR="00C77A86" w:rsidRPr="00EC02CA" w:rsidRDefault="003D0E9C" w:rsidP="002F0007">
      <w:pPr>
        <w:pStyle w:val="NormalNumberedTextTLRI"/>
      </w:pPr>
      <w:r w:rsidRPr="00EC02CA">
        <w:t xml:space="preserve">The Youth Justice Division </w:t>
      </w:r>
      <w:r w:rsidR="00A41F71" w:rsidRPr="00EC02CA">
        <w:t xml:space="preserve">(generally) </w:t>
      </w:r>
      <w:r w:rsidRPr="00EC02CA">
        <w:t>cannot hear</w:t>
      </w:r>
      <w:r w:rsidR="00C77A86" w:rsidRPr="00EC02CA">
        <w:t xml:space="preserve"> prescribed offences</w:t>
      </w:r>
      <w:r w:rsidRPr="00EC02CA">
        <w:t>.</w:t>
      </w:r>
      <w:r w:rsidR="00DC186B" w:rsidRPr="00EC02CA">
        <w:rPr>
          <w:rStyle w:val="FootnoteReference"/>
        </w:rPr>
        <w:footnoteReference w:id="462"/>
      </w:r>
      <w:r w:rsidRPr="00EC02CA">
        <w:t xml:space="preserve"> </w:t>
      </w:r>
      <w:r w:rsidR="00A41F71" w:rsidRPr="00EC02CA">
        <w:t>Prescribed offences</w:t>
      </w:r>
      <w:r w:rsidRPr="00EC02CA">
        <w:t xml:space="preserve"> are generally serious offences</w:t>
      </w:r>
      <w:r w:rsidR="006757CC" w:rsidRPr="00EC02CA">
        <w:t>,</w:t>
      </w:r>
      <w:r w:rsidRPr="00EC02CA">
        <w:t xml:space="preserve"> and the offences that classified a</w:t>
      </w:r>
      <w:r w:rsidR="00846CDD" w:rsidRPr="00EC02CA">
        <w:t>s</w:t>
      </w:r>
      <w:r w:rsidRPr="00EC02CA">
        <w:t xml:space="preserve"> </w:t>
      </w:r>
      <w:r w:rsidR="00846CDD" w:rsidRPr="00EC02CA">
        <w:t>prescribed</w:t>
      </w:r>
      <w:r w:rsidRPr="00EC02CA">
        <w:t xml:space="preserve"> offences change depending on the age of the young person. </w:t>
      </w:r>
      <w:r w:rsidR="00846CDD" w:rsidRPr="00EC02CA">
        <w:t>There are</w:t>
      </w:r>
      <w:r w:rsidR="00C77A86" w:rsidRPr="00EC02CA">
        <w:t xml:space="preserve"> three age brackets: 10 to 1</w:t>
      </w:r>
      <w:r w:rsidR="0057159C" w:rsidRPr="00EC02CA">
        <w:t>3</w:t>
      </w:r>
      <w:r w:rsidR="00C77A86" w:rsidRPr="00EC02CA">
        <w:t xml:space="preserve"> years, 1</w:t>
      </w:r>
      <w:r w:rsidR="0057159C" w:rsidRPr="00EC02CA">
        <w:t>4</w:t>
      </w:r>
      <w:r w:rsidR="00C77A86" w:rsidRPr="00EC02CA">
        <w:t xml:space="preserve"> to 16 years, and 17 years</w:t>
      </w:r>
      <w:r w:rsidR="006757CC" w:rsidRPr="00EC02CA">
        <w:t>,</w:t>
      </w:r>
      <w:r w:rsidR="00C77A86" w:rsidRPr="00EC02CA">
        <w:t xml:space="preserve"> with an increasing number of offences </w:t>
      </w:r>
      <w:r w:rsidR="00C14589" w:rsidRPr="00EC02CA">
        <w:t xml:space="preserve">prescribed </w:t>
      </w:r>
      <w:r w:rsidR="006757CC" w:rsidRPr="00EC02CA">
        <w:t>as the age of the accused increases</w:t>
      </w:r>
      <w:r w:rsidR="00C77A86" w:rsidRPr="00EC02CA">
        <w:t>. For all youth offenders, murder, manslaughter and attempted murder are prescribed offences.</w:t>
      </w:r>
      <w:r w:rsidR="00C77A86" w:rsidRPr="00EC02CA">
        <w:rPr>
          <w:rStyle w:val="FootnoteReference"/>
        </w:rPr>
        <w:footnoteReference w:id="463"/>
      </w:r>
      <w:r w:rsidR="00C77A86" w:rsidRPr="00EC02CA">
        <w:t xml:space="preserve"> For youths aged 14, 15 and 16, the following offences are also prescribed offences: </w:t>
      </w:r>
    </w:p>
    <w:p w14:paraId="63A45CC8" w14:textId="77777777" w:rsidR="00C77A86" w:rsidRPr="00EC02CA" w:rsidRDefault="00C77A86" w:rsidP="00C77A86">
      <w:pPr>
        <w:pStyle w:val="DotPointTLRI"/>
        <w:rPr>
          <w:rFonts w:eastAsia="Times"/>
        </w:rPr>
      </w:pPr>
      <w:r w:rsidRPr="00EC02CA">
        <w:t>aggravated sexual assault</w:t>
      </w:r>
    </w:p>
    <w:p w14:paraId="33884DDB" w14:textId="77777777" w:rsidR="00C77A86" w:rsidRPr="00EC02CA" w:rsidRDefault="00C77A86" w:rsidP="00C77A86">
      <w:pPr>
        <w:pStyle w:val="DotPointTLRI"/>
        <w:rPr>
          <w:rFonts w:eastAsia="Times"/>
        </w:rPr>
      </w:pPr>
      <w:r w:rsidRPr="00EC02CA">
        <w:t>rape</w:t>
      </w:r>
    </w:p>
    <w:p w14:paraId="0F1FA54D" w14:textId="77777777" w:rsidR="00C77A86" w:rsidRPr="00EC02CA" w:rsidRDefault="00C77A86" w:rsidP="00C77A86">
      <w:pPr>
        <w:pStyle w:val="DotPointTLRI"/>
        <w:rPr>
          <w:rFonts w:eastAsia="Times"/>
        </w:rPr>
      </w:pPr>
      <w:r w:rsidRPr="00EC02CA">
        <w:t>persistent sexual abuse of a child or young person</w:t>
      </w:r>
    </w:p>
    <w:p w14:paraId="4C152D2D" w14:textId="77777777" w:rsidR="00C77A86" w:rsidRPr="00EC02CA" w:rsidRDefault="00C77A86" w:rsidP="00C77A86">
      <w:pPr>
        <w:pStyle w:val="DotPointTLRI"/>
        <w:rPr>
          <w:rFonts w:eastAsia="Times"/>
        </w:rPr>
      </w:pPr>
      <w:r w:rsidRPr="00EC02CA">
        <w:t>armed robbery</w:t>
      </w:r>
    </w:p>
    <w:p w14:paraId="6372E5A5" w14:textId="77777777" w:rsidR="00C77A86" w:rsidRPr="00EC02CA" w:rsidRDefault="00C77A86" w:rsidP="00C77A86">
      <w:pPr>
        <w:pStyle w:val="DotPointTLRI"/>
        <w:rPr>
          <w:rFonts w:eastAsia="Times"/>
        </w:rPr>
      </w:pPr>
      <w:r w:rsidRPr="00EC02CA">
        <w:t>aggravated robbery</w:t>
      </w:r>
    </w:p>
    <w:p w14:paraId="49E0E406" w14:textId="77777777" w:rsidR="00C77A86" w:rsidRPr="00EC02CA" w:rsidRDefault="00C77A86" w:rsidP="00C77A86">
      <w:pPr>
        <w:pStyle w:val="DotPointTLRI"/>
        <w:rPr>
          <w:rFonts w:eastAsia="Times"/>
        </w:rPr>
      </w:pPr>
      <w:r w:rsidRPr="00EC02CA">
        <w:t>being found prepared for the commission of a crime (ready to commit a crime) armed with a dangerous or offensive weapon or instrument</w:t>
      </w:r>
    </w:p>
    <w:p w14:paraId="5398A866" w14:textId="77777777" w:rsidR="00C77A86" w:rsidRPr="00EC02CA" w:rsidRDefault="00C77A86" w:rsidP="00C77A86">
      <w:pPr>
        <w:pStyle w:val="DotPointTLRI"/>
        <w:rPr>
          <w:rFonts w:eastAsia="Times"/>
        </w:rPr>
      </w:pPr>
      <w:r w:rsidRPr="00EC02CA">
        <w:t>evade (escape/avoid) police</w:t>
      </w:r>
      <w:r w:rsidRPr="00EC02CA">
        <w:rPr>
          <w:rFonts w:eastAsia="Times"/>
        </w:rPr>
        <w:t>.</w:t>
      </w:r>
      <w:r w:rsidRPr="00EC02CA">
        <w:rPr>
          <w:rStyle w:val="FootnoteReference"/>
          <w:rFonts w:eastAsia="Times"/>
        </w:rPr>
        <w:footnoteReference w:id="464"/>
      </w:r>
    </w:p>
    <w:p w14:paraId="22813250" w14:textId="15B22FBC" w:rsidR="00C77A86" w:rsidRPr="00EC02CA" w:rsidRDefault="00C77A86" w:rsidP="002F0007">
      <w:pPr>
        <w:pStyle w:val="NormalNumberedTextTLRI"/>
      </w:pPr>
      <w:r w:rsidRPr="00EC02CA">
        <w:t xml:space="preserve">For a youth aged 17 years, all </w:t>
      </w:r>
      <w:r w:rsidR="00C14589" w:rsidRPr="00EC02CA">
        <w:t xml:space="preserve">of </w:t>
      </w:r>
      <w:r w:rsidRPr="00EC02CA">
        <w:t xml:space="preserve">the offences listed above are prescribed offences. In addition, the following offences are also prescribed: </w:t>
      </w:r>
    </w:p>
    <w:p w14:paraId="5173F80F" w14:textId="14D9A5A5" w:rsidR="00C77A86" w:rsidRPr="00EC02CA" w:rsidRDefault="00C77A86" w:rsidP="00C77A86">
      <w:pPr>
        <w:pStyle w:val="DotPointTLRI"/>
        <w:rPr>
          <w:rFonts w:eastAsia="Times"/>
        </w:rPr>
      </w:pPr>
      <w:r w:rsidRPr="00EC02CA">
        <w:rPr>
          <w:rFonts w:eastAsia="Times"/>
        </w:rPr>
        <w:t>offences in relation to excessive noise or smoke for vehicles</w:t>
      </w:r>
      <w:r w:rsidR="00C14589" w:rsidRPr="00EC02CA">
        <w:rPr>
          <w:rFonts w:eastAsia="Times"/>
        </w:rPr>
        <w:t>,</w:t>
      </w:r>
      <w:r w:rsidRPr="00EC02CA">
        <w:rPr>
          <w:rFonts w:eastAsia="Times"/>
        </w:rPr>
        <w:t xml:space="preserve"> and racing a vehicle </w:t>
      </w:r>
    </w:p>
    <w:p w14:paraId="69003ED9" w14:textId="6B35C02E" w:rsidR="00C77A86" w:rsidRPr="00EC02CA" w:rsidRDefault="00C77A86" w:rsidP="00C77A86">
      <w:pPr>
        <w:pStyle w:val="DotPointTLRI"/>
        <w:rPr>
          <w:rFonts w:eastAsia="Times"/>
        </w:rPr>
      </w:pPr>
      <w:r w:rsidRPr="00EC02CA">
        <w:rPr>
          <w:rFonts w:eastAsia="Times"/>
        </w:rPr>
        <w:t xml:space="preserve">offences in relation to drink driving, drug driving, offences under the </w:t>
      </w:r>
      <w:r w:rsidRPr="00EC02CA">
        <w:rPr>
          <w:rFonts w:eastAsia="Times"/>
          <w:i/>
          <w:iCs/>
        </w:rPr>
        <w:t>Traffic Act 1925</w:t>
      </w:r>
      <w:r w:rsidRPr="00EC02CA">
        <w:rPr>
          <w:rFonts w:eastAsia="Times"/>
        </w:rPr>
        <w:t xml:space="preserve"> (Tas) (this includes negligent driving causing death or serious injury, </w:t>
      </w:r>
      <w:r w:rsidR="00C14589" w:rsidRPr="00EC02CA">
        <w:rPr>
          <w:rFonts w:eastAsia="Times"/>
        </w:rPr>
        <w:t xml:space="preserve">and </w:t>
      </w:r>
      <w:r w:rsidRPr="00EC02CA">
        <w:rPr>
          <w:rFonts w:eastAsia="Times"/>
        </w:rPr>
        <w:t xml:space="preserve">reckless driving), </w:t>
      </w:r>
      <w:r w:rsidR="00C14589" w:rsidRPr="00EC02CA">
        <w:rPr>
          <w:rFonts w:eastAsia="Times"/>
        </w:rPr>
        <w:t xml:space="preserve">and </w:t>
      </w:r>
      <w:r w:rsidRPr="00EC02CA">
        <w:rPr>
          <w:rFonts w:eastAsia="Times"/>
        </w:rPr>
        <w:t xml:space="preserve">offences under the </w:t>
      </w:r>
      <w:r w:rsidRPr="00EC02CA">
        <w:rPr>
          <w:rFonts w:eastAsia="Times"/>
          <w:i/>
          <w:iCs/>
        </w:rPr>
        <w:t>Vehicle and Traffic Act 1999</w:t>
      </w:r>
      <w:r w:rsidRPr="00EC02CA">
        <w:rPr>
          <w:rFonts w:eastAsia="Times"/>
        </w:rPr>
        <w:t xml:space="preserve"> (Tas) (this includes driving without a licence, driving while disqualified, </w:t>
      </w:r>
      <w:r w:rsidR="00C14589" w:rsidRPr="00EC02CA">
        <w:rPr>
          <w:rFonts w:eastAsia="Times"/>
        </w:rPr>
        <w:t xml:space="preserve">and </w:t>
      </w:r>
      <w:r w:rsidRPr="00EC02CA">
        <w:rPr>
          <w:rFonts w:eastAsia="Times"/>
        </w:rPr>
        <w:t>excessive speeding) unless there are proceedings that involve other offences that are not prescribed offences.</w:t>
      </w:r>
      <w:r w:rsidRPr="00EC02CA">
        <w:rPr>
          <w:rStyle w:val="FootnoteReference"/>
          <w:rFonts w:eastAsia="Times"/>
        </w:rPr>
        <w:footnoteReference w:id="465"/>
      </w:r>
    </w:p>
    <w:p w14:paraId="5C7212ED" w14:textId="7DA18454" w:rsidR="00C77A86" w:rsidRPr="00EC02CA" w:rsidRDefault="00C77A86" w:rsidP="002F0007">
      <w:pPr>
        <w:pStyle w:val="NormalNumberedTextTLRI"/>
      </w:pPr>
      <w:r w:rsidRPr="00EC02CA">
        <w:t>In relation to prescribed offences, the Supreme Court or Magistrates Court (depending on the court that would deal with the matter if it involved an adult) determines the matter</w:t>
      </w:r>
      <w:r w:rsidR="006120A4" w:rsidRPr="00EC02CA">
        <w:t>,</w:t>
      </w:r>
      <w:r w:rsidRPr="00EC02CA">
        <w:t xml:space="preserve"> and may sentence the youth under the </w:t>
      </w:r>
      <w:r w:rsidRPr="00EC02CA">
        <w:rPr>
          <w:i/>
          <w:iCs/>
        </w:rPr>
        <w:t>Sentencing Act 1997 (</w:t>
      </w:r>
      <w:r w:rsidRPr="00EC02CA">
        <w:t xml:space="preserve">Tas) or under the </w:t>
      </w:r>
      <w:r w:rsidRPr="00EC02CA">
        <w:rPr>
          <w:i/>
          <w:iCs/>
        </w:rPr>
        <w:t>Youth Justice Act 1997</w:t>
      </w:r>
      <w:r w:rsidRPr="00EC02CA">
        <w:t xml:space="preserve"> (Tas).</w:t>
      </w:r>
      <w:r w:rsidRPr="00EC02CA">
        <w:rPr>
          <w:rStyle w:val="FootnoteReference"/>
        </w:rPr>
        <w:footnoteReference w:id="466"/>
      </w:r>
      <w:r w:rsidRPr="00EC02CA">
        <w:t xml:space="preserve"> In the context of sexual offences, rape, aggravated sexual assault</w:t>
      </w:r>
      <w:r w:rsidR="006120A4" w:rsidRPr="00EC02CA">
        <w:t>,</w:t>
      </w:r>
      <w:r w:rsidRPr="00EC02CA">
        <w:t xml:space="preserve"> and persistent sexual abuse of a young person</w:t>
      </w:r>
      <w:r w:rsidR="007F211E" w:rsidRPr="00EC02CA">
        <w:t xml:space="preserve"> –</w:t>
      </w:r>
      <w:r w:rsidRPr="00EC02CA">
        <w:t xml:space="preserve"> which a</w:t>
      </w:r>
      <w:r w:rsidR="006120A4" w:rsidRPr="00EC02CA">
        <w:t>re</w:t>
      </w:r>
      <w:r w:rsidRPr="00EC02CA">
        <w:t xml:space="preserve"> </w:t>
      </w:r>
      <w:r w:rsidR="006120A4" w:rsidRPr="00EC02CA">
        <w:t xml:space="preserve">all </w:t>
      </w:r>
      <w:r w:rsidRPr="00EC02CA">
        <w:t>prescribed offences</w:t>
      </w:r>
      <w:r w:rsidR="007F211E" w:rsidRPr="00EC02CA">
        <w:t xml:space="preserve"> –</w:t>
      </w:r>
      <w:r w:rsidRPr="00EC02CA">
        <w:t xml:space="preserve"> are heard in the Supreme Court. </w:t>
      </w:r>
      <w:r w:rsidR="007F211E" w:rsidRPr="00EC02CA">
        <w:t>The</w:t>
      </w:r>
      <w:r w:rsidRPr="00EC02CA">
        <w:t xml:space="preserve"> Supreme Court has a discretion to sentence </w:t>
      </w:r>
      <w:r w:rsidR="007F211E" w:rsidRPr="00EC02CA">
        <w:t xml:space="preserve">a young offender </w:t>
      </w:r>
      <w:r w:rsidRPr="00EC02CA">
        <w:t xml:space="preserve">under the </w:t>
      </w:r>
      <w:r w:rsidRPr="00EC02CA">
        <w:rPr>
          <w:i/>
          <w:iCs/>
        </w:rPr>
        <w:t xml:space="preserve">Sentencing Act 1997 </w:t>
      </w:r>
      <w:r w:rsidRPr="00EC02CA">
        <w:t xml:space="preserve">(Tas) or under the </w:t>
      </w:r>
      <w:r w:rsidRPr="00EC02CA">
        <w:rPr>
          <w:i/>
          <w:iCs/>
        </w:rPr>
        <w:t xml:space="preserve">Youth Justice Act 1997 </w:t>
      </w:r>
      <w:r w:rsidRPr="00EC02CA">
        <w:t>(Tas).</w:t>
      </w:r>
      <w:r w:rsidRPr="00EC02CA">
        <w:rPr>
          <w:vertAlign w:val="superscript"/>
        </w:rPr>
        <w:footnoteReference w:id="467"/>
      </w:r>
    </w:p>
    <w:p w14:paraId="5EE0A578" w14:textId="33E68117" w:rsidR="00B23C52" w:rsidRPr="00EC02CA" w:rsidRDefault="00B23C52" w:rsidP="002F0007">
      <w:pPr>
        <w:pStyle w:val="NormalNumberedTextTLRI"/>
      </w:pPr>
      <w:bookmarkStart w:id="260" w:name="_Ref218006352"/>
      <w:r w:rsidRPr="00EC02CA">
        <w:t>In addition, the Supreme Court has power under</w:t>
      </w:r>
      <w:r w:rsidR="008B6FED" w:rsidRPr="00EC02CA">
        <w:t xml:space="preserve"> </w:t>
      </w:r>
      <w:r w:rsidR="007F211E" w:rsidRPr="00EC02CA">
        <w:t xml:space="preserve">s </w:t>
      </w:r>
      <w:r w:rsidR="008B6FED" w:rsidRPr="00EC02CA">
        <w:t>308 of</w:t>
      </w:r>
      <w:r w:rsidRPr="00EC02CA">
        <w:t xml:space="preserve"> the </w:t>
      </w:r>
      <w:r w:rsidRPr="00EC02CA">
        <w:rPr>
          <w:i/>
          <w:iCs/>
        </w:rPr>
        <w:t xml:space="preserve">Criminal Code </w:t>
      </w:r>
      <w:r w:rsidRPr="00EC02CA">
        <w:t>(Tas)</w:t>
      </w:r>
      <w:r w:rsidR="0018419A" w:rsidRPr="00EC02CA">
        <w:t xml:space="preserve"> </w:t>
      </w:r>
      <w:r w:rsidR="00E50235" w:rsidRPr="00EC02CA">
        <w:t xml:space="preserve">to remit matters </w:t>
      </w:r>
      <w:r w:rsidR="008C2A28" w:rsidRPr="00EC02CA">
        <w:t>to be tried summarily before a magistrate</w:t>
      </w:r>
      <w:r w:rsidR="00E50235" w:rsidRPr="00EC02CA">
        <w:t xml:space="preserve">, if it appears to a judge that </w:t>
      </w:r>
      <w:r w:rsidR="005F19FF" w:rsidRPr="00EC02CA">
        <w:t xml:space="preserve">a sentence of </w:t>
      </w:r>
      <w:r w:rsidR="00513546" w:rsidRPr="00EC02CA">
        <w:t>imprisonment</w:t>
      </w:r>
      <w:r w:rsidR="005F19FF" w:rsidRPr="00EC02CA">
        <w:t xml:space="preserve"> not exceeding one year</w:t>
      </w:r>
      <w:r w:rsidR="007F211E" w:rsidRPr="00EC02CA">
        <w:t>,</w:t>
      </w:r>
      <w:r w:rsidR="005F19FF" w:rsidRPr="00EC02CA">
        <w:t xml:space="preserve"> or a fine not exceeding 20 penalty units</w:t>
      </w:r>
      <w:r w:rsidR="007F211E" w:rsidRPr="00EC02CA">
        <w:t>,</w:t>
      </w:r>
      <w:r w:rsidR="005F19FF" w:rsidRPr="00EC02CA">
        <w:t xml:space="preserve"> </w:t>
      </w:r>
      <w:r w:rsidR="008C2A28" w:rsidRPr="00EC02CA">
        <w:t xml:space="preserve">will be adequate </w:t>
      </w:r>
      <w:r w:rsidR="00F60E9F" w:rsidRPr="00EC02CA">
        <w:t>in</w:t>
      </w:r>
      <w:r w:rsidR="008C2A28" w:rsidRPr="00EC02CA">
        <w:t xml:space="preserve"> the circumstances of the </w:t>
      </w:r>
      <w:r w:rsidR="00513546" w:rsidRPr="00EC02CA">
        <w:t>case.</w:t>
      </w:r>
      <w:r w:rsidR="00513546" w:rsidRPr="00EC02CA">
        <w:rPr>
          <w:rStyle w:val="FootnoteReference"/>
        </w:rPr>
        <w:footnoteReference w:id="468"/>
      </w:r>
      <w:r w:rsidR="00105819" w:rsidRPr="00EC02CA">
        <w:t xml:space="preserve"> This includes </w:t>
      </w:r>
      <w:r w:rsidR="007F211E" w:rsidRPr="00EC02CA">
        <w:t xml:space="preserve">remitting a matter to </w:t>
      </w:r>
      <w:r w:rsidR="00105819" w:rsidRPr="00EC02CA">
        <w:t>the Youth Justice Division</w:t>
      </w:r>
      <w:r w:rsidR="00940E8C" w:rsidRPr="00EC02CA">
        <w:t>, as it is constituted by a magistrate</w:t>
      </w:r>
      <w:r w:rsidR="00105819" w:rsidRPr="00EC02CA">
        <w:t>.</w:t>
      </w:r>
      <w:r w:rsidR="00105819" w:rsidRPr="00EC02CA">
        <w:rPr>
          <w:rStyle w:val="FootnoteReference"/>
        </w:rPr>
        <w:footnoteReference w:id="469"/>
      </w:r>
      <w:r w:rsidR="00291CD8" w:rsidRPr="00EC02CA">
        <w:t xml:space="preserve"> In a Practice D</w:t>
      </w:r>
      <w:r w:rsidR="007E3CD1" w:rsidRPr="00EC02CA">
        <w:t>irection</w:t>
      </w:r>
      <w:r w:rsidR="007C6A4A" w:rsidRPr="00EC02CA">
        <w:t xml:space="preserve">, </w:t>
      </w:r>
      <w:r w:rsidR="007C6A4A" w:rsidRPr="00EC02CA">
        <w:rPr>
          <w:i/>
          <w:iCs/>
        </w:rPr>
        <w:t>Remitting of Criminal Matters to the Magistrates Court</w:t>
      </w:r>
      <w:r w:rsidR="003E0261" w:rsidRPr="00EC02CA">
        <w:t xml:space="preserve">, </w:t>
      </w:r>
      <w:r w:rsidR="004C3225" w:rsidRPr="00EC02CA">
        <w:t>guidance</w:t>
      </w:r>
      <w:r w:rsidR="00931874" w:rsidRPr="00EC02CA">
        <w:t xml:space="preserve"> is provide</w:t>
      </w:r>
      <w:r w:rsidR="001D213D" w:rsidRPr="00EC02CA">
        <w:t xml:space="preserve">d by the Supreme Court </w:t>
      </w:r>
      <w:r w:rsidR="00931874" w:rsidRPr="00EC02CA">
        <w:t xml:space="preserve">to </w:t>
      </w:r>
      <w:r w:rsidR="004C3225" w:rsidRPr="00EC02CA">
        <w:t>prosecutors</w:t>
      </w:r>
      <w:r w:rsidR="00931874" w:rsidRPr="00EC02CA">
        <w:t xml:space="preserve"> </w:t>
      </w:r>
      <w:r w:rsidR="004C3225" w:rsidRPr="00EC02CA">
        <w:t xml:space="preserve">and defence counsel about </w:t>
      </w:r>
      <w:r w:rsidR="007C2BDA" w:rsidRPr="00EC02CA">
        <w:t xml:space="preserve">the level of seriousness of particular cases to assist </w:t>
      </w:r>
      <w:r w:rsidR="007F211E" w:rsidRPr="00EC02CA">
        <w:t xml:space="preserve">them </w:t>
      </w:r>
      <w:r w:rsidR="007C2BDA" w:rsidRPr="00EC02CA">
        <w:t>in making a</w:t>
      </w:r>
      <w:r w:rsidR="007C7757" w:rsidRPr="00EC02CA">
        <w:t xml:space="preserve"> </w:t>
      </w:r>
      <w:r w:rsidR="007F211E" w:rsidRPr="00EC02CA">
        <w:t xml:space="preserve">s </w:t>
      </w:r>
      <w:r w:rsidR="007C2BDA" w:rsidRPr="00EC02CA">
        <w:t>308 application</w:t>
      </w:r>
      <w:r w:rsidR="001D213D" w:rsidRPr="00EC02CA">
        <w:t xml:space="preserve">, however, none of the </w:t>
      </w:r>
      <w:r w:rsidR="007F211E" w:rsidRPr="00EC02CA">
        <w:t xml:space="preserve">offences </w:t>
      </w:r>
      <w:r w:rsidR="001D213D" w:rsidRPr="00EC02CA">
        <w:t xml:space="preserve">listed </w:t>
      </w:r>
      <w:r w:rsidR="007F211E" w:rsidRPr="00EC02CA">
        <w:t xml:space="preserve">in that Practice Direction </w:t>
      </w:r>
      <w:r w:rsidR="001D213D" w:rsidRPr="00EC02CA">
        <w:t xml:space="preserve">are </w:t>
      </w:r>
      <w:r w:rsidR="00F64414" w:rsidRPr="00EC02CA">
        <w:t>prescribed</w:t>
      </w:r>
      <w:r w:rsidR="001D213D" w:rsidRPr="00EC02CA">
        <w:t xml:space="preserve"> offences</w:t>
      </w:r>
      <w:r w:rsidR="0099628D" w:rsidRPr="00EC02CA">
        <w:t>.</w:t>
      </w:r>
      <w:r w:rsidR="0099628D" w:rsidRPr="00EC02CA">
        <w:rPr>
          <w:rStyle w:val="FootnoteReference"/>
        </w:rPr>
        <w:footnoteReference w:id="470"/>
      </w:r>
      <w:bookmarkEnd w:id="260"/>
    </w:p>
    <w:p w14:paraId="09084C27" w14:textId="0452ECC3" w:rsidR="00DC186B" w:rsidRPr="00EC02CA" w:rsidRDefault="00DC186B" w:rsidP="00ED2E47">
      <w:pPr>
        <w:pStyle w:val="Sub-HeadingTLRI"/>
      </w:pPr>
      <w:bookmarkStart w:id="261" w:name="_Toc211849408"/>
      <w:bookmarkStart w:id="262" w:name="_Toc218157308"/>
      <w:r w:rsidRPr="00EC02CA">
        <w:t>Other matters relating to jurisdiction</w:t>
      </w:r>
      <w:bookmarkEnd w:id="261"/>
      <w:bookmarkEnd w:id="262"/>
    </w:p>
    <w:p w14:paraId="29E89F09" w14:textId="568E3CAC" w:rsidR="00D1649A" w:rsidRPr="00EC02CA" w:rsidRDefault="00D1649A" w:rsidP="002F0007">
      <w:pPr>
        <w:pStyle w:val="NormalNumberedTextTLRI"/>
      </w:pPr>
      <w:r w:rsidRPr="00EC02CA">
        <w:t>If a young person aged 15–17 is charged with an indictable offence (other than a prescribed offence), the young person must be asked if they are willing to be tried by the Youth Justice Division</w:t>
      </w:r>
      <w:r w:rsidR="007F211E" w:rsidRPr="00EC02CA">
        <w:t xml:space="preserve"> </w:t>
      </w:r>
      <w:r w:rsidR="00210F38" w:rsidRPr="00EC02CA">
        <w:t xml:space="preserve">– </w:t>
      </w:r>
      <w:r w:rsidR="007F211E" w:rsidRPr="00EC02CA">
        <w:t>that is, before a magistrate</w:t>
      </w:r>
      <w:r w:rsidR="00210F38" w:rsidRPr="00EC02CA">
        <w:t xml:space="preserve"> –</w:t>
      </w:r>
      <w:r w:rsidRPr="00EC02CA">
        <w:t xml:space="preserve"> rather than by a jury in the Supreme Court. There are also provisions that relate to when a youth is jointly changed with an adult.</w:t>
      </w:r>
      <w:r w:rsidRPr="00EC02CA">
        <w:rPr>
          <w:vertAlign w:val="superscript"/>
        </w:rPr>
        <w:footnoteReference w:id="471"/>
      </w:r>
    </w:p>
    <w:p w14:paraId="5C29F6A2" w14:textId="5CD15829" w:rsidR="00D1649A" w:rsidRPr="00EC02CA" w:rsidRDefault="00D1649A" w:rsidP="002F0007">
      <w:pPr>
        <w:pStyle w:val="NormalNumberedTextTLRI"/>
      </w:pPr>
      <w:r w:rsidRPr="00EC02CA">
        <w:t xml:space="preserve">Provisions under the </w:t>
      </w:r>
      <w:r w:rsidRPr="00EC02CA">
        <w:rPr>
          <w:i/>
          <w:iCs/>
        </w:rPr>
        <w:t xml:space="preserve">Youth Justice Act 1997 </w:t>
      </w:r>
      <w:r w:rsidRPr="00EC02CA">
        <w:t xml:space="preserve">(Tas) also set out how matters are to be dealt with when a person was </w:t>
      </w:r>
      <w:r w:rsidR="0089576D" w:rsidRPr="00EC02CA">
        <w:t xml:space="preserve">aged </w:t>
      </w:r>
      <w:r w:rsidRPr="00EC02CA">
        <w:t xml:space="preserve">under 18 at the time of the offence (that is, a youth for the purposes of the Act) but is 18 years or older at the time that proceedings commence. In </w:t>
      </w:r>
      <w:r w:rsidR="0089576D" w:rsidRPr="00EC02CA">
        <w:t xml:space="preserve">such </w:t>
      </w:r>
      <w:r w:rsidRPr="00EC02CA">
        <w:t>case</w:t>
      </w:r>
      <w:r w:rsidR="0089576D" w:rsidRPr="00EC02CA">
        <w:t>s</w:t>
      </w:r>
      <w:r w:rsidRPr="00EC02CA">
        <w:t xml:space="preserve">, other than for prescribed offences, proceedings must commence under the </w:t>
      </w:r>
      <w:r w:rsidRPr="00EC02CA">
        <w:rPr>
          <w:i/>
          <w:iCs/>
        </w:rPr>
        <w:t>Youth Justice Act 1997</w:t>
      </w:r>
      <w:r w:rsidRPr="00EC02CA">
        <w:t xml:space="preserve"> (Tas)</w:t>
      </w:r>
      <w:r w:rsidRPr="00EC02CA">
        <w:rPr>
          <w:i/>
          <w:iCs/>
        </w:rPr>
        <w:t xml:space="preserve"> </w:t>
      </w:r>
      <w:r w:rsidRPr="00EC02CA">
        <w:t xml:space="preserve">and if the person is found guilty, </w:t>
      </w:r>
      <w:r w:rsidR="0089576D" w:rsidRPr="00EC02CA">
        <w:t xml:space="preserve">they are to be </w:t>
      </w:r>
      <w:r w:rsidRPr="00EC02CA">
        <w:t xml:space="preserve">sentenced as a youth under </w:t>
      </w:r>
      <w:r w:rsidR="00210F38" w:rsidRPr="00EC02CA">
        <w:t>that Act</w:t>
      </w:r>
      <w:r w:rsidRPr="00EC02CA">
        <w:t>. If the you</w:t>
      </w:r>
      <w:r w:rsidR="00AA4B58" w:rsidRPr="00EC02CA">
        <w:t>ng</w:t>
      </w:r>
      <w:r w:rsidRPr="00EC02CA">
        <w:t xml:space="preserve"> </w:t>
      </w:r>
      <w:r w:rsidR="00AA4B58" w:rsidRPr="00EC02CA">
        <w:t>person</w:t>
      </w:r>
      <w:r w:rsidRPr="00EC02CA">
        <w:t xml:space="preserve"> is 18 years or older at the time proceedings commence</w:t>
      </w:r>
      <w:r w:rsidR="001D11B0" w:rsidRPr="00EC02CA">
        <w:t xml:space="preserve"> </w:t>
      </w:r>
      <w:r w:rsidRPr="00EC02CA">
        <w:t>(other than for prescribed offences)</w:t>
      </w:r>
      <w:r w:rsidR="001D11B0" w:rsidRPr="00EC02CA">
        <w:t>,</w:t>
      </w:r>
      <w:r w:rsidRPr="00EC02CA">
        <w:t xml:space="preserve"> the </w:t>
      </w:r>
      <w:r w:rsidRPr="00EC02CA">
        <w:rPr>
          <w:i/>
          <w:iCs/>
        </w:rPr>
        <w:t xml:space="preserve">Youth Justice Act 1997 </w:t>
      </w:r>
      <w:r w:rsidRPr="00EC02CA">
        <w:t xml:space="preserve">(Tas) </w:t>
      </w:r>
      <w:r w:rsidR="00210F38" w:rsidRPr="00EC02CA">
        <w:t xml:space="preserve">also </w:t>
      </w:r>
      <w:r w:rsidRPr="00EC02CA">
        <w:t xml:space="preserve">provides that the court must sentence the person as a youth. For offenders aged 19 </w:t>
      </w:r>
      <w:r w:rsidR="00710EB3" w:rsidRPr="00EC02CA">
        <w:t>years</w:t>
      </w:r>
      <w:r w:rsidRPr="00EC02CA">
        <w:t xml:space="preserve"> or </w:t>
      </w:r>
      <w:r w:rsidR="00210F38" w:rsidRPr="00EC02CA">
        <w:t xml:space="preserve">older </w:t>
      </w:r>
      <w:r w:rsidRPr="00EC02CA">
        <w:t xml:space="preserve">when proceedings commence, the person </w:t>
      </w:r>
      <w:r w:rsidR="00167BB3" w:rsidRPr="00EC02CA">
        <w:t>is</w:t>
      </w:r>
      <w:r w:rsidRPr="00EC02CA">
        <w:t xml:space="preserve"> sentenced as a youth</w:t>
      </w:r>
      <w:r w:rsidR="00210F38" w:rsidRPr="00EC02CA">
        <w:t>, however</w:t>
      </w:r>
      <w:r w:rsidRPr="00EC02CA">
        <w:t xml:space="preserve"> a sentence of detention is taken to be a sentence </w:t>
      </w:r>
      <w:r w:rsidR="006321D5" w:rsidRPr="00EC02CA">
        <w:t>of</w:t>
      </w:r>
      <w:r w:rsidRPr="00EC02CA">
        <w:t xml:space="preserve"> a term of imprisonment.</w:t>
      </w:r>
      <w:r w:rsidRPr="00EC02CA">
        <w:rPr>
          <w:vertAlign w:val="superscript"/>
        </w:rPr>
        <w:footnoteReference w:id="472"/>
      </w:r>
      <w:r w:rsidRPr="00EC02CA">
        <w:t xml:space="preserve"> However, the court also has a discretion to sentence the person under the </w:t>
      </w:r>
      <w:r w:rsidRPr="00EC02CA">
        <w:rPr>
          <w:i/>
          <w:iCs/>
        </w:rPr>
        <w:t xml:space="preserve">Sentencing Act 1997 </w:t>
      </w:r>
      <w:r w:rsidRPr="00EC02CA">
        <w:t>(Tas) if a youth offender is 18 years or older when they are being sentenced.</w:t>
      </w:r>
      <w:r w:rsidRPr="00EC02CA">
        <w:rPr>
          <w:vertAlign w:val="superscript"/>
        </w:rPr>
        <w:footnoteReference w:id="473"/>
      </w:r>
      <w:r w:rsidRPr="00EC02CA">
        <w:t xml:space="preserve"> </w:t>
      </w:r>
    </w:p>
    <w:p w14:paraId="2B6F1B91" w14:textId="77777777" w:rsidR="00D1649A" w:rsidRPr="00EC02CA" w:rsidRDefault="00D1649A" w:rsidP="00D1649A">
      <w:pPr>
        <w:pStyle w:val="NumberedHeadingTLRI"/>
      </w:pPr>
      <w:bookmarkStart w:id="263" w:name="_Toc211849409"/>
      <w:bookmarkStart w:id="264" w:name="_Toc218157309"/>
      <w:bookmarkStart w:id="265" w:name="_Ref218241387"/>
      <w:bookmarkStart w:id="266" w:name="_Ref218241681"/>
      <w:bookmarkStart w:id="267" w:name="_Ref218241809"/>
      <w:bookmarkStart w:id="268" w:name="_Ref218241876"/>
      <w:bookmarkStart w:id="269" w:name="_Ref218242055"/>
      <w:r w:rsidRPr="00EC02CA">
        <w:t xml:space="preserve">Statutory framework for diversion under the </w:t>
      </w:r>
      <w:r w:rsidRPr="00EC02CA">
        <w:rPr>
          <w:i/>
          <w:iCs/>
        </w:rPr>
        <w:t xml:space="preserve">Youth Justice Act 1997 </w:t>
      </w:r>
      <w:r w:rsidRPr="00EC02CA">
        <w:t>(Tas)</w:t>
      </w:r>
      <w:bookmarkEnd w:id="263"/>
      <w:bookmarkEnd w:id="264"/>
      <w:bookmarkEnd w:id="265"/>
      <w:bookmarkEnd w:id="266"/>
      <w:bookmarkEnd w:id="267"/>
      <w:bookmarkEnd w:id="268"/>
      <w:bookmarkEnd w:id="269"/>
    </w:p>
    <w:p w14:paraId="60816323" w14:textId="4DB06301" w:rsidR="00D1649A" w:rsidRPr="00EC02CA" w:rsidRDefault="008B7834" w:rsidP="002F0007">
      <w:pPr>
        <w:pStyle w:val="NormalNumberedTextTLRI"/>
      </w:pPr>
      <w:r w:rsidRPr="00EC02CA">
        <w:t xml:space="preserve">Another feature of the </w:t>
      </w:r>
      <w:r w:rsidR="00D1649A" w:rsidRPr="00EC02CA">
        <w:rPr>
          <w:i/>
          <w:iCs/>
        </w:rPr>
        <w:t xml:space="preserve">Youth Justice Act 1997 </w:t>
      </w:r>
      <w:r w:rsidR="00D1649A" w:rsidRPr="00EC02CA">
        <w:t xml:space="preserve">(Tas) </w:t>
      </w:r>
      <w:r w:rsidR="003A7B4B" w:rsidRPr="00EC02CA">
        <w:t xml:space="preserve">is the creation of </w:t>
      </w:r>
      <w:r w:rsidR="00D1649A" w:rsidRPr="00EC02CA">
        <w:t xml:space="preserve">the legislative framework for diverting </w:t>
      </w:r>
      <w:r w:rsidR="00312BF5" w:rsidRPr="00EC02CA">
        <w:t>young people</w:t>
      </w:r>
      <w:r w:rsidR="00D1649A" w:rsidRPr="00EC02CA">
        <w:t xml:space="preserve"> from the court system. Aligned with the objectives of the </w:t>
      </w:r>
      <w:r w:rsidR="00D1649A" w:rsidRPr="00EC02CA">
        <w:rPr>
          <w:i/>
          <w:iCs/>
        </w:rPr>
        <w:t xml:space="preserve">Youth Justice Act 1997 </w:t>
      </w:r>
      <w:r w:rsidR="00D1649A" w:rsidRPr="00EC02CA">
        <w:t>(Tas) and the general principles of youth justice,</w:t>
      </w:r>
      <w:r w:rsidR="00D1649A" w:rsidRPr="00EC02CA">
        <w:rPr>
          <w:vertAlign w:val="superscript"/>
        </w:rPr>
        <w:footnoteReference w:id="474"/>
      </w:r>
      <w:r w:rsidR="00D1649A" w:rsidRPr="00EC02CA">
        <w:t xml:space="preserve"> the purpose of pre-court diversion is to ‘divert, in an appropriate case, a youth who admits committing an offence from the courts’ criminal justice system’.</w:t>
      </w:r>
      <w:r w:rsidR="00D1649A" w:rsidRPr="00EC02CA">
        <w:rPr>
          <w:vertAlign w:val="superscript"/>
        </w:rPr>
        <w:footnoteReference w:id="475"/>
      </w:r>
      <w:r w:rsidR="00D1649A" w:rsidRPr="00EC02CA">
        <w:t xml:space="preserve"> </w:t>
      </w:r>
      <w:r w:rsidR="00F343BA" w:rsidRPr="00EC02CA">
        <w:t xml:space="preserve">There are also powers for the court to </w:t>
      </w:r>
      <w:r w:rsidR="006017AA" w:rsidRPr="00EC02CA">
        <w:t>use diversionary processes.</w:t>
      </w:r>
      <w:r w:rsidR="006017AA" w:rsidRPr="00EC02CA">
        <w:rPr>
          <w:rStyle w:val="FootnoteReference"/>
        </w:rPr>
        <w:footnoteReference w:id="476"/>
      </w:r>
    </w:p>
    <w:p w14:paraId="5D454A96" w14:textId="2D4EFB97" w:rsidR="006017AA" w:rsidRPr="00EC02CA" w:rsidRDefault="006017AA" w:rsidP="00A920EC">
      <w:pPr>
        <w:pStyle w:val="TLRISubheading"/>
      </w:pPr>
      <w:bookmarkStart w:id="270" w:name="_Toc211849410"/>
      <w:bookmarkStart w:id="271" w:name="_Toc218157310"/>
      <w:r w:rsidRPr="00EC02CA">
        <w:t xml:space="preserve">Pre-court </w:t>
      </w:r>
      <w:r w:rsidR="006B1F4A" w:rsidRPr="00EC02CA">
        <w:t>diversion</w:t>
      </w:r>
      <w:bookmarkEnd w:id="270"/>
      <w:bookmarkEnd w:id="271"/>
    </w:p>
    <w:p w14:paraId="5EC53145" w14:textId="77777777" w:rsidR="00D1649A" w:rsidRPr="00EC02CA" w:rsidRDefault="00D1649A" w:rsidP="002F0007">
      <w:pPr>
        <w:pStyle w:val="NormalNumberedTextTLRI"/>
      </w:pPr>
      <w:r w:rsidRPr="00EC02CA">
        <w:t xml:space="preserve">There are three tiers to the pre-court diversionary processes set out in the </w:t>
      </w:r>
      <w:r w:rsidRPr="00EC02CA">
        <w:rPr>
          <w:i/>
          <w:iCs/>
        </w:rPr>
        <w:t xml:space="preserve">Youth Justice Act 1997 </w:t>
      </w:r>
      <w:r w:rsidRPr="00EC02CA">
        <w:t xml:space="preserve">(Tas): </w:t>
      </w:r>
    </w:p>
    <w:p w14:paraId="4E001210" w14:textId="0DFE1797" w:rsidR="00D1649A" w:rsidRPr="00EC02CA" w:rsidRDefault="00D1649A" w:rsidP="00A920EC">
      <w:pPr>
        <w:pStyle w:val="NumberlessNormalText"/>
        <w:numPr>
          <w:ilvl w:val="0"/>
          <w:numId w:val="212"/>
        </w:numPr>
      </w:pPr>
      <w:r w:rsidRPr="00EC02CA">
        <w:t>informal caution</w:t>
      </w:r>
      <w:r w:rsidR="009B37E3" w:rsidRPr="00EC02CA">
        <w:t>s</w:t>
      </w:r>
      <w:r w:rsidRPr="00EC02CA">
        <w:t xml:space="preserve"> by police; </w:t>
      </w:r>
    </w:p>
    <w:p w14:paraId="73C1BC29" w14:textId="67DBC43C" w:rsidR="00D1649A" w:rsidRPr="00EC02CA" w:rsidRDefault="00D1649A" w:rsidP="00A920EC">
      <w:pPr>
        <w:pStyle w:val="NumberlessNormalText"/>
      </w:pPr>
      <w:r w:rsidRPr="00EC02CA">
        <w:t>formal caution</w:t>
      </w:r>
      <w:r w:rsidR="009B37E3" w:rsidRPr="00EC02CA">
        <w:t>s</w:t>
      </w:r>
      <w:r w:rsidRPr="00EC02CA">
        <w:t xml:space="preserve"> by police; and </w:t>
      </w:r>
    </w:p>
    <w:p w14:paraId="6A5C749E" w14:textId="75041D77" w:rsidR="00D1649A" w:rsidRPr="00EC02CA" w:rsidRDefault="00D1649A" w:rsidP="00A920EC">
      <w:pPr>
        <w:pStyle w:val="NumberlessNormalText"/>
      </w:pPr>
      <w:r w:rsidRPr="00EC02CA">
        <w:t>community conferences convened by the Secretary of the DECYP at the request of police.</w:t>
      </w:r>
      <w:r w:rsidRPr="00EC02CA">
        <w:rPr>
          <w:rStyle w:val="FootnoteReference"/>
        </w:rPr>
        <w:footnoteReference w:id="477"/>
      </w:r>
      <w:r w:rsidRPr="00EC02CA">
        <w:t xml:space="preserve"> </w:t>
      </w:r>
    </w:p>
    <w:p w14:paraId="77F2B7D3" w14:textId="44E9B06C" w:rsidR="00D1649A" w:rsidRPr="00EC02CA" w:rsidRDefault="00D1649A" w:rsidP="00A920EC">
      <w:pPr>
        <w:pStyle w:val="NormalNumberedTextTLRI"/>
      </w:pPr>
      <w:r w:rsidRPr="00EC02CA">
        <w:t xml:space="preserve">In addition, there are diversionary processes under the </w:t>
      </w:r>
      <w:r w:rsidRPr="00EC02CA">
        <w:rPr>
          <w:i/>
          <w:iCs/>
        </w:rPr>
        <w:t xml:space="preserve">Youth Justice Act 1997 </w:t>
      </w:r>
      <w:r w:rsidRPr="00EC02CA">
        <w:t xml:space="preserve">(Tas) that can be used by the court once a </w:t>
      </w:r>
      <w:r w:rsidR="00312BF5" w:rsidRPr="00EC02CA">
        <w:t>young person</w:t>
      </w:r>
      <w:r w:rsidRPr="00EC02CA">
        <w:t xml:space="preserve"> has entered a plea of guilty or be</w:t>
      </w:r>
      <w:r w:rsidR="009B37E3" w:rsidRPr="00EC02CA">
        <w:t>en</w:t>
      </w:r>
      <w:r w:rsidRPr="00EC02CA">
        <w:t xml:space="preserve"> found guilty of an offence. These are discussed in Part 8.</w:t>
      </w:r>
    </w:p>
    <w:p w14:paraId="3582FF1B" w14:textId="15AC78D6" w:rsidR="00D1649A" w:rsidRPr="00EC02CA" w:rsidRDefault="00D1649A" w:rsidP="002F0007">
      <w:pPr>
        <w:pStyle w:val="NormalNumberedTextTLRI"/>
      </w:pPr>
      <w:r w:rsidRPr="00EC02CA">
        <w:t xml:space="preserve">A key requirement for diversion is that the </w:t>
      </w:r>
      <w:r w:rsidR="001F5B76" w:rsidRPr="00EC02CA">
        <w:t xml:space="preserve">young person </w:t>
      </w:r>
      <w:r w:rsidRPr="00EC02CA">
        <w:t xml:space="preserve">admits that they have committed an offence, and </w:t>
      </w:r>
      <w:r w:rsidR="00414163" w:rsidRPr="00EC02CA">
        <w:t xml:space="preserve">– for formal cautions and community conference – </w:t>
      </w:r>
      <w:r w:rsidRPr="00EC02CA">
        <w:t xml:space="preserve">also signs an admission. If the young person does not admit the offence, then the only way the matter can proceed is by the preparation of a brief for prosecution. A related matter is that police will only </w:t>
      </w:r>
      <w:r w:rsidR="00F85767" w:rsidRPr="00EC02CA">
        <w:t>administer</w:t>
      </w:r>
      <w:r w:rsidR="003A630C" w:rsidRPr="00EC02CA">
        <w:t xml:space="preserve"> a </w:t>
      </w:r>
      <w:r w:rsidRPr="00EC02CA">
        <w:t>caution where there is sufficient evidence for the matter to proceed to prosecution.</w:t>
      </w:r>
      <w:r w:rsidRPr="00EC02CA">
        <w:rPr>
          <w:vertAlign w:val="superscript"/>
        </w:rPr>
        <w:footnoteReference w:id="478"/>
      </w:r>
      <w:r w:rsidRPr="00EC02CA">
        <w:t xml:space="preserve"> As the TLRI was told in con</w:t>
      </w:r>
      <w:r w:rsidR="00491C85" w:rsidRPr="00EC02CA">
        <w:t>s</w:t>
      </w:r>
      <w:r w:rsidRPr="00EC02CA">
        <w:t>ultations, ‘if we're going to formally caution someone or have a community conference, we still have the same requirements for the level of evidence. So … if you wouldn't take it to court, you wouldn</w:t>
      </w:r>
      <w:r w:rsidR="00491C85" w:rsidRPr="00EC02CA">
        <w:t>’</w:t>
      </w:r>
      <w:r w:rsidRPr="00EC02CA">
        <w:t>t do a formal caution or a community conference with it’.</w:t>
      </w:r>
      <w:r w:rsidRPr="00EC02CA">
        <w:rPr>
          <w:rStyle w:val="FootnoteReference"/>
        </w:rPr>
        <w:footnoteReference w:id="479"/>
      </w:r>
      <w:r w:rsidRPr="00EC02CA">
        <w:t xml:space="preserve"> </w:t>
      </w:r>
    </w:p>
    <w:p w14:paraId="7D81868C" w14:textId="17191117" w:rsidR="00D1649A" w:rsidRPr="00EC02CA" w:rsidRDefault="00D1649A" w:rsidP="002F0007">
      <w:pPr>
        <w:pStyle w:val="NormalNumberedTextTLRI"/>
      </w:pPr>
      <w:r w:rsidRPr="00EC02CA">
        <w:t xml:space="preserve">Offence seriousness is another </w:t>
      </w:r>
      <w:r w:rsidR="001F78FE" w:rsidRPr="00EC02CA">
        <w:t xml:space="preserve">consideration </w:t>
      </w:r>
      <w:r w:rsidRPr="00EC02CA">
        <w:t xml:space="preserve">relevant to whether or not a matter is diverted. Prescribed offences under the </w:t>
      </w:r>
      <w:r w:rsidRPr="00EC02CA">
        <w:rPr>
          <w:i/>
          <w:iCs/>
        </w:rPr>
        <w:t xml:space="preserve">Youth Justice Act 1997 </w:t>
      </w:r>
      <w:r w:rsidRPr="00EC02CA">
        <w:t>(Tas) are not eligible for diversion.</w:t>
      </w:r>
      <w:r w:rsidRPr="00EC02CA">
        <w:rPr>
          <w:vertAlign w:val="superscript"/>
        </w:rPr>
        <w:footnoteReference w:id="480"/>
      </w:r>
      <w:r w:rsidR="175FD6FE" w:rsidRPr="00EC02CA">
        <w:t xml:space="preserve"> </w:t>
      </w:r>
      <w:r w:rsidR="00342FAA" w:rsidRPr="00EC02CA">
        <w:t>As noted, i</w:t>
      </w:r>
      <w:r w:rsidRPr="00EC02CA">
        <w:t>n the context of sexual offending, rape, aggravated sexual assault</w:t>
      </w:r>
      <w:r w:rsidR="001F78FE" w:rsidRPr="00EC02CA">
        <w:t>,</w:t>
      </w:r>
      <w:r w:rsidRPr="00EC02CA">
        <w:t xml:space="preserve"> and persistent sexual abuse of a young person are prescribed offences </w:t>
      </w:r>
      <w:r w:rsidR="001F78FE" w:rsidRPr="00EC02CA">
        <w:t xml:space="preserve">for </w:t>
      </w:r>
      <w:r w:rsidRPr="00EC02CA">
        <w:t>youths aged 1</w:t>
      </w:r>
      <w:r w:rsidR="0057159C" w:rsidRPr="00EC02CA">
        <w:t>4</w:t>
      </w:r>
      <w:r w:rsidRPr="00EC02CA">
        <w:t>–17 (</w:t>
      </w:r>
      <w:r w:rsidR="001F78FE" w:rsidRPr="00EC02CA">
        <w:t xml:space="preserve">but </w:t>
      </w:r>
      <w:r w:rsidRPr="00EC02CA">
        <w:t xml:space="preserve">not </w:t>
      </w:r>
      <w:r w:rsidR="001F78FE" w:rsidRPr="00EC02CA">
        <w:t xml:space="preserve">for </w:t>
      </w:r>
      <w:r w:rsidRPr="00EC02CA">
        <w:t>those aged 10</w:t>
      </w:r>
      <w:r w:rsidR="0071264B" w:rsidRPr="00EC02CA">
        <w:t>–</w:t>
      </w:r>
      <w:r w:rsidRPr="00EC02CA">
        <w:t>1</w:t>
      </w:r>
      <w:r w:rsidR="00342FAA" w:rsidRPr="00EC02CA">
        <w:t>3</w:t>
      </w:r>
      <w:r w:rsidRPr="00EC02CA">
        <w:t>).</w:t>
      </w:r>
      <w:r w:rsidRPr="00EC02CA">
        <w:rPr>
          <w:rStyle w:val="FootnoteReference"/>
        </w:rPr>
        <w:footnoteReference w:id="481"/>
      </w:r>
      <w:r w:rsidRPr="00EC02CA">
        <w:t xml:space="preserve"> This means that many </w:t>
      </w:r>
      <w:r w:rsidR="001F78FE" w:rsidRPr="00EC02CA">
        <w:t xml:space="preserve">instances of </w:t>
      </w:r>
      <w:r w:rsidRPr="00EC02CA">
        <w:t>sexual offen</w:t>
      </w:r>
      <w:r w:rsidR="001F78FE" w:rsidRPr="00EC02CA">
        <w:t>ding by young persons</w:t>
      </w:r>
      <w:r w:rsidRPr="00EC02CA">
        <w:t xml:space="preserve"> in Tasmania are eligible for diversion</w:t>
      </w:r>
      <w:r w:rsidR="001F78FE" w:rsidRPr="00EC02CA">
        <w:t xml:space="preserve"> –</w:t>
      </w:r>
      <w:r w:rsidRPr="00EC02CA">
        <w:t xml:space="preserve"> including online sexual offences, as these are not prescribed offences and are heard in the Youth Division.</w:t>
      </w:r>
      <w:r w:rsidRPr="00EC02CA">
        <w:rPr>
          <w:rStyle w:val="FootnoteReference"/>
        </w:rPr>
        <w:footnoteReference w:id="482"/>
      </w:r>
      <w:r w:rsidRPr="00EC02CA">
        <w:t xml:space="preserve"> However, offence seriousness is also a matter to be taken into account by a police officer in determining whether an informal or formal caution or a community conference is appropriate.</w:t>
      </w:r>
      <w:r w:rsidRPr="00EC02CA">
        <w:rPr>
          <w:vertAlign w:val="superscript"/>
        </w:rPr>
        <w:footnoteReference w:id="483"/>
      </w:r>
      <w:r w:rsidRPr="00EC02CA">
        <w:t xml:space="preserve"> Other features relevant to the use of diversion identified by the Sentencing Advisory Council (Tas) include the attitude of young people to police</w:t>
      </w:r>
      <w:r w:rsidR="001F78FE" w:rsidRPr="00EC02CA">
        <w:t>,</w:t>
      </w:r>
      <w:r w:rsidRPr="00EC02CA">
        <w:t xml:space="preserve"> and parental attitudes and support.</w:t>
      </w:r>
      <w:r w:rsidRPr="00EC02CA">
        <w:rPr>
          <w:rStyle w:val="FootnoteReference"/>
        </w:rPr>
        <w:footnoteReference w:id="484"/>
      </w:r>
      <w:r w:rsidR="00144090" w:rsidRPr="00EC02CA">
        <w:t xml:space="preserve"> </w:t>
      </w:r>
      <w:r w:rsidR="001F78FE" w:rsidRPr="00EC02CA">
        <w:t>The</w:t>
      </w:r>
      <w:r w:rsidRPr="00EC02CA">
        <w:t xml:space="preserve"> Commission of Inquiry</w:t>
      </w:r>
      <w:r w:rsidR="001F78FE" w:rsidRPr="00EC02CA">
        <w:t xml:space="preserve"> </w:t>
      </w:r>
      <w:r w:rsidRPr="00EC02CA">
        <w:t>also noted that access to diversion may depend on the support network, including family, that surround</w:t>
      </w:r>
      <w:r w:rsidR="001F78FE" w:rsidRPr="00EC02CA">
        <w:t>s</w:t>
      </w:r>
      <w:r w:rsidRPr="00EC02CA">
        <w:t xml:space="preserve"> a child or you</w:t>
      </w:r>
      <w:r w:rsidR="001F78FE" w:rsidRPr="00EC02CA">
        <w:t>ng</w:t>
      </w:r>
      <w:r w:rsidRPr="00EC02CA">
        <w:t xml:space="preserve"> person.</w:t>
      </w:r>
      <w:r w:rsidRPr="00EC02CA">
        <w:rPr>
          <w:rStyle w:val="FootnoteReference"/>
        </w:rPr>
        <w:footnoteReference w:id="485"/>
      </w:r>
      <w:r w:rsidR="00F4764D" w:rsidRPr="00EC02CA">
        <w:t xml:space="preserve"> </w:t>
      </w:r>
    </w:p>
    <w:p w14:paraId="783907B3" w14:textId="798F6062" w:rsidR="00BC3FA4" w:rsidRPr="00EC02CA" w:rsidRDefault="00950BAE" w:rsidP="002F0007">
      <w:pPr>
        <w:pStyle w:val="NormalNumberedTextTLRI"/>
      </w:pPr>
      <w:r w:rsidRPr="00EC02CA">
        <w:t>Relatedly, a young person’s p</w:t>
      </w:r>
      <w:r w:rsidR="00BC3FA4" w:rsidRPr="00EC02CA">
        <w:t xml:space="preserve">rior offending history </w:t>
      </w:r>
      <w:r w:rsidR="00F4248D" w:rsidRPr="00EC02CA">
        <w:t xml:space="preserve">is taken into account </w:t>
      </w:r>
      <w:r w:rsidR="00167BB3" w:rsidRPr="00EC02CA">
        <w:t>as part of an assessment for suitability of diversion</w:t>
      </w:r>
      <w:r w:rsidR="00F7026E" w:rsidRPr="00EC02CA">
        <w:t xml:space="preserve">, </w:t>
      </w:r>
      <w:r w:rsidR="006A2B7A" w:rsidRPr="00EC02CA">
        <w:t xml:space="preserve">consistent with s 5(1)(j) of the </w:t>
      </w:r>
      <w:r w:rsidR="00DA4F04" w:rsidRPr="00EC02CA">
        <w:rPr>
          <w:i/>
          <w:iCs/>
        </w:rPr>
        <w:t xml:space="preserve">Youth Justice Act 1997 </w:t>
      </w:r>
      <w:r w:rsidR="00DA4F04" w:rsidRPr="00EC02CA">
        <w:t>(Tas)</w:t>
      </w:r>
      <w:r w:rsidR="00E6488A" w:rsidRPr="00EC02CA">
        <w:t>. Among other things, police offic</w:t>
      </w:r>
      <w:r w:rsidR="009B336C" w:rsidRPr="00EC02CA">
        <w:t>ers</w:t>
      </w:r>
      <w:r w:rsidR="00DA4F04" w:rsidRPr="00EC02CA">
        <w:t xml:space="preserve"> will</w:t>
      </w:r>
      <w:r w:rsidR="009B336C" w:rsidRPr="00EC02CA">
        <w:t xml:space="preserve"> </w:t>
      </w:r>
      <w:r w:rsidR="00FD2A66" w:rsidRPr="00EC02CA">
        <w:t xml:space="preserve">take into account whether </w:t>
      </w:r>
      <w:r w:rsidR="00A30B1A" w:rsidRPr="00EC02CA">
        <w:t xml:space="preserve">the young person has </w:t>
      </w:r>
      <w:r w:rsidR="00574A66" w:rsidRPr="00EC02CA">
        <w:t xml:space="preserve">previously </w:t>
      </w:r>
      <w:r w:rsidR="0005104B" w:rsidRPr="00EC02CA">
        <w:t xml:space="preserve">participated in formal cautions </w:t>
      </w:r>
      <w:r w:rsidR="00855C72" w:rsidRPr="00EC02CA">
        <w:t>and community conferences.</w:t>
      </w:r>
      <w:r w:rsidR="00855C72" w:rsidRPr="00EC02CA">
        <w:rPr>
          <w:rStyle w:val="FootnoteReference"/>
        </w:rPr>
        <w:footnoteReference w:id="486"/>
      </w:r>
      <w:r w:rsidR="00BC3FA4" w:rsidRPr="00EC02CA">
        <w:t xml:space="preserve"> </w:t>
      </w:r>
    </w:p>
    <w:p w14:paraId="6D139D98" w14:textId="544599D7" w:rsidR="00D1649A" w:rsidRPr="00EC02CA" w:rsidRDefault="00D1649A" w:rsidP="00ED2E47">
      <w:pPr>
        <w:pStyle w:val="Sub-HeadingTLRI"/>
      </w:pPr>
      <w:bookmarkStart w:id="272" w:name="_Toc211849411"/>
      <w:bookmarkStart w:id="273" w:name="_Toc218157311"/>
      <w:r w:rsidRPr="00EC02CA">
        <w:t>Informal caution</w:t>
      </w:r>
      <w:bookmarkEnd w:id="272"/>
      <w:r w:rsidR="00AF49C1" w:rsidRPr="00EC02CA">
        <w:t>s</w:t>
      </w:r>
      <w:bookmarkEnd w:id="273"/>
    </w:p>
    <w:p w14:paraId="2491D06C" w14:textId="7442F102" w:rsidR="00D1649A" w:rsidRPr="00EC02CA" w:rsidRDefault="00A81236" w:rsidP="002F0007">
      <w:pPr>
        <w:pStyle w:val="NormalNumberedTextTLRI"/>
        <w:rPr>
          <w:b/>
          <w:i/>
        </w:rPr>
      </w:pPr>
      <w:r w:rsidRPr="00EC02CA">
        <w:t xml:space="preserve">Reflecting the role of police </w:t>
      </w:r>
      <w:r w:rsidR="00E53C06" w:rsidRPr="00EC02CA">
        <w:t>in the</w:t>
      </w:r>
      <w:r w:rsidRPr="00EC02CA">
        <w:t xml:space="preserve"> </w:t>
      </w:r>
      <w:r w:rsidR="00061E9E" w:rsidRPr="00EC02CA">
        <w:t xml:space="preserve">youth </w:t>
      </w:r>
      <w:r w:rsidRPr="00EC02CA">
        <w:t>justice system, u</w:t>
      </w:r>
      <w:r w:rsidR="00D1649A" w:rsidRPr="00EC02CA">
        <w:t xml:space="preserve">nder the </w:t>
      </w:r>
      <w:r w:rsidR="00D1649A" w:rsidRPr="00EC02CA">
        <w:rPr>
          <w:i/>
          <w:iCs/>
        </w:rPr>
        <w:t xml:space="preserve">Youth Justice Act 1997 </w:t>
      </w:r>
      <w:r w:rsidR="00D1649A" w:rsidRPr="00EC02CA">
        <w:t xml:space="preserve">(Tas) s 8, if a </w:t>
      </w:r>
      <w:r w:rsidR="00325CAE" w:rsidRPr="00EC02CA">
        <w:t>young person</w:t>
      </w:r>
      <w:r w:rsidR="00D1649A" w:rsidRPr="00EC02CA">
        <w:t xml:space="preserve"> admits </w:t>
      </w:r>
      <w:r w:rsidR="00A53E7F" w:rsidRPr="00EC02CA">
        <w:t xml:space="preserve">to </w:t>
      </w:r>
      <w:r w:rsidR="00D1649A" w:rsidRPr="00EC02CA">
        <w:t xml:space="preserve">the commission of an offence, a police officer may informally caution the </w:t>
      </w:r>
      <w:r w:rsidR="00325CAE" w:rsidRPr="00EC02CA">
        <w:t>young person</w:t>
      </w:r>
      <w:r w:rsidR="00D1649A" w:rsidRPr="00EC02CA">
        <w:t xml:space="preserve"> if the police officer is of the opi</w:t>
      </w:r>
      <w:r w:rsidR="00A53E7F" w:rsidRPr="00EC02CA">
        <w:t>ni</w:t>
      </w:r>
      <w:r w:rsidR="00D1649A" w:rsidRPr="00EC02CA">
        <w:t xml:space="preserve">on that the matter does not warrant any formal action under the Act. If a </w:t>
      </w:r>
      <w:r w:rsidR="00A53E7F" w:rsidRPr="00EC02CA">
        <w:t xml:space="preserve">young </w:t>
      </w:r>
      <w:r w:rsidR="00325CAE" w:rsidRPr="00EC02CA">
        <w:t xml:space="preserve">person </w:t>
      </w:r>
      <w:r w:rsidR="00D1649A" w:rsidRPr="00EC02CA">
        <w:t>is informally cautioned, no further proceedings can be taken for the offence in relation to which the</w:t>
      </w:r>
      <w:r w:rsidR="00A53E7F" w:rsidRPr="00EC02CA">
        <w:t>y were</w:t>
      </w:r>
      <w:r w:rsidR="00D1649A" w:rsidRPr="00EC02CA">
        <w:t xml:space="preserve"> cautioned.</w:t>
      </w:r>
      <w:r w:rsidR="00D1649A" w:rsidRPr="00EC02CA">
        <w:rPr>
          <w:vertAlign w:val="superscript"/>
        </w:rPr>
        <w:footnoteReference w:id="487"/>
      </w:r>
      <w:r w:rsidR="00D1649A" w:rsidRPr="00EC02CA">
        <w:t xml:space="preserve"> </w:t>
      </w:r>
    </w:p>
    <w:p w14:paraId="08F590FC" w14:textId="3DB95ED3" w:rsidR="00D1649A" w:rsidRPr="00EC02CA" w:rsidRDefault="00D1649A" w:rsidP="002F0007">
      <w:pPr>
        <w:pStyle w:val="NormalNumberedTextTLRI"/>
        <w:rPr>
          <w:b/>
          <w:i/>
        </w:rPr>
      </w:pPr>
      <w:r w:rsidRPr="00EC02CA">
        <w:t xml:space="preserve">Under the policy set out in the </w:t>
      </w:r>
      <w:r w:rsidRPr="00EC02CA">
        <w:rPr>
          <w:i/>
          <w:iCs/>
        </w:rPr>
        <w:t>Tasmania Police Manual</w:t>
      </w:r>
      <w:r w:rsidRPr="00EC02CA">
        <w:t xml:space="preserve">, there are limits </w:t>
      </w:r>
      <w:r w:rsidR="001A0A17" w:rsidRPr="00EC02CA">
        <w:t>to</w:t>
      </w:r>
      <w:r w:rsidRPr="00EC02CA">
        <w:t xml:space="preserve"> the use of an informal caution for a sexual offence, as an informal caution cannot be used for an assault.</w:t>
      </w:r>
      <w:r w:rsidRPr="00EC02CA">
        <w:rPr>
          <w:vertAlign w:val="superscript"/>
        </w:rPr>
        <w:footnoteReference w:id="488"/>
      </w:r>
      <w:r w:rsidRPr="00EC02CA">
        <w:t xml:space="preserve"> This would generally preclude the use of </w:t>
      </w:r>
      <w:r w:rsidR="001A0A17" w:rsidRPr="00EC02CA">
        <w:t xml:space="preserve">an </w:t>
      </w:r>
      <w:r w:rsidRPr="00EC02CA">
        <w:t xml:space="preserve">informal caution for physical </w:t>
      </w:r>
      <w:r w:rsidR="001A0A17" w:rsidRPr="00EC02CA">
        <w:t xml:space="preserve">sexual </w:t>
      </w:r>
      <w:r w:rsidRPr="00EC02CA">
        <w:t>offences, but not for online sexual offences.</w:t>
      </w:r>
    </w:p>
    <w:p w14:paraId="4FC7CD8A" w14:textId="77777777" w:rsidR="00D1649A" w:rsidRPr="00EC02CA" w:rsidRDefault="00D1649A" w:rsidP="00ED2E47">
      <w:pPr>
        <w:pStyle w:val="Sub-HeadingTLRI"/>
      </w:pPr>
      <w:bookmarkStart w:id="274" w:name="_Toc211849412"/>
      <w:bookmarkStart w:id="275" w:name="_Toc218157312"/>
      <w:r w:rsidRPr="00EC02CA">
        <w:t>Formal cautions and community conferences</w:t>
      </w:r>
      <w:bookmarkEnd w:id="274"/>
      <w:bookmarkEnd w:id="275"/>
    </w:p>
    <w:p w14:paraId="3F25179A" w14:textId="3AF94ACD" w:rsidR="00D1649A" w:rsidRPr="00EC02CA" w:rsidRDefault="00D1649A" w:rsidP="002F0007">
      <w:pPr>
        <w:pStyle w:val="NormalNumberedTextTLRI"/>
      </w:pPr>
      <w:r w:rsidRPr="00EC02CA">
        <w:t xml:space="preserve">Under the </w:t>
      </w:r>
      <w:r w:rsidRPr="00EC02CA">
        <w:rPr>
          <w:i/>
          <w:iCs/>
        </w:rPr>
        <w:t xml:space="preserve">Youth Justice Act 1997 </w:t>
      </w:r>
      <w:r w:rsidRPr="00EC02CA">
        <w:t xml:space="preserve">(Tas) s 9, if a </w:t>
      </w:r>
      <w:r w:rsidR="00325CAE" w:rsidRPr="00EC02CA">
        <w:t>young person</w:t>
      </w:r>
      <w:r w:rsidRPr="00EC02CA">
        <w:t xml:space="preserve"> admits </w:t>
      </w:r>
      <w:r w:rsidR="00EE5C49" w:rsidRPr="00EC02CA">
        <w:t xml:space="preserve">to the </w:t>
      </w:r>
      <w:r w:rsidRPr="00EC02CA">
        <w:t>commission of an offence and a police officer is of the op</w:t>
      </w:r>
      <w:r w:rsidR="00B41B99" w:rsidRPr="00EC02CA">
        <w:t>ini</w:t>
      </w:r>
      <w:r w:rsidRPr="00EC02CA">
        <w:t xml:space="preserve">on that the matter warrants a more formal </w:t>
      </w:r>
      <w:r w:rsidR="00B41B99" w:rsidRPr="00EC02CA">
        <w:t xml:space="preserve">response </w:t>
      </w:r>
      <w:r w:rsidRPr="00EC02CA">
        <w:t xml:space="preserve">than an informal caution, the police officer may </w:t>
      </w:r>
      <w:r w:rsidR="00F85767" w:rsidRPr="00EC02CA">
        <w:t>administer</w:t>
      </w:r>
      <w:r w:rsidR="00B41B99" w:rsidRPr="00EC02CA">
        <w:t xml:space="preserve"> a </w:t>
      </w:r>
      <w:r w:rsidRPr="00EC02CA">
        <w:t>formal caution, require the Secretary to convene a community conference</w:t>
      </w:r>
      <w:r w:rsidR="00B41B99" w:rsidRPr="00EC02CA">
        <w:t>,</w:t>
      </w:r>
      <w:r w:rsidRPr="00EC02CA">
        <w:t xml:space="preserve"> or file a complaint for the offence </w:t>
      </w:r>
      <w:r w:rsidR="00B41B99" w:rsidRPr="00EC02CA">
        <w:t xml:space="preserve">with </w:t>
      </w:r>
      <w:r w:rsidRPr="00EC02CA">
        <w:t xml:space="preserve">the court. A complaint can be filed if the young person requires the matter to be dealt with </w:t>
      </w:r>
      <w:r w:rsidR="00B41B99" w:rsidRPr="00EC02CA">
        <w:t xml:space="preserve">by </w:t>
      </w:r>
      <w:r w:rsidRPr="00EC02CA">
        <w:t xml:space="preserve">the Youth Justice Division, </w:t>
      </w:r>
      <w:r w:rsidR="00B41B99" w:rsidRPr="00EC02CA">
        <w:t xml:space="preserve">if the young person </w:t>
      </w:r>
      <w:r w:rsidRPr="00EC02CA">
        <w:t xml:space="preserve">does not agree </w:t>
      </w:r>
      <w:r w:rsidR="00B41B99" w:rsidRPr="00EC02CA">
        <w:t xml:space="preserve">to </w:t>
      </w:r>
      <w:r w:rsidRPr="00EC02CA">
        <w:t>being formally cautioned</w:t>
      </w:r>
      <w:r w:rsidRPr="00EC02CA">
        <w:rPr>
          <w:vertAlign w:val="superscript"/>
        </w:rPr>
        <w:footnoteReference w:id="489"/>
      </w:r>
      <w:r w:rsidRPr="00EC02CA">
        <w:t xml:space="preserve"> or </w:t>
      </w:r>
      <w:r w:rsidR="00B41B99" w:rsidRPr="00EC02CA">
        <w:t xml:space="preserve">to </w:t>
      </w:r>
      <w:r w:rsidRPr="00EC02CA">
        <w:t>a community conference being convened,</w:t>
      </w:r>
      <w:r w:rsidRPr="00EC02CA">
        <w:rPr>
          <w:vertAlign w:val="superscript"/>
        </w:rPr>
        <w:footnoteReference w:id="490"/>
      </w:r>
      <w:r w:rsidRPr="00EC02CA">
        <w:t xml:space="preserve"> or if the police officer </w:t>
      </w:r>
      <w:r w:rsidR="00B41B99" w:rsidRPr="00EC02CA">
        <w:t>considers</w:t>
      </w:r>
      <w:r w:rsidRPr="00EC02CA">
        <w:t xml:space="preserve"> that</w:t>
      </w:r>
      <w:r w:rsidR="00B41B99" w:rsidRPr="00EC02CA">
        <w:t>, in view of the seriousness or the nature of the offence,</w:t>
      </w:r>
      <w:r w:rsidRPr="00EC02CA">
        <w:t xml:space="preserve"> the matter cannot be adequately dealt with by </w:t>
      </w:r>
      <w:r w:rsidR="00B41B99" w:rsidRPr="00EC02CA">
        <w:t xml:space="preserve">a </w:t>
      </w:r>
      <w:r w:rsidRPr="00EC02CA">
        <w:t>formal caution or by a community conference.</w:t>
      </w:r>
      <w:r w:rsidRPr="00EC02CA">
        <w:rPr>
          <w:vertAlign w:val="superscript"/>
        </w:rPr>
        <w:footnoteReference w:id="491"/>
      </w:r>
    </w:p>
    <w:p w14:paraId="0D073B13" w14:textId="755683B0" w:rsidR="00D1649A" w:rsidRPr="00EC02CA" w:rsidRDefault="00D1649A" w:rsidP="002F0007">
      <w:pPr>
        <w:pStyle w:val="NormalNumberedTextTLRI"/>
      </w:pPr>
      <w:r w:rsidRPr="00EC02CA">
        <w:t xml:space="preserve">In order for a formal caution </w:t>
      </w:r>
      <w:r w:rsidR="00E502EA" w:rsidRPr="00EC02CA">
        <w:t xml:space="preserve">to be </w:t>
      </w:r>
      <w:r w:rsidR="00F85767" w:rsidRPr="00EC02CA">
        <w:t>administered</w:t>
      </w:r>
      <w:r w:rsidR="00E502EA" w:rsidRPr="00EC02CA">
        <w:t xml:space="preserve"> </w:t>
      </w:r>
      <w:r w:rsidRPr="00EC02CA">
        <w:t xml:space="preserve">or a community conference to be </w:t>
      </w:r>
      <w:r w:rsidR="00E502EA" w:rsidRPr="00EC02CA">
        <w:t>undertaken</w:t>
      </w:r>
      <w:r w:rsidRPr="00EC02CA">
        <w:t xml:space="preserve">, the young person </w:t>
      </w:r>
      <w:r w:rsidR="00E502EA" w:rsidRPr="00EC02CA">
        <w:t>must</w:t>
      </w:r>
      <w:r w:rsidRPr="00EC02CA">
        <w:t xml:space="preserve"> agree.</w:t>
      </w:r>
      <w:r w:rsidRPr="00EC02CA">
        <w:rPr>
          <w:vertAlign w:val="superscript"/>
        </w:rPr>
        <w:footnoteReference w:id="492"/>
      </w:r>
      <w:r w:rsidRPr="00EC02CA">
        <w:t xml:space="preserve"> For formal cautions and community conferences, the police officer </w:t>
      </w:r>
      <w:r w:rsidR="00E502EA" w:rsidRPr="00EC02CA">
        <w:t>must</w:t>
      </w:r>
      <w:r w:rsidRPr="00EC02CA">
        <w:t xml:space="preserve"> explain to the young person the nature and circumstances of the offence, that the young person is entitled to legal advice</w:t>
      </w:r>
      <w:r w:rsidR="00E502EA" w:rsidRPr="00EC02CA">
        <w:t>,</w:t>
      </w:r>
      <w:r w:rsidRPr="00EC02CA">
        <w:t xml:space="preserve"> and that the young person can require that the matter </w:t>
      </w:r>
      <w:r w:rsidR="00E502EA" w:rsidRPr="00EC02CA">
        <w:t xml:space="preserve">be </w:t>
      </w:r>
      <w:r w:rsidRPr="00EC02CA">
        <w:t>dealt with by the Youth Justice Division.</w:t>
      </w:r>
      <w:r w:rsidRPr="00EC02CA">
        <w:rPr>
          <w:vertAlign w:val="superscript"/>
        </w:rPr>
        <w:footnoteReference w:id="493"/>
      </w:r>
      <w:r w:rsidRPr="00EC02CA">
        <w:t xml:space="preserve"> If the young person </w:t>
      </w:r>
      <w:r w:rsidR="00E502EA" w:rsidRPr="00EC02CA">
        <w:t xml:space="preserve">agrees to a formal caution or conference, and </w:t>
      </w:r>
      <w:r w:rsidRPr="00EC02CA">
        <w:t>does not want the matter to be dealt with by the Court, the</w:t>
      </w:r>
      <w:r w:rsidR="00E502EA" w:rsidRPr="00EC02CA">
        <w:t>ir</w:t>
      </w:r>
      <w:r w:rsidRPr="00EC02CA">
        <w:t xml:space="preserve"> admission </w:t>
      </w:r>
      <w:r w:rsidR="00E502EA" w:rsidRPr="00EC02CA">
        <w:t xml:space="preserve">to </w:t>
      </w:r>
      <w:r w:rsidRPr="00EC02CA">
        <w:t>the commission of the offence is recorded in written form and the young person is requested to sign it.</w:t>
      </w:r>
      <w:r w:rsidRPr="00EC02CA">
        <w:rPr>
          <w:vertAlign w:val="superscript"/>
        </w:rPr>
        <w:footnoteReference w:id="494"/>
      </w:r>
      <w:r w:rsidRPr="00EC02CA">
        <w:t xml:space="preserve"> In addition, for community conferences, the young person </w:t>
      </w:r>
      <w:r w:rsidR="00E502EA" w:rsidRPr="00EC02CA">
        <w:t xml:space="preserve">must </w:t>
      </w:r>
      <w:r w:rsidRPr="00EC02CA">
        <w:t xml:space="preserve">sign an undertaking </w:t>
      </w:r>
      <w:r w:rsidR="00E502EA" w:rsidRPr="00EC02CA">
        <w:t xml:space="preserve">that they will </w:t>
      </w:r>
      <w:r w:rsidRPr="00EC02CA">
        <w:t>attend the conference.</w:t>
      </w:r>
      <w:r w:rsidRPr="00EC02CA">
        <w:rPr>
          <w:vertAlign w:val="superscript"/>
        </w:rPr>
        <w:footnoteReference w:id="495"/>
      </w:r>
    </w:p>
    <w:p w14:paraId="6972105B" w14:textId="40DC4CBF" w:rsidR="00D1649A" w:rsidRPr="00EC02CA" w:rsidRDefault="00D1649A" w:rsidP="002F0007">
      <w:pPr>
        <w:pStyle w:val="NormalNumberedTextTLRI"/>
      </w:pPr>
      <w:r w:rsidRPr="00EC02CA">
        <w:rPr>
          <w:b/>
          <w:bCs/>
        </w:rPr>
        <w:t>Formal cautions</w:t>
      </w:r>
      <w:r w:rsidRPr="00EC02CA">
        <w:t xml:space="preserve">. </w:t>
      </w:r>
      <w:r w:rsidR="0059635A" w:rsidRPr="00EC02CA">
        <w:t xml:space="preserve">Formal cautions are conducted by </w:t>
      </w:r>
      <w:r w:rsidR="00626A5E" w:rsidRPr="00EC02CA">
        <w:t>Tasmania Police</w:t>
      </w:r>
      <w:r w:rsidR="0059635A" w:rsidRPr="00EC02CA">
        <w:t xml:space="preserve">. </w:t>
      </w:r>
      <w:r w:rsidR="00C256AD" w:rsidRPr="00EC02CA">
        <w:t>If</w:t>
      </w:r>
      <w:r w:rsidRPr="00EC02CA">
        <w:t xml:space="preserve"> the police officer </w:t>
      </w:r>
      <w:r w:rsidR="00197365" w:rsidRPr="00EC02CA">
        <w:t>considers</w:t>
      </w:r>
      <w:r w:rsidRPr="00EC02CA">
        <w:t xml:space="preserve"> it appropriate, the</w:t>
      </w:r>
      <w:r w:rsidR="00197365" w:rsidRPr="00EC02CA">
        <w:t xml:space="preserve">y may </w:t>
      </w:r>
      <w:r w:rsidRPr="00EC02CA">
        <w:t xml:space="preserve">contact the </w:t>
      </w:r>
      <w:r w:rsidR="00886B70" w:rsidRPr="00EC02CA">
        <w:t>victim-survivor</w:t>
      </w:r>
      <w:r w:rsidR="008B055F" w:rsidRPr="00EC02CA">
        <w:t xml:space="preserve"> </w:t>
      </w:r>
      <w:r w:rsidRPr="00EC02CA">
        <w:t xml:space="preserve">to </w:t>
      </w:r>
      <w:r w:rsidR="00197365" w:rsidRPr="00EC02CA">
        <w:t xml:space="preserve">ask whether </w:t>
      </w:r>
      <w:r w:rsidRPr="00EC02CA">
        <w:t>they wish to be present</w:t>
      </w:r>
      <w:r w:rsidR="00F85767" w:rsidRPr="00EC02CA">
        <w:t xml:space="preserve">, </w:t>
      </w:r>
      <w:r w:rsidRPr="00EC02CA">
        <w:t xml:space="preserve">and if so, </w:t>
      </w:r>
      <w:r w:rsidR="00F85767" w:rsidRPr="00EC02CA">
        <w:t xml:space="preserve">must </w:t>
      </w:r>
      <w:r w:rsidRPr="00EC02CA">
        <w:t>allow the</w:t>
      </w:r>
      <w:r w:rsidR="00197365" w:rsidRPr="00EC02CA">
        <w:t>m</w:t>
      </w:r>
      <w:r w:rsidRPr="00EC02CA">
        <w:t xml:space="preserve"> to attend the formal caution.</w:t>
      </w:r>
      <w:r w:rsidRPr="00EC02CA">
        <w:rPr>
          <w:vertAlign w:val="superscript"/>
        </w:rPr>
        <w:footnoteReference w:id="496"/>
      </w:r>
      <w:r w:rsidRPr="00EC02CA">
        <w:t xml:space="preserve"> Tasmania is the only jurisdiction in Australia that makes provision for a </w:t>
      </w:r>
      <w:r w:rsidR="00886B70" w:rsidRPr="00EC02CA">
        <w:t>victim-survivor</w:t>
      </w:r>
      <w:r w:rsidR="008B055F" w:rsidRPr="00EC02CA">
        <w:t xml:space="preserve"> </w:t>
      </w:r>
      <w:r w:rsidRPr="00EC02CA">
        <w:t>to attend a formal caution</w:t>
      </w:r>
      <w:r w:rsidR="00FF11CF" w:rsidRPr="00EC02CA">
        <w:t>. This</w:t>
      </w:r>
      <w:r w:rsidRPr="00EC02CA">
        <w:t xml:space="preserve"> has been interpreted by Tasmania Police to mean that </w:t>
      </w:r>
      <w:r w:rsidR="00174935" w:rsidRPr="00EC02CA">
        <w:t xml:space="preserve">they </w:t>
      </w:r>
      <w:r w:rsidR="00BF4A92" w:rsidRPr="00EC02CA">
        <w:t>can choose to</w:t>
      </w:r>
      <w:r w:rsidR="00F85767" w:rsidRPr="00EC02CA">
        <w:t>:</w:t>
      </w:r>
      <w:r w:rsidR="00BF4A92" w:rsidRPr="00EC02CA">
        <w:t xml:space="preserve"> </w:t>
      </w:r>
      <w:r w:rsidR="002106B6" w:rsidRPr="00EC02CA">
        <w:t>(a)</w:t>
      </w:r>
      <w:r w:rsidR="00BF4A92" w:rsidRPr="00EC02CA">
        <w:t xml:space="preserve"> </w:t>
      </w:r>
      <w:r w:rsidR="007971AD" w:rsidRPr="00EC02CA">
        <w:t xml:space="preserve">administer </w:t>
      </w:r>
      <w:r w:rsidR="00D3177A" w:rsidRPr="00EC02CA">
        <w:t xml:space="preserve">a formal caution </w:t>
      </w:r>
      <w:r w:rsidR="009D2616" w:rsidRPr="00EC02CA">
        <w:t xml:space="preserve">in </w:t>
      </w:r>
      <w:r w:rsidR="00C55FD3" w:rsidRPr="00EC02CA">
        <w:t xml:space="preserve">the normal meaning of that </w:t>
      </w:r>
      <w:r w:rsidR="002106B6" w:rsidRPr="00EC02CA">
        <w:t>term</w:t>
      </w:r>
      <w:r w:rsidR="00F85767" w:rsidRPr="00EC02CA">
        <w:t>;</w:t>
      </w:r>
      <w:r w:rsidR="002106B6" w:rsidRPr="00EC02CA">
        <w:t xml:space="preserve"> or (b) facilitate a </w:t>
      </w:r>
      <w:r w:rsidR="00D75AE0" w:rsidRPr="00EC02CA">
        <w:t xml:space="preserve">police-run </w:t>
      </w:r>
      <w:r w:rsidR="00F85767" w:rsidRPr="00EC02CA">
        <w:t>‘</w:t>
      </w:r>
      <w:r w:rsidR="00717DF3" w:rsidRPr="00EC02CA">
        <w:t>conference</w:t>
      </w:r>
      <w:r w:rsidR="00F85767" w:rsidRPr="00EC02CA">
        <w:t>’</w:t>
      </w:r>
      <w:r w:rsidR="00D75AE0" w:rsidRPr="00EC02CA">
        <w:t xml:space="preserve"> that is analogous to the </w:t>
      </w:r>
      <w:r w:rsidR="003F7E39" w:rsidRPr="00EC02CA">
        <w:t>community conferences convened by the DECYP</w:t>
      </w:r>
      <w:r w:rsidR="00D75AE0" w:rsidRPr="00EC02CA">
        <w:t>.</w:t>
      </w:r>
      <w:r w:rsidR="00D75AE0" w:rsidRPr="00EC02CA">
        <w:rPr>
          <w:rStyle w:val="FootnoteReference"/>
        </w:rPr>
        <w:footnoteReference w:id="497"/>
      </w:r>
      <w:r w:rsidR="00D75AE0" w:rsidRPr="00EC02CA">
        <w:t xml:space="preserve"> </w:t>
      </w:r>
      <w:r w:rsidR="003D698F" w:rsidRPr="00EC02CA">
        <w:t>In the early 2000s</w:t>
      </w:r>
      <w:r w:rsidR="00F85767" w:rsidRPr="00EC02CA">
        <w:t>,</w:t>
      </w:r>
      <w:r w:rsidR="003A3164" w:rsidRPr="00EC02CA">
        <w:t xml:space="preserve"> </w:t>
      </w:r>
      <w:r w:rsidR="007161D0" w:rsidRPr="00EC02CA">
        <w:t xml:space="preserve">many </w:t>
      </w:r>
      <w:r w:rsidR="00F85767" w:rsidRPr="00EC02CA">
        <w:t xml:space="preserve">such </w:t>
      </w:r>
      <w:r w:rsidR="007161D0" w:rsidRPr="00EC02CA">
        <w:t>‘</w:t>
      </w:r>
      <w:r w:rsidR="00A1115E" w:rsidRPr="00EC02CA">
        <w:t>police conferences’</w:t>
      </w:r>
      <w:r w:rsidR="00D75AE0" w:rsidRPr="00EC02CA">
        <w:t xml:space="preserve"> </w:t>
      </w:r>
      <w:r w:rsidR="00476E64" w:rsidRPr="00EC02CA">
        <w:t>lasted an hour</w:t>
      </w:r>
      <w:r w:rsidR="00F85767" w:rsidRPr="00EC02CA">
        <w:t>,</w:t>
      </w:r>
      <w:r w:rsidR="00A627A8" w:rsidRPr="00EC02CA">
        <w:t xml:space="preserve"> </w:t>
      </w:r>
      <w:r w:rsidR="00444297" w:rsidRPr="00EC02CA">
        <w:t xml:space="preserve">followed </w:t>
      </w:r>
      <w:r w:rsidR="00E70693" w:rsidRPr="00EC02CA">
        <w:t>a similar format to community conferences</w:t>
      </w:r>
      <w:r w:rsidR="00F85767" w:rsidRPr="00EC02CA">
        <w:t>, and were</w:t>
      </w:r>
      <w:r w:rsidR="00D75AE0" w:rsidRPr="00EC02CA">
        <w:t xml:space="preserve"> </w:t>
      </w:r>
      <w:r w:rsidR="007D3A96" w:rsidRPr="00EC02CA">
        <w:t>influenced by aspects of restorative justice.</w:t>
      </w:r>
      <w:r w:rsidR="002C60F2" w:rsidRPr="00EC02CA">
        <w:rPr>
          <w:rStyle w:val="FootnoteReference"/>
        </w:rPr>
        <w:footnoteReference w:id="498"/>
      </w:r>
      <w:r w:rsidR="00D75AE0" w:rsidRPr="00EC02CA">
        <w:t xml:space="preserve"> </w:t>
      </w:r>
      <w:r w:rsidR="00EA4E47" w:rsidRPr="00EC02CA">
        <w:t xml:space="preserve">It is unclear currently how </w:t>
      </w:r>
      <w:r w:rsidR="004200A6" w:rsidRPr="00EC02CA">
        <w:t xml:space="preserve">often </w:t>
      </w:r>
      <w:r w:rsidR="00F85767" w:rsidRPr="00EC02CA">
        <w:t xml:space="preserve">the administration of </w:t>
      </w:r>
      <w:r w:rsidR="004200A6" w:rsidRPr="00EC02CA">
        <w:t xml:space="preserve">formal cautions are conducted </w:t>
      </w:r>
      <w:r w:rsidR="00F85767" w:rsidRPr="00EC02CA">
        <w:t xml:space="preserve">in the format of </w:t>
      </w:r>
      <w:r w:rsidR="004200A6" w:rsidRPr="00EC02CA">
        <w:t xml:space="preserve">a police </w:t>
      </w:r>
      <w:r w:rsidR="00300AC8" w:rsidRPr="00EC02CA">
        <w:t>conference.</w:t>
      </w:r>
      <w:r w:rsidR="00975872" w:rsidRPr="00EC02CA">
        <w:t xml:space="preserve"> </w:t>
      </w:r>
    </w:p>
    <w:p w14:paraId="57EA65B3" w14:textId="77777777" w:rsidR="00D1649A" w:rsidRPr="00EC02CA" w:rsidRDefault="00D1649A" w:rsidP="002F0007">
      <w:pPr>
        <w:pStyle w:val="NormalNumberedTextTLRI"/>
      </w:pPr>
      <w:r w:rsidRPr="00EC02CA">
        <w:t>Formal cautions can be administered by:</w:t>
      </w:r>
    </w:p>
    <w:p w14:paraId="564C5A6B" w14:textId="1729EA05"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a police officer</w:t>
      </w:r>
      <w:r w:rsidR="002D2BA3" w:rsidRPr="00EC02CA">
        <w:rPr>
          <w:rFonts w:eastAsia="Times New Roman" w:cs="Times New Roman"/>
        </w:rPr>
        <w:t>;</w:t>
      </w:r>
      <w:r w:rsidRPr="00EC02CA">
        <w:rPr>
          <w:rFonts w:eastAsia="Times New Roman" w:cs="Times New Roman"/>
          <w:vertAlign w:val="superscript"/>
        </w:rPr>
        <w:footnoteReference w:id="499"/>
      </w:r>
      <w:r w:rsidRPr="00EC02CA">
        <w:rPr>
          <w:rFonts w:eastAsia="Times New Roman" w:cs="Times New Roman"/>
        </w:rPr>
        <w:t xml:space="preserve"> </w:t>
      </w:r>
    </w:p>
    <w:p w14:paraId="4A35A545" w14:textId="3E039211"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an Aboriginal Elder or a representative of a recognised Aboriginal organisation</w:t>
      </w:r>
      <w:r w:rsidR="002D2BA3" w:rsidRPr="00EC02CA">
        <w:rPr>
          <w:rFonts w:eastAsia="Times New Roman" w:cs="Times New Roman"/>
        </w:rPr>
        <w:t>;</w:t>
      </w:r>
      <w:r w:rsidRPr="00EC02CA">
        <w:rPr>
          <w:rFonts w:eastAsia="Times New Roman" w:cs="Times New Roman"/>
          <w:vertAlign w:val="superscript"/>
        </w:rPr>
        <w:footnoteReference w:id="500"/>
      </w:r>
      <w:r w:rsidRPr="00EC02CA">
        <w:rPr>
          <w:rFonts w:eastAsia="Times New Roman" w:cs="Times New Roman"/>
        </w:rPr>
        <w:t xml:space="preserve"> or</w:t>
      </w:r>
    </w:p>
    <w:p w14:paraId="07121F36" w14:textId="77B7D9C6"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 xml:space="preserve">a representative of a religious, ethnic or other community group </w:t>
      </w:r>
      <w:r w:rsidR="00F85767" w:rsidRPr="00EC02CA">
        <w:rPr>
          <w:rFonts w:eastAsia="Times New Roman" w:cs="Times New Roman"/>
        </w:rPr>
        <w:t>o</w:t>
      </w:r>
      <w:r w:rsidRPr="00EC02CA">
        <w:rPr>
          <w:rFonts w:eastAsia="Times New Roman" w:cs="Times New Roman"/>
        </w:rPr>
        <w:t>f the young person.</w:t>
      </w:r>
    </w:p>
    <w:p w14:paraId="5D44179B" w14:textId="2E10FB83" w:rsidR="00D1649A" w:rsidRPr="00EC02CA" w:rsidRDefault="00D1649A" w:rsidP="00A920EC">
      <w:pPr>
        <w:pStyle w:val="NormalNumberedTextTLRI"/>
      </w:pPr>
      <w:r w:rsidRPr="00EC02CA">
        <w:t>If practicable, formal cautions are administered in the presence of a guardian</w:t>
      </w:r>
      <w:r w:rsidR="00F85767" w:rsidRPr="00EC02CA">
        <w:t>,</w:t>
      </w:r>
      <w:r w:rsidRPr="00EC02CA">
        <w:t xml:space="preserve"> or a responsible adult if a guardian is not available.</w:t>
      </w:r>
      <w:r w:rsidRPr="00EC02CA">
        <w:rPr>
          <w:vertAlign w:val="superscript"/>
        </w:rPr>
        <w:footnoteReference w:id="501"/>
      </w:r>
      <w:r w:rsidRPr="00EC02CA">
        <w:t xml:space="preserve"> The</w:t>
      </w:r>
      <w:r w:rsidR="00F85767" w:rsidRPr="00EC02CA">
        <w:t xml:space="preserve"> </w:t>
      </w:r>
      <w:r w:rsidR="00491C85" w:rsidRPr="00EC02CA">
        <w:t>formal</w:t>
      </w:r>
      <w:r w:rsidR="00F85767" w:rsidRPr="00EC02CA">
        <w:t xml:space="preserve"> caution is</w:t>
      </w:r>
      <w:r w:rsidRPr="00EC02CA">
        <w:t xml:space="preserve"> put in writing and signed by the </w:t>
      </w:r>
      <w:r w:rsidR="003A5C20" w:rsidRPr="00EC02CA">
        <w:t>young person</w:t>
      </w:r>
      <w:r w:rsidRPr="00EC02CA">
        <w:t>, the police officer and</w:t>
      </w:r>
      <w:r w:rsidR="00F85767" w:rsidRPr="00EC02CA">
        <w:t>,</w:t>
      </w:r>
      <w:r w:rsidRPr="00EC02CA">
        <w:t xml:space="preserve"> if reasonably practicable</w:t>
      </w:r>
      <w:r w:rsidR="00F85767" w:rsidRPr="00EC02CA">
        <w:t>,</w:t>
      </w:r>
      <w:r w:rsidRPr="00EC02CA">
        <w:t xml:space="preserve"> by the guardian or responsible adult</w:t>
      </w:r>
      <w:r w:rsidR="00F85767" w:rsidRPr="00EC02CA">
        <w:t>.</w:t>
      </w:r>
    </w:p>
    <w:p w14:paraId="184A8FF8" w14:textId="3905A055" w:rsidR="00D1649A" w:rsidRPr="00EC02CA" w:rsidRDefault="00D1649A" w:rsidP="002F0007">
      <w:pPr>
        <w:pStyle w:val="NormalNumberedTextTLRI"/>
      </w:pPr>
      <w:r w:rsidRPr="00EC02CA">
        <w:t xml:space="preserve">A police officer, an Elder (or representative of an Aboriginal organisation) or a community representative who administers a formal caution can also impose a range of obligations on the young person, some of which are akin to sentencing orders. These include requiring the </w:t>
      </w:r>
      <w:r w:rsidR="00241997" w:rsidRPr="00EC02CA">
        <w:t>young person</w:t>
      </w:r>
      <w:r w:rsidRPr="00EC02CA">
        <w:t xml:space="preserve"> to enter an undertaking to:</w:t>
      </w:r>
    </w:p>
    <w:p w14:paraId="7F81DDD4" w14:textId="09383B43"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pay compensation</w:t>
      </w:r>
      <w:r w:rsidR="002D2BA3" w:rsidRPr="00EC02CA">
        <w:rPr>
          <w:rFonts w:eastAsia="Times New Roman" w:cs="Times New Roman"/>
        </w:rPr>
        <w:t>;</w:t>
      </w:r>
    </w:p>
    <w:p w14:paraId="34280BD2" w14:textId="3A028229"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make restitution</w:t>
      </w:r>
      <w:r w:rsidR="002D2BA3" w:rsidRPr="00EC02CA">
        <w:rPr>
          <w:rFonts w:eastAsia="Times New Roman" w:cs="Times New Roman"/>
        </w:rPr>
        <w:t>;</w:t>
      </w:r>
    </w:p>
    <w:p w14:paraId="7F5A503A" w14:textId="3033C8B2"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 xml:space="preserve">perform community service for a period of not more than 35 hours (if the youth is over 13) for the benefit of the </w:t>
      </w:r>
      <w:r w:rsidR="00886B70" w:rsidRPr="00EC02CA">
        <w:rPr>
          <w:rFonts w:eastAsia="Times New Roman" w:cs="Times New Roman"/>
        </w:rPr>
        <w:t>victim-survivor</w:t>
      </w:r>
      <w:r w:rsidR="00F85767" w:rsidRPr="00EC02CA">
        <w:rPr>
          <w:rFonts w:eastAsia="Times New Roman" w:cs="Times New Roman"/>
        </w:rPr>
        <w:t>,</w:t>
      </w:r>
      <w:r w:rsidR="003F6F84" w:rsidRPr="00EC02CA">
        <w:rPr>
          <w:rFonts w:eastAsia="Times New Roman" w:cs="Times New Roman"/>
        </w:rPr>
        <w:t xml:space="preserve"> </w:t>
      </w:r>
      <w:r w:rsidRPr="00EC02CA">
        <w:rPr>
          <w:rFonts w:eastAsia="Times New Roman" w:cs="Times New Roman"/>
        </w:rPr>
        <w:t xml:space="preserve">or attend training or education, or </w:t>
      </w:r>
      <w:r w:rsidR="00F85767" w:rsidRPr="00EC02CA">
        <w:rPr>
          <w:rFonts w:eastAsia="Times New Roman" w:cs="Times New Roman"/>
        </w:rPr>
        <w:t xml:space="preserve">attend </w:t>
      </w:r>
      <w:r w:rsidRPr="00EC02CA">
        <w:rPr>
          <w:rFonts w:eastAsia="Times New Roman" w:cs="Times New Roman"/>
        </w:rPr>
        <w:t>a program to assist the youth reintegrate into community</w:t>
      </w:r>
      <w:r w:rsidR="00F85767" w:rsidRPr="00EC02CA">
        <w:rPr>
          <w:rFonts w:eastAsia="Times New Roman" w:cs="Times New Roman"/>
        </w:rPr>
        <w:t>,</w:t>
      </w:r>
      <w:r w:rsidRPr="00EC02CA">
        <w:rPr>
          <w:rFonts w:eastAsia="Times New Roman" w:cs="Times New Roman"/>
        </w:rPr>
        <w:t xml:space="preserve"> or </w:t>
      </w:r>
      <w:r w:rsidR="00F85767" w:rsidRPr="00EC02CA">
        <w:rPr>
          <w:rFonts w:eastAsia="Times New Roman" w:cs="Times New Roman"/>
        </w:rPr>
        <w:t xml:space="preserve">attend </w:t>
      </w:r>
      <w:r w:rsidRPr="00EC02CA">
        <w:rPr>
          <w:rFonts w:eastAsia="Times New Roman" w:cs="Times New Roman"/>
        </w:rPr>
        <w:t>a health and personal development program.</w:t>
      </w:r>
      <w:r w:rsidRPr="00EC02CA">
        <w:rPr>
          <w:rFonts w:eastAsia="Times New Roman" w:cs="Times New Roman"/>
          <w:vertAlign w:val="superscript"/>
        </w:rPr>
        <w:footnoteReference w:id="502"/>
      </w:r>
      <w:r w:rsidRPr="00EC02CA">
        <w:rPr>
          <w:rFonts w:eastAsia="Times New Roman" w:cs="Times New Roman"/>
        </w:rPr>
        <w:t xml:space="preserve"> If the youth is under 13, the undertaking may relate to </w:t>
      </w:r>
      <w:r w:rsidR="00F85767" w:rsidRPr="00EC02CA">
        <w:rPr>
          <w:rFonts w:eastAsia="Times New Roman" w:cs="Times New Roman"/>
        </w:rPr>
        <w:t xml:space="preserve">the youth’s </w:t>
      </w:r>
      <w:r w:rsidRPr="00EC02CA">
        <w:rPr>
          <w:rFonts w:eastAsia="Times New Roman" w:cs="Times New Roman"/>
        </w:rPr>
        <w:t>education</w:t>
      </w:r>
      <w:r w:rsidR="00F85767" w:rsidRPr="00EC02CA">
        <w:rPr>
          <w:rFonts w:eastAsia="Times New Roman" w:cs="Times New Roman"/>
        </w:rPr>
        <w:t>,</w:t>
      </w:r>
      <w:r w:rsidRPr="00EC02CA">
        <w:rPr>
          <w:rFonts w:eastAsia="Times New Roman" w:cs="Times New Roman"/>
        </w:rPr>
        <w:t xml:space="preserve"> training</w:t>
      </w:r>
      <w:r w:rsidR="00F85767" w:rsidRPr="00EC02CA">
        <w:rPr>
          <w:rFonts w:eastAsia="Times New Roman" w:cs="Times New Roman"/>
        </w:rPr>
        <w:t>,</w:t>
      </w:r>
      <w:r w:rsidRPr="00EC02CA">
        <w:rPr>
          <w:rFonts w:eastAsia="Times New Roman" w:cs="Times New Roman"/>
        </w:rPr>
        <w:t xml:space="preserve"> health </w:t>
      </w:r>
      <w:r w:rsidR="00F85767" w:rsidRPr="00EC02CA">
        <w:rPr>
          <w:rFonts w:eastAsia="Times New Roman" w:cs="Times New Roman"/>
        </w:rPr>
        <w:t xml:space="preserve">or </w:t>
      </w:r>
      <w:r w:rsidRPr="00EC02CA">
        <w:rPr>
          <w:rFonts w:eastAsia="Times New Roman" w:cs="Times New Roman"/>
        </w:rPr>
        <w:t>personal development</w:t>
      </w:r>
      <w:r w:rsidR="002D2BA3" w:rsidRPr="00EC02CA">
        <w:rPr>
          <w:rFonts w:eastAsia="Times New Roman" w:cs="Times New Roman"/>
        </w:rPr>
        <w:t>;</w:t>
      </w:r>
      <w:r w:rsidRPr="00EC02CA">
        <w:rPr>
          <w:rFonts w:eastAsia="Times New Roman" w:cs="Times New Roman"/>
          <w:vertAlign w:val="superscript"/>
        </w:rPr>
        <w:footnoteReference w:id="503"/>
      </w:r>
    </w:p>
    <w:p w14:paraId="46C4B236" w14:textId="045E805A"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 xml:space="preserve">apologise to the </w:t>
      </w:r>
      <w:r w:rsidR="00886B70" w:rsidRPr="00EC02CA">
        <w:rPr>
          <w:rFonts w:eastAsia="Times New Roman" w:cs="Times New Roman"/>
        </w:rPr>
        <w:t>victim-survivor</w:t>
      </w:r>
      <w:r w:rsidR="002D2BA3" w:rsidRPr="00EC02CA">
        <w:rPr>
          <w:rFonts w:eastAsia="Times New Roman" w:cs="Times New Roman"/>
        </w:rPr>
        <w:t>; and/or</w:t>
      </w:r>
    </w:p>
    <w:p w14:paraId="02F5A640" w14:textId="44AEB060" w:rsidR="00D1649A" w:rsidRPr="00EC02CA" w:rsidRDefault="002D2BA3" w:rsidP="00D1649A">
      <w:pPr>
        <w:numPr>
          <w:ilvl w:val="0"/>
          <w:numId w:val="1"/>
        </w:numPr>
        <w:spacing w:after="120"/>
        <w:rPr>
          <w:rFonts w:eastAsia="Times New Roman" w:cs="Times New Roman"/>
        </w:rPr>
      </w:pPr>
      <w:r w:rsidRPr="00EC02CA">
        <w:rPr>
          <w:rFonts w:eastAsia="Times New Roman" w:cs="Times New Roman"/>
        </w:rPr>
        <w:t xml:space="preserve">do </w:t>
      </w:r>
      <w:r w:rsidR="00D1649A" w:rsidRPr="00EC02CA">
        <w:rPr>
          <w:rFonts w:eastAsia="Times New Roman" w:cs="Times New Roman"/>
        </w:rPr>
        <w:t>anything else that may be appropriate in the circumstances of the case.</w:t>
      </w:r>
      <w:r w:rsidR="00D1649A" w:rsidRPr="00EC02CA">
        <w:rPr>
          <w:rFonts w:eastAsia="Times New Roman" w:cs="Times New Roman"/>
          <w:vertAlign w:val="superscript"/>
        </w:rPr>
        <w:footnoteReference w:id="504"/>
      </w:r>
    </w:p>
    <w:p w14:paraId="24F7968E" w14:textId="20B0080C" w:rsidR="00D1649A" w:rsidRPr="00EC02CA" w:rsidRDefault="00D1649A" w:rsidP="002F0007">
      <w:pPr>
        <w:pStyle w:val="NormalNumberedTextTLRI"/>
      </w:pPr>
      <w:r w:rsidRPr="00EC02CA">
        <w:t>Undertakings made under a formal caution have a maximum length of 3 months.</w:t>
      </w:r>
      <w:r w:rsidRPr="00EC02CA">
        <w:rPr>
          <w:vertAlign w:val="superscript"/>
        </w:rPr>
        <w:footnoteReference w:id="505"/>
      </w:r>
      <w:r w:rsidRPr="00EC02CA">
        <w:t xml:space="preserve"> If the young person signs the formal caution and substantially fulfils the undertaking, then </w:t>
      </w:r>
      <w:r w:rsidR="00F85767" w:rsidRPr="00EC02CA">
        <w:t>the</w:t>
      </w:r>
      <w:r w:rsidRPr="00EC02CA">
        <w:t xml:space="preserve"> young person is not liable to be prosecuted for the offence.</w:t>
      </w:r>
      <w:r w:rsidRPr="00EC02CA">
        <w:rPr>
          <w:vertAlign w:val="superscript"/>
        </w:rPr>
        <w:footnoteReference w:id="506"/>
      </w:r>
      <w:r w:rsidRPr="00EC02CA">
        <w:t xml:space="preserve"> There is also provision for </w:t>
      </w:r>
      <w:r w:rsidR="00F85767" w:rsidRPr="00EC02CA">
        <w:t xml:space="preserve">a </w:t>
      </w:r>
      <w:r w:rsidRPr="00EC02CA">
        <w:t>police officer to take no further action</w:t>
      </w:r>
      <w:r w:rsidR="00F85767" w:rsidRPr="00EC02CA">
        <w:t>,</w:t>
      </w:r>
      <w:r w:rsidRPr="00EC02CA">
        <w:t xml:space="preserve"> or to administer another formal caution</w:t>
      </w:r>
      <w:r w:rsidR="00F85767" w:rsidRPr="00EC02CA">
        <w:t>,</w:t>
      </w:r>
      <w:r w:rsidRPr="00EC02CA">
        <w:t xml:space="preserve"> if a young person does not substantially fulfil </w:t>
      </w:r>
      <w:r w:rsidR="00F85767" w:rsidRPr="00EC02CA">
        <w:t xml:space="preserve">the </w:t>
      </w:r>
      <w:r w:rsidRPr="00EC02CA">
        <w:t>undertakings made at a formal caution (if the young person is 13 year or older).</w:t>
      </w:r>
      <w:r w:rsidRPr="00EC02CA">
        <w:rPr>
          <w:vertAlign w:val="superscript"/>
        </w:rPr>
        <w:footnoteReference w:id="507"/>
      </w:r>
      <w:r w:rsidRPr="00EC02CA">
        <w:t xml:space="preserve"> In addition, the young person may be prosecuted for the offence if they have failed to substantially fulfil the undertaking.</w:t>
      </w:r>
      <w:r w:rsidRPr="00EC02CA">
        <w:rPr>
          <w:rStyle w:val="FootnoteReference"/>
        </w:rPr>
        <w:footnoteReference w:id="508"/>
      </w:r>
      <w:r w:rsidRPr="00EC02CA">
        <w:t xml:space="preserve"> A record is kept of the formal caution.</w:t>
      </w:r>
      <w:r w:rsidRPr="00EC02CA">
        <w:rPr>
          <w:vertAlign w:val="superscript"/>
        </w:rPr>
        <w:footnoteReference w:id="509"/>
      </w:r>
    </w:p>
    <w:p w14:paraId="49578CFF" w14:textId="52ADBF5F" w:rsidR="00D1649A" w:rsidRPr="00EC02CA" w:rsidRDefault="00D1649A" w:rsidP="002F0007">
      <w:pPr>
        <w:pStyle w:val="NormalNumberedTextTLRI"/>
      </w:pPr>
      <w:r w:rsidRPr="00EC02CA">
        <w:t xml:space="preserve">As discussed further at </w:t>
      </w:r>
      <w:r w:rsidR="007D0F98" w:rsidRPr="00EC02CA">
        <w:t>[</w:t>
      </w:r>
      <w:r w:rsidR="00CA443E" w:rsidRPr="00EC02CA">
        <w:fldChar w:fldCharType="begin"/>
      </w:r>
      <w:r w:rsidR="00CA443E" w:rsidRPr="00EC02CA">
        <w:instrText xml:space="preserve"> REF _Ref218253408 \r \h </w:instrText>
      </w:r>
      <w:r w:rsidR="00CA443E" w:rsidRPr="00EC02CA">
        <w:fldChar w:fldCharType="separate"/>
      </w:r>
      <w:r w:rsidR="007D7830">
        <w:t>7.6</w:t>
      </w:r>
      <w:r w:rsidR="00CA443E" w:rsidRPr="00EC02CA">
        <w:fldChar w:fldCharType="end"/>
      </w:r>
      <w:r w:rsidR="007D0F98" w:rsidRPr="00EC02CA">
        <w:t>]</w:t>
      </w:r>
      <w:r w:rsidRPr="00EC02CA">
        <w:t xml:space="preserve">, the extent of the powers provided at a formal caution for undertakings to be imposed are unusual features of the Tasmanian youth justice system. Only in South Australia and Tasmania is there </w:t>
      </w:r>
      <w:r w:rsidR="00FA1651" w:rsidRPr="00EC02CA">
        <w:t xml:space="preserve">a </w:t>
      </w:r>
      <w:r w:rsidRPr="00EC02CA">
        <w:t>power, as part of a police caution, for an undertaking in the nature of a sanction to be imposed (such as community service</w:t>
      </w:r>
      <w:r w:rsidR="00FA1651" w:rsidRPr="00EC02CA">
        <w:t>,</w:t>
      </w:r>
      <w:r w:rsidRPr="00EC02CA">
        <w:t xml:space="preserve"> or attending a training or education program).</w:t>
      </w:r>
      <w:r w:rsidRPr="00EC02CA">
        <w:rPr>
          <w:rStyle w:val="FootnoteReference"/>
        </w:rPr>
        <w:footnoteReference w:id="510"/>
      </w:r>
      <w:r w:rsidRPr="00EC02CA">
        <w:t xml:space="preserve"> </w:t>
      </w:r>
      <w:r w:rsidR="00A46A2A" w:rsidRPr="00EC02CA">
        <w:t xml:space="preserve">Importantly, Tasmania is the only </w:t>
      </w:r>
      <w:r w:rsidR="0044750D" w:rsidRPr="00EC02CA">
        <w:t xml:space="preserve">Australian jurisdiction </w:t>
      </w:r>
      <w:r w:rsidR="008A6DCE" w:rsidRPr="00EC02CA">
        <w:t xml:space="preserve">that makes those undertakings enforceable </w:t>
      </w:r>
      <w:r w:rsidR="00A71755" w:rsidRPr="00EC02CA">
        <w:t xml:space="preserve">through prosecution if </w:t>
      </w:r>
      <w:r w:rsidR="00FA1651" w:rsidRPr="00EC02CA">
        <w:t xml:space="preserve">the </w:t>
      </w:r>
      <w:r w:rsidR="00A71755" w:rsidRPr="00EC02CA">
        <w:t xml:space="preserve">undertakings are </w:t>
      </w:r>
      <w:r w:rsidR="007B3CDE" w:rsidRPr="00EC02CA">
        <w:t xml:space="preserve">not fulfilled. </w:t>
      </w:r>
    </w:p>
    <w:p w14:paraId="3EC8E116" w14:textId="31910A13" w:rsidR="00D1649A" w:rsidRPr="00EC02CA" w:rsidRDefault="00D1649A" w:rsidP="002F0007">
      <w:pPr>
        <w:pStyle w:val="NormalNumberedTextTLRI"/>
      </w:pPr>
      <w:r w:rsidRPr="00EC02CA">
        <w:rPr>
          <w:b/>
          <w:bCs/>
        </w:rPr>
        <w:t>Community conferences</w:t>
      </w:r>
      <w:r w:rsidRPr="00EC02CA">
        <w:t xml:space="preserve">. </w:t>
      </w:r>
      <w:r w:rsidR="001311FF" w:rsidRPr="00EC02CA">
        <w:t>Influenced by</w:t>
      </w:r>
      <w:r w:rsidR="00410E17" w:rsidRPr="00EC02CA">
        <w:t xml:space="preserve"> principles of restorative justice, community conferences in Tasmania reflect the model of family group conferences that were established in New Zealand.</w:t>
      </w:r>
      <w:r w:rsidR="00410E17" w:rsidRPr="00EC02CA">
        <w:rPr>
          <w:rStyle w:val="FootnoteReference"/>
        </w:rPr>
        <w:footnoteReference w:id="511"/>
      </w:r>
      <w:r w:rsidR="385A0B8D" w:rsidRPr="00EC02CA">
        <w:t xml:space="preserve"> </w:t>
      </w:r>
      <w:r w:rsidRPr="00EC02CA">
        <w:t>A community conference is convened by DECYP and consists of an independent facilitator, the young person, other invited person</w:t>
      </w:r>
      <w:r w:rsidR="00F75738" w:rsidRPr="00EC02CA">
        <w:t>s</w:t>
      </w:r>
      <w:r w:rsidRPr="00EC02CA">
        <w:t xml:space="preserve"> (such as guardians, any relative who may be able to participate usefully in the conference, any person with a close association with the young person or who has been counselling or aiding the young person, the </w:t>
      </w:r>
      <w:r w:rsidR="00886B70" w:rsidRPr="00EC02CA">
        <w:t>victim-survivor</w:t>
      </w:r>
      <w:r w:rsidRPr="00EC02CA">
        <w:t xml:space="preserve">, a youth justice worker, Elder or other representative of the Aboriginal community), and the police officer who requested the conference or </w:t>
      </w:r>
      <w:r w:rsidR="00F75738" w:rsidRPr="00EC02CA">
        <w:t xml:space="preserve">their </w:t>
      </w:r>
      <w:r w:rsidRPr="00EC02CA">
        <w:t>representative.</w:t>
      </w:r>
      <w:r w:rsidRPr="00EC02CA">
        <w:rPr>
          <w:vertAlign w:val="superscript"/>
        </w:rPr>
        <w:footnoteReference w:id="512"/>
      </w:r>
      <w:r w:rsidRPr="00EC02CA">
        <w:t xml:space="preserve"> </w:t>
      </w:r>
    </w:p>
    <w:p w14:paraId="3B6FE9A6" w14:textId="243C4D2D" w:rsidR="00D1649A" w:rsidRPr="00EC02CA" w:rsidRDefault="00D1649A" w:rsidP="002F0007">
      <w:pPr>
        <w:pStyle w:val="NormalNumberedTextTLRI"/>
      </w:pPr>
      <w:r w:rsidRPr="00EC02CA">
        <w:t>At a community conference, the following sanctions may be imposed o</w:t>
      </w:r>
      <w:r w:rsidR="00F75738" w:rsidRPr="00EC02CA">
        <w:t>n</w:t>
      </w:r>
      <w:r w:rsidRPr="00EC02CA">
        <w:t xml:space="preserve"> the young person:</w:t>
      </w:r>
    </w:p>
    <w:p w14:paraId="4F636B48" w14:textId="38697BC2"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a caution</w:t>
      </w:r>
    </w:p>
    <w:p w14:paraId="34178B2A" w14:textId="77777777"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a requirement to enter an undertaking to pay compensation</w:t>
      </w:r>
    </w:p>
    <w:p w14:paraId="06429437" w14:textId="77777777"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a requirement to enter an undertaking to make restitution</w:t>
      </w:r>
    </w:p>
    <w:p w14:paraId="433CC02C" w14:textId="77777777"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 xml:space="preserve">a requirement to enter an undertaking to perform community service for a period of not more than 70 hours (if the youth is over 13) </w:t>
      </w:r>
    </w:p>
    <w:p w14:paraId="0CA528B0" w14:textId="7C5BC1F1"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 xml:space="preserve">a requirement to enter an undertaking to apologise to the </w:t>
      </w:r>
      <w:r w:rsidR="00886B70" w:rsidRPr="00EC02CA">
        <w:rPr>
          <w:rFonts w:eastAsia="Times New Roman" w:cs="Times New Roman"/>
        </w:rPr>
        <w:t>victim-survivor</w:t>
      </w:r>
    </w:p>
    <w:p w14:paraId="37168D1A" w14:textId="77777777" w:rsidR="00D1649A" w:rsidRPr="00EC02CA" w:rsidRDefault="00D1649A" w:rsidP="00D1649A">
      <w:pPr>
        <w:numPr>
          <w:ilvl w:val="0"/>
          <w:numId w:val="1"/>
        </w:numPr>
        <w:spacing w:after="120"/>
        <w:rPr>
          <w:rFonts w:eastAsia="Times New Roman" w:cs="Times New Roman"/>
        </w:rPr>
      </w:pPr>
      <w:r w:rsidRPr="00EC02CA">
        <w:rPr>
          <w:rFonts w:eastAsia="Times New Roman" w:cs="Times New Roman"/>
        </w:rPr>
        <w:t>a requirement to enter an undertaking to do anything else that may be appropriate in the circumstances.</w:t>
      </w:r>
      <w:r w:rsidRPr="00EC02CA">
        <w:rPr>
          <w:rFonts w:eastAsia="Times New Roman" w:cs="Times New Roman"/>
          <w:vertAlign w:val="superscript"/>
        </w:rPr>
        <w:footnoteReference w:id="513"/>
      </w:r>
    </w:p>
    <w:p w14:paraId="772FFBE1" w14:textId="5A0131DD" w:rsidR="00D1649A" w:rsidRPr="00EC02CA" w:rsidRDefault="008627A9" w:rsidP="002F0007">
      <w:pPr>
        <w:pStyle w:val="NormalNumberedTextTLRI"/>
      </w:pPr>
      <w:r w:rsidRPr="00EC02CA">
        <w:t>U</w:t>
      </w:r>
      <w:r w:rsidR="004E2BA5" w:rsidRPr="00EC02CA">
        <w:t>ndertakings for the young person</w:t>
      </w:r>
      <w:r w:rsidR="00D1649A" w:rsidRPr="00EC02CA">
        <w:t xml:space="preserve"> are </w:t>
      </w:r>
      <w:r w:rsidR="00BC3495" w:rsidRPr="00EC02CA">
        <w:t>agreed</w:t>
      </w:r>
      <w:r w:rsidR="00D1649A" w:rsidRPr="00EC02CA">
        <w:t xml:space="preserve">, where practicable, by consensus. If the </w:t>
      </w:r>
      <w:r w:rsidR="00C244E2" w:rsidRPr="00EC02CA">
        <w:t>young person</w:t>
      </w:r>
      <w:r w:rsidR="00D1649A" w:rsidRPr="00EC02CA">
        <w:t xml:space="preserve">, the police officer and the </w:t>
      </w:r>
      <w:r w:rsidR="00886B70" w:rsidRPr="00EC02CA">
        <w:t>victim-survivor</w:t>
      </w:r>
      <w:r w:rsidR="00D1649A" w:rsidRPr="00EC02CA">
        <w:t xml:space="preserve"> (if present) cannot reach an agreement, then the community conference fails to reach an agreement.</w:t>
      </w:r>
      <w:r w:rsidR="00D1649A" w:rsidRPr="00EC02CA">
        <w:rPr>
          <w:vertAlign w:val="superscript"/>
        </w:rPr>
        <w:footnoteReference w:id="514"/>
      </w:r>
      <w:r w:rsidR="00D1649A" w:rsidRPr="00EC02CA">
        <w:t xml:space="preserve"> Undertakings made at a community conference have a maximum length of 12 months,</w:t>
      </w:r>
      <w:r w:rsidR="00D1649A" w:rsidRPr="00EC02CA">
        <w:rPr>
          <w:vertAlign w:val="superscript"/>
        </w:rPr>
        <w:footnoteReference w:id="515"/>
      </w:r>
      <w:r w:rsidR="00D1649A" w:rsidRPr="00EC02CA">
        <w:t xml:space="preserve"> and the decision is recorded in writing and signed by the young person, the police officer and the </w:t>
      </w:r>
      <w:r w:rsidR="00886B70" w:rsidRPr="00EC02CA">
        <w:t>victim-survivor</w:t>
      </w:r>
      <w:r w:rsidR="003F6F84" w:rsidRPr="00EC02CA">
        <w:t xml:space="preserve"> </w:t>
      </w:r>
      <w:r w:rsidR="00D1649A" w:rsidRPr="00EC02CA">
        <w:t>(if present).</w:t>
      </w:r>
      <w:r w:rsidR="00D1649A" w:rsidRPr="00EC02CA">
        <w:rPr>
          <w:vertAlign w:val="superscript"/>
        </w:rPr>
        <w:footnoteReference w:id="516"/>
      </w:r>
    </w:p>
    <w:p w14:paraId="06DED3FD" w14:textId="7E3D8B59" w:rsidR="00D1649A" w:rsidRPr="00EC02CA" w:rsidRDefault="00D1649A" w:rsidP="002F0007">
      <w:pPr>
        <w:pStyle w:val="NormalNumberedTextTLRI"/>
      </w:pPr>
      <w:r w:rsidRPr="00EC02CA">
        <w:t>A young person cannot be prosecuted for an offence if a caution was administered at a community conference and there was no requirement to enter into an undertaking</w:t>
      </w:r>
      <w:r w:rsidR="00F75738" w:rsidRPr="00EC02CA">
        <w:t>,</w:t>
      </w:r>
      <w:r w:rsidRPr="00EC02CA">
        <w:t xml:space="preserve"> or </w:t>
      </w:r>
      <w:r w:rsidR="00F75738" w:rsidRPr="00EC02CA">
        <w:t xml:space="preserve">if </w:t>
      </w:r>
      <w:r w:rsidRPr="00EC02CA">
        <w:t xml:space="preserve">undertakings were entered </w:t>
      </w:r>
      <w:r w:rsidR="00F75738" w:rsidRPr="00EC02CA">
        <w:t xml:space="preserve">into </w:t>
      </w:r>
      <w:r w:rsidRPr="00EC02CA">
        <w:t>and the young person performs the obligations arising out of those undertakings.</w:t>
      </w:r>
      <w:r w:rsidRPr="00EC02CA">
        <w:rPr>
          <w:vertAlign w:val="superscript"/>
        </w:rPr>
        <w:footnoteReference w:id="517"/>
      </w:r>
      <w:r w:rsidRPr="00EC02CA">
        <w:t xml:space="preserve"> Proceedings may be commenced if the young person does not </w:t>
      </w:r>
      <w:r w:rsidR="000D3366" w:rsidRPr="00EC02CA">
        <w:t>attend</w:t>
      </w:r>
      <w:r w:rsidRPr="00EC02CA">
        <w:t xml:space="preserve"> the conference, a decision is not made at the conference, the young person does not enter into an undertaking as required</w:t>
      </w:r>
      <w:r w:rsidR="00F75738" w:rsidRPr="00EC02CA">
        <w:t>,</w:t>
      </w:r>
      <w:r w:rsidRPr="00EC02CA">
        <w:t xml:space="preserve"> or </w:t>
      </w:r>
      <w:r w:rsidR="00F75738" w:rsidRPr="00EC02CA">
        <w:t xml:space="preserve">the young person </w:t>
      </w:r>
      <w:r w:rsidRPr="00EC02CA">
        <w:t xml:space="preserve">fails to perform the obligations arising from undertakings entered into at a </w:t>
      </w:r>
      <w:r w:rsidR="00F75738" w:rsidRPr="00EC02CA">
        <w:t xml:space="preserve">the </w:t>
      </w:r>
      <w:r w:rsidRPr="00EC02CA">
        <w:t>conference.</w:t>
      </w:r>
      <w:r w:rsidRPr="00EC02CA">
        <w:rPr>
          <w:vertAlign w:val="superscript"/>
        </w:rPr>
        <w:footnoteReference w:id="518"/>
      </w:r>
    </w:p>
    <w:p w14:paraId="5E6B3205" w14:textId="39426806" w:rsidR="006B1F4A" w:rsidRPr="00EC02CA" w:rsidRDefault="006B1F4A" w:rsidP="00A920EC">
      <w:pPr>
        <w:pStyle w:val="TLRISubheading"/>
      </w:pPr>
      <w:bookmarkStart w:id="276" w:name="_Toc211849413"/>
      <w:bookmarkStart w:id="277" w:name="_Toc218157313"/>
      <w:r w:rsidRPr="00EC02CA">
        <w:t xml:space="preserve">Diversionary powers of the </w:t>
      </w:r>
      <w:r w:rsidR="009A1331" w:rsidRPr="00EC02CA">
        <w:t>Court</w:t>
      </w:r>
      <w:bookmarkEnd w:id="276"/>
      <w:bookmarkEnd w:id="277"/>
    </w:p>
    <w:p w14:paraId="022F2248" w14:textId="1A17DF34" w:rsidR="009A1331" w:rsidRPr="00EC02CA" w:rsidRDefault="009A1331" w:rsidP="002F0007">
      <w:pPr>
        <w:pStyle w:val="NormalNumberedTextTLRI"/>
      </w:pPr>
      <w:r w:rsidRPr="00EC02CA">
        <w:t xml:space="preserve">Following a finding of guilt or a plea of guilty, instead of proceeding to sentence, the </w:t>
      </w:r>
      <w:r w:rsidRPr="00EC02CA">
        <w:rPr>
          <w:i/>
          <w:iCs/>
        </w:rPr>
        <w:t>Youth Justice Act 1997</w:t>
      </w:r>
      <w:r w:rsidRPr="00EC02CA">
        <w:t xml:space="preserve"> </w:t>
      </w:r>
      <w:r w:rsidR="009A52CD" w:rsidRPr="00EC02CA">
        <w:t xml:space="preserve">(Tas) </w:t>
      </w:r>
      <w:r w:rsidRPr="00EC02CA">
        <w:t xml:space="preserve">provides that the court </w:t>
      </w:r>
      <w:r w:rsidR="009A52CD" w:rsidRPr="00EC02CA">
        <w:t>may</w:t>
      </w:r>
      <w:r w:rsidRPr="00EC02CA">
        <w:t xml:space="preserve"> divert a young person. The Court is able to:</w:t>
      </w:r>
    </w:p>
    <w:p w14:paraId="6542D96E" w14:textId="0CD6D970" w:rsidR="009A1331" w:rsidRPr="00EC02CA" w:rsidRDefault="00F94AA9" w:rsidP="00A920EC">
      <w:pPr>
        <w:pStyle w:val="NumberlessNormalText"/>
        <w:numPr>
          <w:ilvl w:val="0"/>
          <w:numId w:val="175"/>
        </w:numPr>
      </w:pPr>
      <w:r w:rsidRPr="00EC02CA">
        <w:t>o</w:t>
      </w:r>
      <w:r w:rsidR="009A1331" w:rsidRPr="00EC02CA">
        <w:t>rder the young person to attend a community conference.</w:t>
      </w:r>
      <w:r w:rsidR="009A1331" w:rsidRPr="00EC02CA">
        <w:rPr>
          <w:rStyle w:val="FootnoteReference"/>
        </w:rPr>
        <w:footnoteReference w:id="519"/>
      </w:r>
      <w:r w:rsidR="009A1331" w:rsidRPr="00EC02CA">
        <w:t xml:space="preserve"> As noted, there are several sanctions that can be imposed on a young person at community conference including administering a caution, attending community service, providing an apology</w:t>
      </w:r>
      <w:r w:rsidR="009A52CD" w:rsidRPr="00EC02CA">
        <w:t>,</w:t>
      </w:r>
      <w:r w:rsidR="009A1331" w:rsidRPr="00EC02CA">
        <w:t xml:space="preserve"> or entering </w:t>
      </w:r>
      <w:r w:rsidR="009A52CD" w:rsidRPr="00EC02CA">
        <w:t xml:space="preserve">into </w:t>
      </w:r>
      <w:r w:rsidR="009A1331" w:rsidRPr="00EC02CA">
        <w:t>an undertaking.</w:t>
      </w:r>
      <w:r w:rsidR="009A1331" w:rsidRPr="00EC02CA">
        <w:rPr>
          <w:rStyle w:val="FootnoteReference"/>
        </w:rPr>
        <w:footnoteReference w:id="520"/>
      </w:r>
      <w:r w:rsidR="009A1331" w:rsidRPr="00EC02CA">
        <w:t xml:space="preserve"> Following a conference, the charges are dismissed if the young person was not required to enter any undertaking or has fulfilled all undertakings.</w:t>
      </w:r>
      <w:r w:rsidR="009A1331" w:rsidRPr="00EC02CA">
        <w:rPr>
          <w:rStyle w:val="FootnoteReference"/>
        </w:rPr>
        <w:footnoteReference w:id="521"/>
      </w:r>
      <w:r w:rsidR="009A1331" w:rsidRPr="00EC02CA">
        <w:t xml:space="preserve"> The Youth Justice Division will proceed to sentence the young person if the community conference is unsuccessful or the young person fails to fulfil the</w:t>
      </w:r>
      <w:r w:rsidRPr="00EC02CA">
        <w:t>ir</w:t>
      </w:r>
      <w:r w:rsidR="009A1331" w:rsidRPr="00EC02CA">
        <w:t xml:space="preserve"> undertakings</w:t>
      </w:r>
      <w:r w:rsidRPr="00EC02CA">
        <w:t>;</w:t>
      </w:r>
      <w:r w:rsidR="009A1331" w:rsidRPr="00EC02CA">
        <w:rPr>
          <w:rStyle w:val="FootnoteReference"/>
        </w:rPr>
        <w:footnoteReference w:id="522"/>
      </w:r>
      <w:r w:rsidRPr="00EC02CA">
        <w:t xml:space="preserve"> or</w:t>
      </w:r>
    </w:p>
    <w:p w14:paraId="509C306C" w14:textId="647C6C00" w:rsidR="009A1331" w:rsidRPr="00EC02CA" w:rsidRDefault="00F94AA9" w:rsidP="00A920EC">
      <w:pPr>
        <w:pStyle w:val="NumberlessNormalText"/>
      </w:pPr>
      <w:r w:rsidRPr="00EC02CA">
        <w:t>d</w:t>
      </w:r>
      <w:r w:rsidR="009A1331" w:rsidRPr="00EC02CA">
        <w:t xml:space="preserve">efer sentencing to allow </w:t>
      </w:r>
      <w:r w:rsidRPr="00EC02CA">
        <w:t xml:space="preserve">the young person </w:t>
      </w:r>
      <w:r w:rsidR="009A1331" w:rsidRPr="00EC02CA">
        <w:t>to take part in an intervention plan.</w:t>
      </w:r>
      <w:r w:rsidR="009A1331" w:rsidRPr="00EC02CA">
        <w:rPr>
          <w:rStyle w:val="FootnoteReference"/>
        </w:rPr>
        <w:footnoteReference w:id="523"/>
      </w:r>
      <w:r w:rsidR="009A1331" w:rsidRPr="00EC02CA">
        <w:t xml:space="preserve"> An intervention plan specifies the activities or programs that a youth is expected to undertake while on bail granted for the purpose of deferring sentence.</w:t>
      </w:r>
      <w:r w:rsidR="009A1331" w:rsidRPr="00EC02CA">
        <w:rPr>
          <w:rStyle w:val="FootnoteReference"/>
        </w:rPr>
        <w:footnoteReference w:id="524"/>
      </w:r>
    </w:p>
    <w:p w14:paraId="0B922F59" w14:textId="2F9CA6B2" w:rsidR="009A1331" w:rsidRPr="00EC02CA" w:rsidRDefault="009A1331" w:rsidP="002F0007">
      <w:pPr>
        <w:pStyle w:val="NormalNumberedTextTLRI"/>
      </w:pPr>
      <w:r w:rsidRPr="00EC02CA">
        <w:t xml:space="preserve">In addition, when sentencing a young person under the </w:t>
      </w:r>
      <w:r w:rsidRPr="00EC02CA">
        <w:rPr>
          <w:i/>
          <w:iCs/>
        </w:rPr>
        <w:t xml:space="preserve">Youth Justice Act 1997 </w:t>
      </w:r>
      <w:r w:rsidRPr="00EC02CA">
        <w:t>(Tas), there are powers for a court to order that a young person attend personal, health or other programs</w:t>
      </w:r>
      <w:r w:rsidR="00495F36" w:rsidRPr="00EC02CA">
        <w:t xml:space="preserve"> –</w:t>
      </w:r>
      <w:r w:rsidRPr="00EC02CA">
        <w:t xml:space="preserve"> as well as psychiatric </w:t>
      </w:r>
      <w:r w:rsidR="00495F36" w:rsidRPr="00EC02CA">
        <w:t xml:space="preserve">or </w:t>
      </w:r>
      <w:r w:rsidRPr="00EC02CA">
        <w:t>psychological counselling and treatment</w:t>
      </w:r>
      <w:r w:rsidR="00495F36" w:rsidRPr="00EC02CA">
        <w:t xml:space="preserve"> –</w:t>
      </w:r>
      <w:r w:rsidRPr="00EC02CA">
        <w:t xml:space="preserve"> as a special condition of a probation order or a community service order.</w:t>
      </w:r>
      <w:r w:rsidRPr="00EC02CA">
        <w:rPr>
          <w:rStyle w:val="FootnoteReference"/>
        </w:rPr>
        <w:footnoteReference w:id="525"/>
      </w:r>
      <w:r w:rsidRPr="00EC02CA">
        <w:t xml:space="preserve"> </w:t>
      </w:r>
    </w:p>
    <w:p w14:paraId="2D773E18" w14:textId="328B13BF" w:rsidR="00D1649A" w:rsidRPr="00EC02CA" w:rsidRDefault="003E7EE8" w:rsidP="00D1649A">
      <w:pPr>
        <w:pStyle w:val="NumberedHeadingTLRI"/>
      </w:pPr>
      <w:bookmarkStart w:id="278" w:name="_Toc211849414"/>
      <w:bookmarkStart w:id="279" w:name="_Ref217985250"/>
      <w:bookmarkStart w:id="280" w:name="_Toc218157314"/>
      <w:bookmarkStart w:id="281" w:name="_Ref218252923"/>
      <w:r w:rsidRPr="00EC02CA">
        <w:t>Pre-court po</w:t>
      </w:r>
      <w:r w:rsidR="00D1649A" w:rsidRPr="00EC02CA">
        <w:t>wers of diversion used by Australia Federal Police</w:t>
      </w:r>
      <w:bookmarkEnd w:id="278"/>
      <w:bookmarkEnd w:id="279"/>
      <w:bookmarkEnd w:id="280"/>
      <w:bookmarkEnd w:id="281"/>
    </w:p>
    <w:p w14:paraId="5295E680" w14:textId="3906095F" w:rsidR="00D1649A" w:rsidRPr="00EC02CA" w:rsidRDefault="009B3F16" w:rsidP="002F0007">
      <w:pPr>
        <w:pStyle w:val="NormalNumberedTextTLRI"/>
      </w:pPr>
      <w:r w:rsidRPr="00EC02CA">
        <w:t>The</w:t>
      </w:r>
      <w:r w:rsidR="003E7EE8" w:rsidRPr="00EC02CA">
        <w:t xml:space="preserve"> </w:t>
      </w:r>
      <w:r w:rsidR="003E7EE8" w:rsidRPr="00EC02CA">
        <w:rPr>
          <w:i/>
        </w:rPr>
        <w:t xml:space="preserve">Youth Justice Act 1997 </w:t>
      </w:r>
      <w:r w:rsidR="003E7EE8" w:rsidRPr="00EC02CA">
        <w:t>(Tas)</w:t>
      </w:r>
      <w:r w:rsidRPr="00EC02CA">
        <w:t xml:space="preserve"> applies to Tasmania’s domestic criminal laws.</w:t>
      </w:r>
      <w:r w:rsidR="00AC4630" w:rsidRPr="00EC02CA">
        <w:t xml:space="preserve"> </w:t>
      </w:r>
      <w:r w:rsidR="0005219D" w:rsidRPr="00EC02CA">
        <w:t>However,</w:t>
      </w:r>
      <w:r w:rsidR="00142536" w:rsidRPr="00EC02CA">
        <w:t xml:space="preserve"> drawing on their federal jurisdiction</w:t>
      </w:r>
      <w:r w:rsidR="00197365" w:rsidRPr="00EC02CA">
        <w:t>,</w:t>
      </w:r>
      <w:r w:rsidR="003E7EE8" w:rsidRPr="00EC02CA">
        <w:t xml:space="preserve"> t</w:t>
      </w:r>
      <w:r w:rsidR="00D1649A" w:rsidRPr="00EC02CA">
        <w:t xml:space="preserve">he Australian Federal Police (AFP) also </w:t>
      </w:r>
      <w:r w:rsidR="00142536" w:rsidRPr="00EC02CA">
        <w:t>diverts</w:t>
      </w:r>
      <w:r w:rsidR="00723FA0" w:rsidRPr="00EC02CA">
        <w:t xml:space="preserve"> young</w:t>
      </w:r>
      <w:r w:rsidR="00D1649A" w:rsidRPr="00EC02CA">
        <w:t xml:space="preserve"> </w:t>
      </w:r>
      <w:r w:rsidR="005E3E5A" w:rsidRPr="00EC02CA">
        <w:t>people</w:t>
      </w:r>
      <w:r w:rsidR="00D1649A" w:rsidRPr="00EC02CA">
        <w:t xml:space="preserve"> </w:t>
      </w:r>
      <w:r w:rsidR="00723FA0" w:rsidRPr="00EC02CA">
        <w:t xml:space="preserve">from court </w:t>
      </w:r>
      <w:r w:rsidR="00D1649A" w:rsidRPr="00EC02CA">
        <w:t>by way of police caution</w:t>
      </w:r>
      <w:r w:rsidR="003E7EE8" w:rsidRPr="00EC02CA">
        <w:t xml:space="preserve"> in Tasmania</w:t>
      </w:r>
      <w:r w:rsidR="00D1649A" w:rsidRPr="00EC02CA">
        <w:t>. The AFP ha</w:t>
      </w:r>
      <w:r w:rsidR="00197365" w:rsidRPr="00EC02CA">
        <w:t>s</w:t>
      </w:r>
      <w:r w:rsidR="00D1649A" w:rsidRPr="00EC02CA">
        <w:t xml:space="preserve"> jurisdiction in relation to Commonwealth offences, so in this context, online child sexual abuse material offences. </w:t>
      </w:r>
      <w:r w:rsidR="001D7C7A" w:rsidRPr="00EC02CA">
        <w:t xml:space="preserve">Diversion </w:t>
      </w:r>
      <w:r w:rsidR="00D1649A" w:rsidRPr="00EC02CA">
        <w:t>has also been described as ‘disruptive policing’ which ‘refers to lawful police action that may interfere with, delay or complicate criminal activity’.</w:t>
      </w:r>
      <w:r w:rsidR="00D1649A" w:rsidRPr="00EC02CA">
        <w:rPr>
          <w:rStyle w:val="FootnoteReference"/>
        </w:rPr>
        <w:footnoteReference w:id="526"/>
      </w:r>
      <w:r w:rsidR="00D1649A" w:rsidRPr="00EC02CA">
        <w:t xml:space="preserve"> The use of police cautions by the AF</w:t>
      </w:r>
      <w:r w:rsidR="00066AE1" w:rsidRPr="00EC02CA">
        <w:t>P</w:t>
      </w:r>
      <w:r w:rsidR="00D1649A" w:rsidRPr="00EC02CA">
        <w:t xml:space="preserve"> is a discretionary power conferred by common law. Prior to issuing a caution, it is necessary for the police officer to have fully investigated the incident and </w:t>
      </w:r>
      <w:r w:rsidR="001D7C7A" w:rsidRPr="00EC02CA">
        <w:t xml:space="preserve">to </w:t>
      </w:r>
      <w:r w:rsidR="00D1649A" w:rsidRPr="00EC02CA">
        <w:t xml:space="preserve">be prepared to submit a brief of evidence. </w:t>
      </w:r>
    </w:p>
    <w:p w14:paraId="5BB896CA" w14:textId="77777777" w:rsidR="00D1649A" w:rsidRPr="00EC02CA" w:rsidRDefault="00D1649A" w:rsidP="002F0007">
      <w:pPr>
        <w:pStyle w:val="NormalNumberedTextTLRI"/>
      </w:pPr>
      <w:r w:rsidRPr="00EC02CA">
        <w:t>The following eligibility criteria apply in order for a caution to be considered:</w:t>
      </w:r>
    </w:p>
    <w:p w14:paraId="537D9880" w14:textId="5500A654" w:rsidR="00D1649A" w:rsidRPr="00EC02CA" w:rsidRDefault="00D1649A" w:rsidP="00A4270C">
      <w:pPr>
        <w:pStyle w:val="DotPointTLRI"/>
        <w:rPr>
          <w:rFonts w:ascii="Calibri" w:hAnsi="Calibri"/>
          <w:szCs w:val="22"/>
        </w:rPr>
      </w:pPr>
      <w:r w:rsidRPr="00EC02CA">
        <w:rPr>
          <w:bdr w:val="none" w:sz="0" w:space="0" w:color="auto" w:frame="1"/>
        </w:rPr>
        <w:t>the investigating member must be satisfied that there is sufficient admissible evidence to establish a prima facie case with a reasonable prospect of prosecution</w:t>
      </w:r>
      <w:r w:rsidR="001D7C7A" w:rsidRPr="00EC02CA">
        <w:rPr>
          <w:bdr w:val="none" w:sz="0" w:space="0" w:color="auto" w:frame="1"/>
        </w:rPr>
        <w:t>;</w:t>
      </w:r>
    </w:p>
    <w:p w14:paraId="14504D88" w14:textId="40F1C0A1" w:rsidR="00D1649A" w:rsidRPr="00EC02CA" w:rsidRDefault="00D1649A" w:rsidP="00A4270C">
      <w:pPr>
        <w:pStyle w:val="DotPointTLRI"/>
        <w:rPr>
          <w:rFonts w:ascii="Calibri" w:hAnsi="Calibri"/>
          <w:szCs w:val="22"/>
        </w:rPr>
      </w:pPr>
      <w:r w:rsidRPr="00EC02CA">
        <w:rPr>
          <w:bdr w:val="none" w:sz="0" w:space="0" w:color="auto" w:frame="1"/>
        </w:rPr>
        <w:t xml:space="preserve">the suspect must </w:t>
      </w:r>
      <w:r w:rsidRPr="00EC02CA">
        <w:t>make</w:t>
      </w:r>
      <w:r w:rsidRPr="00EC02CA">
        <w:rPr>
          <w:bdr w:val="none" w:sz="0" w:space="0" w:color="auto" w:frame="1"/>
        </w:rPr>
        <w:t xml:space="preserve"> full and frank admissions in accordance with Part IC </w:t>
      </w:r>
      <w:r w:rsidRPr="00EC02CA">
        <w:rPr>
          <w:i/>
          <w:iCs/>
          <w:bdr w:val="none" w:sz="0" w:space="0" w:color="auto" w:frame="1"/>
        </w:rPr>
        <w:t>Crimes Act 1914</w:t>
      </w:r>
      <w:r w:rsidR="001D7C7A" w:rsidRPr="00EC02CA">
        <w:rPr>
          <w:i/>
          <w:iCs/>
          <w:bdr w:val="none" w:sz="0" w:space="0" w:color="auto" w:frame="1"/>
        </w:rPr>
        <w:t xml:space="preserve"> </w:t>
      </w:r>
      <w:r w:rsidR="001D7C7A" w:rsidRPr="00EC02CA">
        <w:rPr>
          <w:bdr w:val="none" w:sz="0" w:space="0" w:color="auto" w:frame="1"/>
        </w:rPr>
        <w:t>(Cth);</w:t>
      </w:r>
    </w:p>
    <w:p w14:paraId="67BB0484" w14:textId="530FD77B" w:rsidR="00D1649A" w:rsidRPr="00EC02CA" w:rsidRDefault="00D1649A" w:rsidP="00A4270C">
      <w:pPr>
        <w:pStyle w:val="DotPointTLRI"/>
      </w:pPr>
      <w:r w:rsidRPr="00EC02CA">
        <w:rPr>
          <w:bdr w:val="none" w:sz="0" w:space="0" w:color="auto" w:frame="1"/>
        </w:rPr>
        <w:t xml:space="preserve">the suspect must </w:t>
      </w:r>
      <w:r w:rsidRPr="00EC02CA">
        <w:t>accept responsibility for their actions</w:t>
      </w:r>
      <w:r w:rsidR="001D7C7A" w:rsidRPr="00EC02CA">
        <w:t>;</w:t>
      </w:r>
    </w:p>
    <w:p w14:paraId="0CA918F1" w14:textId="6C629462" w:rsidR="00D1649A" w:rsidRPr="00EC02CA" w:rsidRDefault="00D1649A" w:rsidP="00A4270C">
      <w:pPr>
        <w:pStyle w:val="DotPointTLRI"/>
      </w:pPr>
      <w:r w:rsidRPr="00EC02CA">
        <w:t>the full circumstances of the offence(s) must be known and any co-offender, where possible, should be interviewed</w:t>
      </w:r>
      <w:r w:rsidR="001D7C7A" w:rsidRPr="00EC02CA">
        <w:t>;</w:t>
      </w:r>
    </w:p>
    <w:p w14:paraId="4E2E98FC" w14:textId="1E6337E1" w:rsidR="00D1649A" w:rsidRPr="00EC02CA" w:rsidRDefault="00D1649A" w:rsidP="00A4270C">
      <w:pPr>
        <w:pStyle w:val="DotPointTLRI"/>
      </w:pPr>
      <w:r w:rsidRPr="00EC02CA">
        <w:t>public interest and victim impact should be considered and may include compensation/reparation being paid to the victim(s) and forfeiture of unlawfully obtained property (retained by police for appropriate disposal)</w:t>
      </w:r>
      <w:r w:rsidR="001D7C7A" w:rsidRPr="00EC02CA">
        <w:t>; and</w:t>
      </w:r>
    </w:p>
    <w:p w14:paraId="6CAFE7AA" w14:textId="17CC91EF" w:rsidR="00D1649A" w:rsidRPr="00EC02CA" w:rsidRDefault="00D1649A" w:rsidP="00A4270C">
      <w:pPr>
        <w:pStyle w:val="DotPointTLRI"/>
        <w:rPr>
          <w:rFonts w:ascii="Calibri" w:hAnsi="Calibri"/>
          <w:szCs w:val="22"/>
        </w:rPr>
      </w:pPr>
      <w:r w:rsidRPr="00EC02CA">
        <w:t>in the case of a child/yo</w:t>
      </w:r>
      <w:r w:rsidRPr="00EC02CA">
        <w:rPr>
          <w:bdr w:val="none" w:sz="0" w:space="0" w:color="auto" w:frame="1"/>
        </w:rPr>
        <w:t>ung person, a parent or guardian must be present and must consent to the caution being administered.</w:t>
      </w:r>
      <w:r w:rsidR="001D7C7A" w:rsidRPr="00EC02CA">
        <w:rPr>
          <w:rStyle w:val="FootnoteReference"/>
          <w:bdr w:val="none" w:sz="0" w:space="0" w:color="auto" w:frame="1"/>
        </w:rPr>
        <w:footnoteReference w:id="527"/>
      </w:r>
    </w:p>
    <w:p w14:paraId="33576915" w14:textId="77777777" w:rsidR="00D1649A" w:rsidRPr="00EC02CA" w:rsidRDefault="00D1649A" w:rsidP="00550882">
      <w:pPr>
        <w:pStyle w:val="NormalNumberedTextTLRI"/>
      </w:pPr>
      <w:r w:rsidRPr="00EC02CA">
        <w:rPr>
          <w:bdr w:val="none" w:sz="0" w:space="0" w:color="auto" w:frame="1"/>
        </w:rPr>
        <w:t xml:space="preserve">There </w:t>
      </w:r>
      <w:r w:rsidRPr="00EC02CA">
        <w:t>are</w:t>
      </w:r>
      <w:r w:rsidRPr="00EC02CA">
        <w:rPr>
          <w:bdr w:val="none" w:sz="0" w:space="0" w:color="auto" w:frame="1"/>
        </w:rPr>
        <w:t xml:space="preserve"> other requirements that exist for AFP officers to be able to use a police caution</w:t>
      </w:r>
      <w:r w:rsidRPr="00EC02CA">
        <w:t>:</w:t>
      </w:r>
    </w:p>
    <w:p w14:paraId="3B671C14" w14:textId="5528AEB9" w:rsidR="00D1649A" w:rsidRPr="00EC02CA" w:rsidRDefault="00D1649A" w:rsidP="00A4270C">
      <w:pPr>
        <w:pStyle w:val="DotPointTLRI"/>
      </w:pPr>
      <w:r w:rsidRPr="00EC02CA">
        <w:rPr>
          <w:bdr w:val="none" w:sz="0" w:space="0" w:color="auto" w:frame="1"/>
        </w:rPr>
        <w:t xml:space="preserve">Members </w:t>
      </w:r>
      <w:r w:rsidR="001D7C7A" w:rsidRPr="00EC02CA">
        <w:rPr>
          <w:bdr w:val="none" w:sz="0" w:space="0" w:color="auto" w:frame="1"/>
        </w:rPr>
        <w:t xml:space="preserve">must </w:t>
      </w:r>
      <w:r w:rsidRPr="00EC02CA">
        <w:rPr>
          <w:bdr w:val="none" w:sz="0" w:space="0" w:color="auto" w:frame="1"/>
        </w:rPr>
        <w:t xml:space="preserve">comply </w:t>
      </w:r>
      <w:r w:rsidRPr="00EC02CA">
        <w:t>with the provisions of Part IC </w:t>
      </w:r>
      <w:r w:rsidR="000173A5" w:rsidRPr="00EC02CA">
        <w:t xml:space="preserve">of the </w:t>
      </w:r>
      <w:r w:rsidRPr="00EC02CA">
        <w:rPr>
          <w:i/>
          <w:iCs/>
        </w:rPr>
        <w:t>Crimes Act 1914</w:t>
      </w:r>
      <w:r w:rsidRPr="00EC02CA">
        <w:t> </w:t>
      </w:r>
      <w:r w:rsidR="001D7C7A" w:rsidRPr="00EC02CA">
        <w:t xml:space="preserve">(Cth) </w:t>
      </w:r>
      <w:r w:rsidRPr="00EC02CA">
        <w:t xml:space="preserve">when questioning a suspect and, in particular, </w:t>
      </w:r>
      <w:r w:rsidR="00780A56">
        <w:t>s</w:t>
      </w:r>
      <w:r w:rsidR="00780A56" w:rsidRPr="00EC02CA">
        <w:t xml:space="preserve"> </w:t>
      </w:r>
      <w:r w:rsidRPr="00EC02CA">
        <w:t>23V (tape recording of confessions and admissions)</w:t>
      </w:r>
      <w:r w:rsidR="001D7C7A" w:rsidRPr="00EC02CA">
        <w:t xml:space="preserve"> of that Act</w:t>
      </w:r>
      <w:r w:rsidRPr="00EC02CA">
        <w:t>.</w:t>
      </w:r>
    </w:p>
    <w:p w14:paraId="7DACEFBF" w14:textId="470CACC8" w:rsidR="00D1649A" w:rsidRPr="00EC02CA" w:rsidRDefault="00D1649A" w:rsidP="00A4270C">
      <w:pPr>
        <w:pStyle w:val="DotPointTLRI"/>
      </w:pPr>
      <w:r w:rsidRPr="00EC02CA">
        <w:t>Members should con</w:t>
      </w:r>
      <w:r w:rsidR="00491C85" w:rsidRPr="00EC02CA">
        <w:t>s</w:t>
      </w:r>
      <w:r w:rsidRPr="00EC02CA">
        <w:t>ider the suspects</w:t>
      </w:r>
      <w:r w:rsidR="00491C85" w:rsidRPr="00EC02CA">
        <w:t>’</w:t>
      </w:r>
      <w:r w:rsidRPr="00EC02CA">
        <w:t xml:space="preserve"> previous criminal history, police involvements and issue of any prior cautions.</w:t>
      </w:r>
    </w:p>
    <w:p w14:paraId="6E767356" w14:textId="77777777" w:rsidR="00D1649A" w:rsidRPr="00EC02CA" w:rsidRDefault="00D1649A" w:rsidP="00A4270C">
      <w:pPr>
        <w:pStyle w:val="DotPointTLRI"/>
      </w:pPr>
      <w:r w:rsidRPr="00EC02CA">
        <w:t>Members should have due regard for the suspect admitting responsibility for the offence and showing remorse.</w:t>
      </w:r>
    </w:p>
    <w:p w14:paraId="51339B4F" w14:textId="77777777" w:rsidR="00D1649A" w:rsidRPr="00EC02CA" w:rsidRDefault="00D1649A" w:rsidP="00A4270C">
      <w:pPr>
        <w:pStyle w:val="DotPointTLRI"/>
      </w:pPr>
      <w:r w:rsidRPr="00EC02CA">
        <w:t>Any member may consider a caution, but approval must first be obtained from a member of the rank of Sergeant or above to proceed with a caution.</w:t>
      </w:r>
    </w:p>
    <w:p w14:paraId="1DBCDC57" w14:textId="38DCA6BF" w:rsidR="00D1649A" w:rsidRPr="00EC02CA" w:rsidRDefault="00D1649A" w:rsidP="00A4270C">
      <w:pPr>
        <w:pStyle w:val="DotPointTLRI"/>
      </w:pPr>
      <w:r w:rsidRPr="00EC02CA">
        <w:t>A ‘Notice of Police Caution’ f</w:t>
      </w:r>
      <w:r w:rsidRPr="00EC02CA">
        <w:rPr>
          <w:bdr w:val="none" w:sz="0" w:space="0" w:color="auto" w:frame="1"/>
        </w:rPr>
        <w:t>orm must be completed on each occasion where a caution is issued and a copy of that document provided to the person cautioned (or their parent/guardian).</w:t>
      </w:r>
      <w:r w:rsidR="001D7C7A" w:rsidRPr="00EC02CA">
        <w:rPr>
          <w:rStyle w:val="FootnoteReference"/>
          <w:bdr w:val="none" w:sz="0" w:space="0" w:color="auto" w:frame="1"/>
        </w:rPr>
        <w:footnoteReference w:id="528"/>
      </w:r>
    </w:p>
    <w:p w14:paraId="715DC0C2" w14:textId="77777777" w:rsidR="00D1649A" w:rsidRPr="00EC02CA" w:rsidRDefault="00D1649A" w:rsidP="00D1649A">
      <w:pPr>
        <w:pStyle w:val="NumberedHeadingTLRI"/>
      </w:pPr>
      <w:bookmarkStart w:id="282" w:name="_Toc211849415"/>
      <w:bookmarkStart w:id="283" w:name="_Toc218157315"/>
      <w:r w:rsidRPr="00EC02CA">
        <w:t>Commission of Inquiry and government response</w:t>
      </w:r>
      <w:bookmarkEnd w:id="282"/>
      <w:bookmarkEnd w:id="283"/>
    </w:p>
    <w:p w14:paraId="2CC884F7" w14:textId="08EC4557" w:rsidR="00D1649A" w:rsidRPr="00EC02CA" w:rsidRDefault="00656DFF" w:rsidP="002F0007">
      <w:pPr>
        <w:pStyle w:val="NormalNumberedTextTLRI"/>
      </w:pPr>
      <w:r w:rsidRPr="00EC02CA">
        <w:t>The Commission of Inquiry</w:t>
      </w:r>
      <w:r w:rsidR="00E74398" w:rsidRPr="00EC02CA">
        <w:t xml:space="preserve"> gave consideration to the </w:t>
      </w:r>
      <w:r w:rsidR="00E74398" w:rsidRPr="00EC02CA">
        <w:rPr>
          <w:i/>
        </w:rPr>
        <w:t xml:space="preserve">Youth Justice Act 1997 </w:t>
      </w:r>
      <w:r w:rsidR="00E74398" w:rsidRPr="00EC02CA">
        <w:t>(Tas)</w:t>
      </w:r>
      <w:r w:rsidR="00A4270C" w:rsidRPr="00EC02CA">
        <w:t>,</w:t>
      </w:r>
      <w:r w:rsidR="00E74398" w:rsidRPr="00EC02CA">
        <w:t xml:space="preserve"> and the youth justice system</w:t>
      </w:r>
      <w:r w:rsidR="00A4270C" w:rsidRPr="00EC02CA">
        <w:t>,</w:t>
      </w:r>
      <w:r w:rsidR="00973261" w:rsidRPr="00EC02CA">
        <w:t xml:space="preserve"> and </w:t>
      </w:r>
      <w:r w:rsidR="00010E7D" w:rsidRPr="00EC02CA">
        <w:t>made recommendations</w:t>
      </w:r>
      <w:r w:rsidR="00973261" w:rsidRPr="00EC02CA">
        <w:t xml:space="preserve"> to improve the focus on diversion and reduce the use of </w:t>
      </w:r>
      <w:r w:rsidR="008F22A5" w:rsidRPr="00EC02CA">
        <w:t>custodial sentences for yo</w:t>
      </w:r>
      <w:r w:rsidR="005E3E5A" w:rsidRPr="00EC02CA">
        <w:t>ung</w:t>
      </w:r>
      <w:r w:rsidR="008F22A5" w:rsidRPr="00EC02CA">
        <w:t xml:space="preserve"> offenders. </w:t>
      </w:r>
      <w:r w:rsidR="00745876" w:rsidRPr="00EC02CA">
        <w:t xml:space="preserve">In relation to </w:t>
      </w:r>
      <w:r w:rsidR="00D01AA1" w:rsidRPr="00EC02CA">
        <w:t>diversion</w:t>
      </w:r>
      <w:r w:rsidR="00745876" w:rsidRPr="00EC02CA">
        <w:t xml:space="preserve">, the Commission recommended that </w:t>
      </w:r>
      <w:r w:rsidR="00601998" w:rsidRPr="00EC02CA">
        <w:t xml:space="preserve">legislation should be introduced to </w:t>
      </w:r>
      <w:r w:rsidR="00D01AA1" w:rsidRPr="00EC02CA">
        <w:t>widen</w:t>
      </w:r>
      <w:r w:rsidR="00601998" w:rsidRPr="00EC02CA">
        <w:t xml:space="preserve"> the offences for which diversion may be used</w:t>
      </w:r>
      <w:r w:rsidR="00A4270C" w:rsidRPr="00EC02CA">
        <w:t>,</w:t>
      </w:r>
      <w:r w:rsidR="00601998" w:rsidRPr="00EC02CA">
        <w:t xml:space="preserve"> and to create a </w:t>
      </w:r>
      <w:r w:rsidR="00D01AA1" w:rsidRPr="00EC02CA">
        <w:t>presumption</w:t>
      </w:r>
      <w:r w:rsidR="00601998" w:rsidRPr="00EC02CA">
        <w:t xml:space="preserve"> in </w:t>
      </w:r>
      <w:r w:rsidR="00D01AA1" w:rsidRPr="00EC02CA">
        <w:t>favour</w:t>
      </w:r>
      <w:r w:rsidR="00601998" w:rsidRPr="00EC02CA">
        <w:t xml:space="preserve"> of diversion.</w:t>
      </w:r>
      <w:r w:rsidR="00D01AA1" w:rsidRPr="00EC02CA">
        <w:rPr>
          <w:rStyle w:val="FootnoteReference"/>
        </w:rPr>
        <w:footnoteReference w:id="529"/>
      </w:r>
      <w:r w:rsidR="00601998" w:rsidRPr="00EC02CA">
        <w:t xml:space="preserve"> </w:t>
      </w:r>
      <w:r w:rsidR="00D01AA1" w:rsidRPr="00EC02CA">
        <w:t xml:space="preserve">In addition, </w:t>
      </w:r>
      <w:r w:rsidR="006E40D2" w:rsidRPr="00EC02CA">
        <w:t>t</w:t>
      </w:r>
      <w:r w:rsidR="008F22A5" w:rsidRPr="00EC02CA">
        <w:t>he Commission recommended</w:t>
      </w:r>
      <w:r w:rsidR="00457F1F" w:rsidRPr="00EC02CA">
        <w:t xml:space="preserve"> that t</w:t>
      </w:r>
      <w:r w:rsidR="00D1649A" w:rsidRPr="00EC02CA">
        <w:t>he Tasmanian Government should:</w:t>
      </w:r>
    </w:p>
    <w:p w14:paraId="1394B704" w14:textId="290C955A" w:rsidR="00457F1F" w:rsidRPr="00EC02CA" w:rsidRDefault="00D1649A" w:rsidP="00457F1F">
      <w:pPr>
        <w:pStyle w:val="DotPointTLRI"/>
      </w:pPr>
      <w:r w:rsidRPr="00EC02CA">
        <w:t>ensure any legislation designed to amend or replace the </w:t>
      </w:r>
      <w:r w:rsidRPr="00EC02CA">
        <w:rPr>
          <w:i/>
        </w:rPr>
        <w:t>Youth Justice Act 1997</w:t>
      </w:r>
      <w:r w:rsidRPr="00EC02CA">
        <w:t> </w:t>
      </w:r>
      <w:r w:rsidR="005E3E5A" w:rsidRPr="00EC02CA">
        <w:t xml:space="preserve">(Tas) </w:t>
      </w:r>
      <w:r w:rsidRPr="00EC02CA">
        <w:t>provides that</w:t>
      </w:r>
      <w:r w:rsidR="00457F1F" w:rsidRPr="00EC02CA">
        <w:t xml:space="preserve"> </w:t>
      </w:r>
      <w:r w:rsidRPr="00EC02CA">
        <w:t>rehabilitation is the primary purpose of sentencing a child</w:t>
      </w:r>
      <w:r w:rsidR="00A4270C" w:rsidRPr="00EC02CA">
        <w:t>;</w:t>
      </w:r>
    </w:p>
    <w:p w14:paraId="47D14D5B" w14:textId="68124E7E" w:rsidR="00457F1F" w:rsidRPr="00EC02CA" w:rsidRDefault="00A4270C" w:rsidP="00457F1F">
      <w:pPr>
        <w:pStyle w:val="DotPointTLRI"/>
      </w:pPr>
      <w:r w:rsidRPr="00EC02CA">
        <w:t xml:space="preserve">ensure </w:t>
      </w:r>
      <w:r w:rsidR="00D1649A" w:rsidRPr="00EC02CA">
        <w:t xml:space="preserve">the list of sentencing options is a hierarchy and </w:t>
      </w:r>
      <w:r w:rsidRPr="00EC02CA">
        <w:t xml:space="preserve">that </w:t>
      </w:r>
      <w:r w:rsidR="00D1649A" w:rsidRPr="00EC02CA">
        <w:t>a sentencer can only impose a sentence at a particular level of the hierarchy if satisfied that it is not appropriate to impose a sentence that is ‘lower’ in the hierarchy</w:t>
      </w:r>
      <w:r w:rsidRPr="00EC02CA">
        <w:t>;</w:t>
      </w:r>
    </w:p>
    <w:p w14:paraId="7D3D245D" w14:textId="6B2CC696" w:rsidR="00457F1F" w:rsidRPr="00EC02CA" w:rsidRDefault="00A4270C" w:rsidP="00457F1F">
      <w:pPr>
        <w:pStyle w:val="DotPointTLRI"/>
      </w:pPr>
      <w:r w:rsidRPr="00EC02CA">
        <w:t xml:space="preserve">ensure </w:t>
      </w:r>
      <w:r w:rsidR="00D1649A" w:rsidRPr="00EC02CA">
        <w:t xml:space="preserve">a sentence imposed on a child </w:t>
      </w:r>
      <w:r w:rsidRPr="00EC02CA">
        <w:t>is</w:t>
      </w:r>
      <w:r w:rsidR="00D1649A" w:rsidRPr="00EC02CA">
        <w:t xml:space="preserve"> the minimum intervention required in the circumstances</w:t>
      </w:r>
      <w:r w:rsidRPr="00EC02CA">
        <w:t>;</w:t>
      </w:r>
    </w:p>
    <w:p w14:paraId="4B32F84F" w14:textId="3AACC193" w:rsidR="00457F1F" w:rsidRPr="00EC02CA" w:rsidRDefault="00A4270C" w:rsidP="00457F1F">
      <w:pPr>
        <w:pStyle w:val="DotPointTLRI"/>
      </w:pPr>
      <w:r w:rsidRPr="00EC02CA">
        <w:t xml:space="preserve">ensure </w:t>
      </w:r>
      <w:r w:rsidR="00D1649A" w:rsidRPr="00EC02CA">
        <w:t>a custodial sentence must only be imposed as a last resort and for the minimum period necessary</w:t>
      </w:r>
      <w:r w:rsidRPr="00EC02CA">
        <w:t>;</w:t>
      </w:r>
    </w:p>
    <w:p w14:paraId="0AA9B48D" w14:textId="50B6B775" w:rsidR="00457F1F" w:rsidRPr="00EC02CA" w:rsidRDefault="00A4270C" w:rsidP="00457F1F">
      <w:pPr>
        <w:pStyle w:val="DotPointTLRI"/>
      </w:pPr>
      <w:r w:rsidRPr="00EC02CA">
        <w:t xml:space="preserve">ensure that, </w:t>
      </w:r>
      <w:r w:rsidR="00D1649A" w:rsidRPr="00EC02CA">
        <w:t>in sentencing a child</w:t>
      </w:r>
      <w:r w:rsidRPr="00EC02CA">
        <w:t>,</w:t>
      </w:r>
      <w:r w:rsidR="00D1649A" w:rsidRPr="00EC02CA">
        <w:t xml:space="preserve"> the court must consider</w:t>
      </w:r>
      <w:r w:rsidRPr="00EC02CA">
        <w:t>:</w:t>
      </w:r>
      <w:r w:rsidR="00D1649A" w:rsidRPr="00EC02CA">
        <w:t xml:space="preserve"> the child’s experience of trauma</w:t>
      </w:r>
      <w:r w:rsidRPr="00EC02CA">
        <w:t>;</w:t>
      </w:r>
      <w:r w:rsidR="00D1649A" w:rsidRPr="00EC02CA">
        <w:t xml:space="preserve"> any child protection involvement or experience of out</w:t>
      </w:r>
      <w:r w:rsidR="00B567A3" w:rsidRPr="00EC02CA">
        <w:t>-</w:t>
      </w:r>
      <w:r w:rsidR="00D1649A" w:rsidRPr="00EC02CA">
        <w:t>of</w:t>
      </w:r>
      <w:r w:rsidR="00B567A3" w:rsidRPr="00EC02CA">
        <w:t>-</w:t>
      </w:r>
      <w:r w:rsidR="00D1649A" w:rsidRPr="00EC02CA">
        <w:t>home care</w:t>
      </w:r>
      <w:r w:rsidRPr="00EC02CA">
        <w:t>;</w:t>
      </w:r>
      <w:r w:rsidR="00D1649A" w:rsidRPr="00EC02CA">
        <w:t xml:space="preserve"> disruptions to the child’s living situation or education</w:t>
      </w:r>
      <w:r w:rsidRPr="00EC02CA">
        <w:t>;</w:t>
      </w:r>
      <w:r w:rsidR="00D1649A" w:rsidRPr="00EC02CA">
        <w:t xml:space="preserve"> any mental illness, neurological difficulties or developmental issues experienced by the child</w:t>
      </w:r>
      <w:r w:rsidRPr="00EC02CA">
        <w:t>;</w:t>
      </w:r>
      <w:r w:rsidR="00D1649A" w:rsidRPr="00EC02CA">
        <w:t xml:space="preserve"> and the child’s chronological age and developmental age at the time of sentencing</w:t>
      </w:r>
      <w:r w:rsidRPr="00EC02CA">
        <w:t>;</w:t>
      </w:r>
    </w:p>
    <w:p w14:paraId="750FE5C3" w14:textId="0CA8F386" w:rsidR="00457F1F" w:rsidRPr="00EC02CA" w:rsidRDefault="00A4270C" w:rsidP="00457F1F">
      <w:pPr>
        <w:pStyle w:val="DotPointTLRI"/>
      </w:pPr>
      <w:r w:rsidRPr="00EC02CA">
        <w:t xml:space="preserve">ensure that, </w:t>
      </w:r>
      <w:r w:rsidR="00D1649A" w:rsidRPr="00EC02CA">
        <w:t>in sentencing an Aboriginal child, the court must consider additional factors including</w:t>
      </w:r>
      <w:r w:rsidRPr="00EC02CA">
        <w:t>:</w:t>
      </w:r>
      <w:r w:rsidR="00D1649A" w:rsidRPr="00EC02CA">
        <w:t xml:space="preserve"> the consequences of intergenerational trauma, historical discriminatory policies, </w:t>
      </w:r>
      <w:r w:rsidRPr="00EC02CA">
        <w:t xml:space="preserve">and </w:t>
      </w:r>
      <w:r w:rsidR="00D1649A" w:rsidRPr="00EC02CA">
        <w:t>general and systemic racism</w:t>
      </w:r>
      <w:r w:rsidRPr="00EC02CA">
        <w:t>;</w:t>
      </w:r>
      <w:r w:rsidR="00D1649A" w:rsidRPr="00EC02CA">
        <w:t xml:space="preserve"> and any previous culturally inappropriate responses that may have worsened the effects of trauma on the child</w:t>
      </w:r>
      <w:r w:rsidRPr="00EC02CA">
        <w:t>;</w:t>
      </w:r>
    </w:p>
    <w:p w14:paraId="2522E3E2" w14:textId="1D131703" w:rsidR="00457F1F" w:rsidRPr="00EC02CA" w:rsidRDefault="00A4270C" w:rsidP="00457F1F">
      <w:pPr>
        <w:pStyle w:val="DotPointTLRI"/>
      </w:pPr>
      <w:r w:rsidRPr="00EC02CA">
        <w:t xml:space="preserve">ensure that </w:t>
      </w:r>
      <w:r w:rsidR="00D1649A" w:rsidRPr="00EC02CA">
        <w:t xml:space="preserve">there is a presumption against imposing restrictive conditions (such as curfews and non-association conditions) with </w:t>
      </w:r>
      <w:r w:rsidR="00457F1F" w:rsidRPr="00EC02CA">
        <w:t>community-based</w:t>
      </w:r>
      <w:r w:rsidR="00D1649A" w:rsidRPr="00EC02CA">
        <w:t xml:space="preserve"> sentencing orders, which may increase a child’s likelihood of breaching a sentencing order and being sentenced to detention</w:t>
      </w:r>
      <w:r w:rsidRPr="00EC02CA">
        <w:t>;</w:t>
      </w:r>
    </w:p>
    <w:p w14:paraId="2B7F978C" w14:textId="23A63D1F" w:rsidR="00457F1F" w:rsidRPr="00EC02CA" w:rsidRDefault="00D1649A" w:rsidP="00457F1F">
      <w:pPr>
        <w:pStyle w:val="DotPointTLRI"/>
      </w:pPr>
      <w:r w:rsidRPr="00EC02CA">
        <w:t>ensure children who are sentenced to a supervised community-based order receive adequate support to comply with the conditions of the order from therapeutically trained, culturally competent staff</w:t>
      </w:r>
      <w:r w:rsidR="00A4270C" w:rsidRPr="00EC02CA">
        <w:t>;</w:t>
      </w:r>
    </w:p>
    <w:p w14:paraId="1D7BC8B0" w14:textId="01207AB2" w:rsidR="00457F1F" w:rsidRPr="00EC02CA" w:rsidRDefault="00D1649A" w:rsidP="00457F1F">
      <w:pPr>
        <w:pStyle w:val="DotPointTLRI"/>
      </w:pPr>
      <w:r w:rsidRPr="00EC02CA">
        <w:t>assist and support the Magistrates Court to establish a new division of the Court to hear and determine both child protection matters and criminal charges against children and young people, which should be constituted by at least three dedicated full-time magistrates with specialist knowledge and skills relating to children and young people</w:t>
      </w:r>
      <w:r w:rsidR="00A4270C" w:rsidRPr="00EC02CA">
        <w:t>;</w:t>
      </w:r>
    </w:p>
    <w:p w14:paraId="3F9A344B" w14:textId="4C042D0C" w:rsidR="00457F1F" w:rsidRPr="00EC02CA" w:rsidRDefault="00D1649A" w:rsidP="00457F1F">
      <w:pPr>
        <w:pStyle w:val="DotPointTLRI"/>
      </w:pPr>
      <w:r w:rsidRPr="00EC02CA">
        <w:t>support the Magistrates Court to arrange for the implementation and operation of the Court’s new specialist division to be independently evaluated after three years</w:t>
      </w:r>
      <w:r w:rsidR="00A4270C" w:rsidRPr="00EC02CA">
        <w:t>; and</w:t>
      </w:r>
    </w:p>
    <w:p w14:paraId="076D9C44" w14:textId="6A078423" w:rsidR="00D1649A" w:rsidRPr="00EC02CA" w:rsidRDefault="00D1649A" w:rsidP="00457F1F">
      <w:pPr>
        <w:pStyle w:val="DotPointTLRI"/>
      </w:pPr>
      <w:r w:rsidRPr="00EC02CA">
        <w:t>fund the Magistrates and Supreme Courts to provide professional development for judicial officers hearing matters involving children and young people in the adult jurisdiction, in areas including child and adolescent development, trauma, child and adolescent mental health, cognitive and communication deficits, and Aboriginal cultural safety.</w:t>
      </w:r>
      <w:r w:rsidR="00457F1F" w:rsidRPr="00EC02CA">
        <w:rPr>
          <w:rStyle w:val="FootnoteReference"/>
        </w:rPr>
        <w:footnoteReference w:id="530"/>
      </w:r>
    </w:p>
    <w:p w14:paraId="13109BCC" w14:textId="29AC0E7E" w:rsidR="00D1649A" w:rsidRPr="00EC02CA" w:rsidRDefault="000C5809" w:rsidP="002F0007">
      <w:pPr>
        <w:pStyle w:val="NormalNumberedTextTLRI"/>
      </w:pPr>
      <w:r w:rsidRPr="00EC02CA">
        <w:t>The Commission’s view was that</w:t>
      </w:r>
      <w:r w:rsidR="003A5AA1" w:rsidRPr="00EC02CA">
        <w:t>,</w:t>
      </w:r>
      <w:r w:rsidRPr="00EC02CA">
        <w:t xml:space="preserve"> while the current principles</w:t>
      </w:r>
      <w:r w:rsidR="000A35CE" w:rsidRPr="00EC02CA">
        <w:t xml:space="preserve"> of youth justice</w:t>
      </w:r>
      <w:r w:rsidRPr="00EC02CA">
        <w:t xml:space="preserve"> </w:t>
      </w:r>
      <w:r w:rsidR="0049298C" w:rsidRPr="00EC02CA">
        <w:t xml:space="preserve">(see </w:t>
      </w:r>
      <w:r w:rsidR="00A4270C" w:rsidRPr="00EC02CA">
        <w:t>[</w:t>
      </w:r>
      <w:r w:rsidR="003C2C40" w:rsidRPr="00EC02CA">
        <w:fldChar w:fldCharType="begin"/>
      </w:r>
      <w:r w:rsidR="003C2C40" w:rsidRPr="00EC02CA">
        <w:instrText xml:space="preserve"> REF _Ref218240771 \r \h </w:instrText>
      </w:r>
      <w:r w:rsidR="003C2C40" w:rsidRPr="00EC02CA">
        <w:fldChar w:fldCharType="separate"/>
      </w:r>
      <w:r w:rsidR="007D7830">
        <w:t>5.3</w:t>
      </w:r>
      <w:r w:rsidR="003C2C40" w:rsidRPr="00EC02CA">
        <w:fldChar w:fldCharType="end"/>
      </w:r>
      <w:r w:rsidR="00A4270C" w:rsidRPr="00EC02CA">
        <w:t>]</w:t>
      </w:r>
      <w:r w:rsidR="0049298C" w:rsidRPr="00EC02CA">
        <w:t xml:space="preserve">) recognise that young people should be treated differently to adults, </w:t>
      </w:r>
      <w:r w:rsidR="008554FE" w:rsidRPr="00EC02CA">
        <w:t>reform</w:t>
      </w:r>
      <w:r w:rsidR="0049298C" w:rsidRPr="00EC02CA">
        <w:t xml:space="preserve"> was necessary to</w:t>
      </w:r>
      <w:r w:rsidR="004922B9" w:rsidRPr="00EC02CA">
        <w:t xml:space="preserve"> better reflect </w:t>
      </w:r>
      <w:r w:rsidR="002A0F81" w:rsidRPr="00EC02CA">
        <w:t xml:space="preserve">a focus on </w:t>
      </w:r>
      <w:r w:rsidR="008554FE" w:rsidRPr="00EC02CA">
        <w:t>rehabilitation</w:t>
      </w:r>
      <w:r w:rsidR="002A0F81" w:rsidRPr="00EC02CA">
        <w:t xml:space="preserve">, restoration and </w:t>
      </w:r>
      <w:r w:rsidR="008554FE" w:rsidRPr="00EC02CA">
        <w:t>reintegration</w:t>
      </w:r>
      <w:r w:rsidR="00C55CB2" w:rsidRPr="00EC02CA">
        <w:t>,</w:t>
      </w:r>
      <w:r w:rsidRPr="00EC02CA">
        <w:t xml:space="preserve"> </w:t>
      </w:r>
      <w:r w:rsidR="00B24F29" w:rsidRPr="00EC02CA">
        <w:t xml:space="preserve">with a shift away from an emphasis </w:t>
      </w:r>
      <w:r w:rsidR="008554FE" w:rsidRPr="00EC02CA">
        <w:t xml:space="preserve">more focused </w:t>
      </w:r>
      <w:r w:rsidR="00B24F29" w:rsidRPr="00EC02CA">
        <w:t>on sanction and punishment.</w:t>
      </w:r>
      <w:r w:rsidR="00B24F29" w:rsidRPr="00EC02CA">
        <w:rPr>
          <w:rStyle w:val="FootnoteReference"/>
        </w:rPr>
        <w:footnoteReference w:id="531"/>
      </w:r>
      <w:r w:rsidR="003A5AA1" w:rsidRPr="00EC02CA">
        <w:t xml:space="preserve"> The Commission pointed to the general principles</w:t>
      </w:r>
      <w:r w:rsidR="00C55CB2" w:rsidRPr="00EC02CA">
        <w:t>,</w:t>
      </w:r>
      <w:r w:rsidR="003A5AA1" w:rsidRPr="00EC02CA">
        <w:t xml:space="preserve"> </w:t>
      </w:r>
      <w:r w:rsidR="007A3C0E" w:rsidRPr="00EC02CA">
        <w:t xml:space="preserve">as well as the principles </w:t>
      </w:r>
      <w:r w:rsidR="0048727A" w:rsidRPr="00EC02CA">
        <w:t xml:space="preserve">that applied to the </w:t>
      </w:r>
      <w:r w:rsidRPr="00EC02CA">
        <w:t>exercise</w:t>
      </w:r>
      <w:r w:rsidR="0048727A" w:rsidRPr="00EC02CA">
        <w:t xml:space="preserve"> of youth justice powers</w:t>
      </w:r>
      <w:r w:rsidR="00C55CB2" w:rsidRPr="00EC02CA">
        <w:t>,</w:t>
      </w:r>
      <w:r w:rsidR="0048727A" w:rsidRPr="00EC02CA">
        <w:t xml:space="preserve"> as </w:t>
      </w:r>
      <w:r w:rsidR="003A5AA1" w:rsidRPr="00EC02CA">
        <w:t xml:space="preserve">set out in the </w:t>
      </w:r>
      <w:r w:rsidR="003A5AA1" w:rsidRPr="00EC02CA">
        <w:rPr>
          <w:i/>
        </w:rPr>
        <w:t xml:space="preserve">Oranga Tamariki </w:t>
      </w:r>
      <w:r w:rsidR="003D74E3" w:rsidRPr="00EC02CA">
        <w:rPr>
          <w:i/>
        </w:rPr>
        <w:t>Act</w:t>
      </w:r>
      <w:r w:rsidR="003A5AA1" w:rsidRPr="00EC02CA">
        <w:rPr>
          <w:i/>
        </w:rPr>
        <w:t xml:space="preserve"> 1989 </w:t>
      </w:r>
      <w:r w:rsidR="003A5AA1" w:rsidRPr="00EC02CA">
        <w:t>(NZ)</w:t>
      </w:r>
      <w:r w:rsidR="00C55CB2" w:rsidRPr="00EC02CA">
        <w:t>.</w:t>
      </w:r>
      <w:r w:rsidR="0048727A" w:rsidRPr="00EC02CA">
        <w:rPr>
          <w:rStyle w:val="FootnoteReference"/>
        </w:rPr>
        <w:footnoteReference w:id="532"/>
      </w:r>
      <w:r w:rsidR="00A85A01" w:rsidRPr="00EC02CA">
        <w:t xml:space="preserve"> </w:t>
      </w:r>
      <w:r w:rsidR="00C55CB2" w:rsidRPr="00EC02CA">
        <w:t xml:space="preserve">It also  </w:t>
      </w:r>
      <w:r w:rsidR="0048727A" w:rsidRPr="00EC02CA">
        <w:t xml:space="preserve">recommended that </w:t>
      </w:r>
      <w:r w:rsidR="00D04DFB" w:rsidRPr="00EC02CA">
        <w:t>the Tasmanian Government should ensure legislation to replace or amend the </w:t>
      </w:r>
      <w:r w:rsidR="00D04DFB" w:rsidRPr="00EC02CA">
        <w:rPr>
          <w:i/>
        </w:rPr>
        <w:t>Youth Justice Act</w:t>
      </w:r>
      <w:r w:rsidR="00D04DFB" w:rsidRPr="00EC02CA">
        <w:t> </w:t>
      </w:r>
      <w:r w:rsidR="00D04DFB" w:rsidRPr="00EC02CA">
        <w:rPr>
          <w:i/>
        </w:rPr>
        <w:t>1997</w:t>
      </w:r>
      <w:r w:rsidR="00D04DFB" w:rsidRPr="00EC02CA">
        <w:t> </w:t>
      </w:r>
      <w:r w:rsidR="00C55CB2" w:rsidRPr="00EC02CA">
        <w:t xml:space="preserve">(Tas) </w:t>
      </w:r>
      <w:r w:rsidR="00D04DFB" w:rsidRPr="00EC02CA">
        <w:t>contains updated general principles of youth justice that reflect contemporary understandings of child development, children’s antisocial behaviour and children’s needs.</w:t>
      </w:r>
      <w:r w:rsidR="00D04DFB" w:rsidRPr="00EC02CA">
        <w:rPr>
          <w:rStyle w:val="FootnoteReference"/>
        </w:rPr>
        <w:footnoteReference w:id="533"/>
      </w:r>
    </w:p>
    <w:p w14:paraId="4D6A61A6" w14:textId="0E386EDE" w:rsidR="00BE3FC1" w:rsidRPr="00EC02CA" w:rsidRDefault="009D5E80" w:rsidP="002F0007">
      <w:pPr>
        <w:pStyle w:val="NormalNumberedTextTLRI"/>
      </w:pPr>
      <w:r w:rsidRPr="00EC02CA">
        <w:t xml:space="preserve">In response, the government accepted these </w:t>
      </w:r>
      <w:r w:rsidR="00C83CB5" w:rsidRPr="00EC02CA">
        <w:t>recommendations</w:t>
      </w:r>
      <w:r w:rsidRPr="00EC02CA">
        <w:t xml:space="preserve"> and </w:t>
      </w:r>
      <w:r w:rsidR="00C83CB5" w:rsidRPr="00EC02CA">
        <w:t xml:space="preserve">indicated that DECYP had commenced a legislative review program which will include substantive reviews of both the </w:t>
      </w:r>
      <w:r w:rsidR="00C83CB5" w:rsidRPr="00EC02CA">
        <w:rPr>
          <w:i/>
        </w:rPr>
        <w:t>Youth Justice Act 1997</w:t>
      </w:r>
      <w:r w:rsidR="00C83CB5" w:rsidRPr="00EC02CA">
        <w:t xml:space="preserve"> </w:t>
      </w:r>
      <w:r w:rsidR="000A35CE" w:rsidRPr="00EC02CA">
        <w:t xml:space="preserve">(Tas) </w:t>
      </w:r>
      <w:r w:rsidR="00C83CB5" w:rsidRPr="00EC02CA">
        <w:t xml:space="preserve">and the </w:t>
      </w:r>
      <w:r w:rsidR="00C83CB5" w:rsidRPr="00EC02CA">
        <w:rPr>
          <w:i/>
        </w:rPr>
        <w:t>Children, Young Person</w:t>
      </w:r>
      <w:r w:rsidR="004E55DC" w:rsidRPr="00EC02CA">
        <w:rPr>
          <w:i/>
        </w:rPr>
        <w:t>s</w:t>
      </w:r>
      <w:r w:rsidR="00C83CB5" w:rsidRPr="00EC02CA">
        <w:rPr>
          <w:i/>
        </w:rPr>
        <w:t xml:space="preserve"> and Their Families Act 1997</w:t>
      </w:r>
      <w:r w:rsidR="000A35CE" w:rsidRPr="00EC02CA">
        <w:rPr>
          <w:i/>
        </w:rPr>
        <w:t xml:space="preserve"> </w:t>
      </w:r>
      <w:r w:rsidR="000A35CE" w:rsidRPr="00EC02CA">
        <w:rPr>
          <w:iCs/>
        </w:rPr>
        <w:t>(Tas)</w:t>
      </w:r>
      <w:r w:rsidR="00C83CB5" w:rsidRPr="00EC02CA">
        <w:t>.</w:t>
      </w:r>
      <w:r w:rsidR="009B7DC4" w:rsidRPr="00EC02CA">
        <w:t xml:space="preserve"> This work is aligned with the Tasmanian Government’s </w:t>
      </w:r>
      <w:r w:rsidR="009B7DC4" w:rsidRPr="00EC02CA">
        <w:rPr>
          <w:i/>
        </w:rPr>
        <w:t>Youth Justice Blueprint 2024–2034</w:t>
      </w:r>
      <w:r w:rsidR="00001176" w:rsidRPr="00EC02CA">
        <w:t xml:space="preserve">, with the scope of these reforms </w:t>
      </w:r>
      <w:r w:rsidR="00BE3FC1" w:rsidRPr="00EC02CA">
        <w:t>including implementing the recommendations of the Commission of Inquiry and delivering a contemporary, child-centred, trauma-informed approach to youth justice and child protection in Tasmania. A</w:t>
      </w:r>
      <w:r w:rsidR="00BC35D3" w:rsidRPr="00EC02CA">
        <w:t>lso</w:t>
      </w:r>
      <w:r w:rsidR="00BE3FC1" w:rsidRPr="00EC02CA">
        <w:t xml:space="preserve">, the </w:t>
      </w:r>
      <w:r w:rsidR="00BC35D3" w:rsidRPr="00EC02CA">
        <w:t xml:space="preserve">government has developed </w:t>
      </w:r>
      <w:r w:rsidR="00D87E64" w:rsidRPr="00EC02CA">
        <w:t>the</w:t>
      </w:r>
      <w:r w:rsidR="00923970" w:rsidRPr="00EC02CA">
        <w:t xml:space="preserve"> Youth Justice </w:t>
      </w:r>
      <w:r w:rsidR="00D87E64" w:rsidRPr="00EC02CA">
        <w:t>Diversionary</w:t>
      </w:r>
      <w:r w:rsidR="00923970" w:rsidRPr="00EC02CA">
        <w:t xml:space="preserve"> Services </w:t>
      </w:r>
      <w:r w:rsidR="00B3491E" w:rsidRPr="00EC02CA">
        <w:t xml:space="preserve">Framework which is intended to </w:t>
      </w:r>
      <w:r w:rsidR="00923970" w:rsidRPr="00EC02CA">
        <w:t xml:space="preserve">ensure that </w:t>
      </w:r>
      <w:r w:rsidR="00B3491E" w:rsidRPr="00EC02CA">
        <w:t>organisations delivering diversionary services do so in a way that is trauma-informed, evidence-based and culturally safe.</w:t>
      </w:r>
      <w:r w:rsidR="00D87E64" w:rsidRPr="00EC02CA">
        <w:rPr>
          <w:rStyle w:val="FootnoteReference"/>
        </w:rPr>
        <w:footnoteReference w:id="534"/>
      </w:r>
      <w:r w:rsidR="00D87E64" w:rsidRPr="00EC02CA">
        <w:t xml:space="preserve"> </w:t>
      </w:r>
      <w:r w:rsidR="007A2EE1" w:rsidRPr="00EC02CA">
        <w:t>A Youth Justice Model of Care has also been developed</w:t>
      </w:r>
      <w:r w:rsidR="007444BF" w:rsidRPr="00EC02CA">
        <w:t xml:space="preserve"> to provide ‘a </w:t>
      </w:r>
      <w:r w:rsidR="007352A5" w:rsidRPr="00EC02CA">
        <w:t>coordinated</w:t>
      </w:r>
      <w:r w:rsidR="007444BF" w:rsidRPr="00EC02CA">
        <w:t xml:space="preserve"> and </w:t>
      </w:r>
      <w:r w:rsidR="007352A5" w:rsidRPr="00EC02CA">
        <w:t>consistent</w:t>
      </w:r>
      <w:r w:rsidR="007444BF" w:rsidRPr="00EC02CA">
        <w:t xml:space="preserve"> approach to the </w:t>
      </w:r>
      <w:r w:rsidR="007352A5" w:rsidRPr="00EC02CA">
        <w:t>delivery</w:t>
      </w:r>
      <w:r w:rsidR="007444BF" w:rsidRPr="00EC02CA">
        <w:t xml:space="preserve"> </w:t>
      </w:r>
      <w:r w:rsidR="00A50607" w:rsidRPr="00EC02CA">
        <w:t>of trauma-</w:t>
      </w:r>
      <w:r w:rsidR="007352A5" w:rsidRPr="00EC02CA">
        <w:t>informed</w:t>
      </w:r>
      <w:r w:rsidR="00A50607" w:rsidRPr="00EC02CA">
        <w:t>, evidence-based and culturally safe services’.</w:t>
      </w:r>
      <w:r w:rsidR="007352A5" w:rsidRPr="00EC02CA">
        <w:rPr>
          <w:rStyle w:val="FootnoteReference"/>
        </w:rPr>
        <w:footnoteReference w:id="535"/>
      </w:r>
      <w:r w:rsidR="00A50607" w:rsidRPr="00EC02CA">
        <w:t xml:space="preserve"> </w:t>
      </w:r>
      <w:r w:rsidR="00C95485" w:rsidRPr="00EC02CA">
        <w:t xml:space="preserve">A review of </w:t>
      </w:r>
      <w:r w:rsidR="007A0DD8" w:rsidRPr="00EC02CA">
        <w:t xml:space="preserve">police cautioning and community </w:t>
      </w:r>
      <w:r w:rsidR="00637561" w:rsidRPr="00EC02CA">
        <w:t>conferencing</w:t>
      </w:r>
      <w:r w:rsidR="007A0DD8" w:rsidRPr="00EC02CA">
        <w:t xml:space="preserve"> has also been commenced.</w:t>
      </w:r>
      <w:r w:rsidR="007A0DD8" w:rsidRPr="00EC02CA">
        <w:rPr>
          <w:rStyle w:val="FootnoteReference"/>
        </w:rPr>
        <w:footnoteReference w:id="536"/>
      </w:r>
    </w:p>
    <w:p w14:paraId="40969E7A" w14:textId="73DEDCF5" w:rsidR="00431063" w:rsidRPr="00EC02CA" w:rsidRDefault="00CE0361" w:rsidP="00A920EC">
      <w:pPr>
        <w:pStyle w:val="NormalNumberedTextTLRI"/>
      </w:pPr>
      <w:r w:rsidRPr="00EC02CA">
        <w:t xml:space="preserve">As noted, these reforms relate to all offending behaviour of young people, </w:t>
      </w:r>
      <w:r w:rsidR="0070268C" w:rsidRPr="00EC02CA">
        <w:t>not just sexual offending</w:t>
      </w:r>
      <w:r w:rsidR="00147309" w:rsidRPr="00EC02CA">
        <w:t xml:space="preserve">, and so it is beyond the scope of </w:t>
      </w:r>
      <w:r w:rsidRPr="00EC02CA">
        <w:t xml:space="preserve">this Research Paper </w:t>
      </w:r>
      <w:r w:rsidR="00147309" w:rsidRPr="00EC02CA">
        <w:t xml:space="preserve">to </w:t>
      </w:r>
      <w:r w:rsidR="00F7639A" w:rsidRPr="00EC02CA">
        <w:t>evaluate the operation of the youth justice system more generally</w:t>
      </w:r>
      <w:r w:rsidRPr="00EC02CA">
        <w:t xml:space="preserve">. However, key ideas </w:t>
      </w:r>
      <w:r w:rsidR="009D3AB6" w:rsidRPr="00EC02CA">
        <w:t xml:space="preserve">emerge </w:t>
      </w:r>
      <w:r w:rsidRPr="00EC02CA">
        <w:t xml:space="preserve">from </w:t>
      </w:r>
      <w:r w:rsidR="009D3AB6" w:rsidRPr="00EC02CA">
        <w:t xml:space="preserve">an </w:t>
      </w:r>
      <w:r w:rsidR="00F7639A" w:rsidRPr="00EC02CA">
        <w:t xml:space="preserve">analysis of the </w:t>
      </w:r>
      <w:r w:rsidR="002C3E47" w:rsidRPr="00EC02CA">
        <w:t>Commission</w:t>
      </w:r>
      <w:r w:rsidR="0038468B" w:rsidRPr="00EC02CA">
        <w:t xml:space="preserve"> of </w:t>
      </w:r>
      <w:r w:rsidR="002C3E47" w:rsidRPr="00EC02CA">
        <w:t>Inquiry</w:t>
      </w:r>
      <w:r w:rsidR="0038468B" w:rsidRPr="00EC02CA">
        <w:t xml:space="preserve"> process</w:t>
      </w:r>
      <w:r w:rsidR="009D3AB6" w:rsidRPr="00EC02CA">
        <w:t>,</w:t>
      </w:r>
      <w:r w:rsidR="0038468B" w:rsidRPr="00EC02CA">
        <w:t xml:space="preserve"> </w:t>
      </w:r>
      <w:r w:rsidR="002C3E47" w:rsidRPr="00EC02CA">
        <w:t>such as</w:t>
      </w:r>
      <w:r w:rsidR="0038468B" w:rsidRPr="00EC02CA">
        <w:t xml:space="preserve"> the recognition of the </w:t>
      </w:r>
      <w:r w:rsidR="002C3E47" w:rsidRPr="00EC02CA">
        <w:t xml:space="preserve">potential benefits of early diversion from the justice system and the </w:t>
      </w:r>
      <w:r w:rsidR="0038468B" w:rsidRPr="00EC02CA">
        <w:t xml:space="preserve">importance of </w:t>
      </w:r>
      <w:r w:rsidR="002C3E47" w:rsidRPr="00EC02CA">
        <w:t>having</w:t>
      </w:r>
      <w:r w:rsidR="0038468B" w:rsidRPr="00EC02CA">
        <w:t xml:space="preserve"> </w:t>
      </w:r>
      <w:r w:rsidR="002C3E47" w:rsidRPr="00EC02CA">
        <w:t>multiple structured</w:t>
      </w:r>
      <w:r w:rsidR="0038468B" w:rsidRPr="00EC02CA">
        <w:t xml:space="preserve"> </w:t>
      </w:r>
      <w:r w:rsidR="002C3E47" w:rsidRPr="00EC02CA">
        <w:t>diversionary</w:t>
      </w:r>
      <w:r w:rsidR="0038468B" w:rsidRPr="00EC02CA">
        <w:t xml:space="preserve"> pathways</w:t>
      </w:r>
      <w:r w:rsidR="002C3E47" w:rsidRPr="00EC02CA">
        <w:t xml:space="preserve"> for young people. In addition, the TLRI </w:t>
      </w:r>
      <w:r w:rsidR="0029716F" w:rsidRPr="00EC02CA">
        <w:t>recognises</w:t>
      </w:r>
      <w:r w:rsidR="00DC543D" w:rsidRPr="00EC02CA">
        <w:t xml:space="preserve"> the research that has examined the </w:t>
      </w:r>
      <w:r w:rsidR="001874EF" w:rsidRPr="00EC02CA">
        <w:t>background</w:t>
      </w:r>
      <w:r w:rsidR="00DC543D" w:rsidRPr="00EC02CA">
        <w:t xml:space="preserve"> of young people involved in the justice system</w:t>
      </w:r>
      <w:r w:rsidR="001874EF" w:rsidRPr="00EC02CA">
        <w:t xml:space="preserve">, which has found </w:t>
      </w:r>
      <w:r w:rsidR="00CF6B16" w:rsidRPr="00EC02CA">
        <w:t xml:space="preserve">that ‘adverse </w:t>
      </w:r>
      <w:r w:rsidR="00F86811" w:rsidRPr="00EC02CA">
        <w:t>childhood</w:t>
      </w:r>
      <w:r w:rsidR="00CF6B16" w:rsidRPr="00EC02CA">
        <w:t xml:space="preserve"> experiences … are prevalent in youth justice populations</w:t>
      </w:r>
      <w:r w:rsidR="00D22242" w:rsidRPr="00EC02CA">
        <w:t xml:space="preserve"> and that those with a higher number of </w:t>
      </w:r>
      <w:r w:rsidR="00F86811" w:rsidRPr="00EC02CA">
        <w:t>adverse</w:t>
      </w:r>
      <w:r w:rsidR="00D22242" w:rsidRPr="00EC02CA">
        <w:t xml:space="preserve"> childhood </w:t>
      </w:r>
      <w:r w:rsidR="00F86811" w:rsidRPr="00EC02CA">
        <w:t>experiences</w:t>
      </w:r>
      <w:r w:rsidR="00D22242" w:rsidRPr="00EC02CA">
        <w:t xml:space="preserve"> are the most likely to engage </w:t>
      </w:r>
      <w:r w:rsidR="00A1058E" w:rsidRPr="00EC02CA">
        <w:t>in serious, violent an</w:t>
      </w:r>
      <w:r w:rsidR="00F86811" w:rsidRPr="00EC02CA">
        <w:t>d</w:t>
      </w:r>
      <w:r w:rsidR="00A1058E" w:rsidRPr="00EC02CA">
        <w:t xml:space="preserve"> </w:t>
      </w:r>
      <w:r w:rsidR="00F86811" w:rsidRPr="00EC02CA">
        <w:t>chronic</w:t>
      </w:r>
      <w:r w:rsidR="00A1058E" w:rsidRPr="00EC02CA">
        <w:t xml:space="preserve"> </w:t>
      </w:r>
      <w:r w:rsidR="00F86811" w:rsidRPr="00EC02CA">
        <w:t>offending’.</w:t>
      </w:r>
      <w:r w:rsidR="00F86811" w:rsidRPr="00EC02CA">
        <w:rPr>
          <w:rStyle w:val="FootnoteReference"/>
        </w:rPr>
        <w:footnoteReference w:id="537"/>
      </w:r>
      <w:r w:rsidR="00F86811" w:rsidRPr="00EC02CA">
        <w:t xml:space="preserve"> </w:t>
      </w:r>
      <w:r w:rsidR="00AF5D92" w:rsidRPr="00EC02CA">
        <w:t>However, the TLRI cautions against a</w:t>
      </w:r>
      <w:r w:rsidR="002A011B" w:rsidRPr="00EC02CA">
        <w:t xml:space="preserve"> response that </w:t>
      </w:r>
      <w:r w:rsidR="00DC6233" w:rsidRPr="00EC02CA">
        <w:t>would</w:t>
      </w:r>
      <w:r w:rsidR="002A011B" w:rsidRPr="00EC02CA">
        <w:t xml:space="preserve"> reintroduce </w:t>
      </w:r>
      <w:r w:rsidR="00270744" w:rsidRPr="00EC02CA">
        <w:t xml:space="preserve">a criminal justice </w:t>
      </w:r>
      <w:r w:rsidR="002A011B" w:rsidRPr="00EC02CA">
        <w:t>‘welfare’ model under a new guise</w:t>
      </w:r>
      <w:r w:rsidR="000F2B13" w:rsidRPr="00EC02CA">
        <w:t xml:space="preserve"> through the imposition of disproportionate state </w:t>
      </w:r>
      <w:r w:rsidR="00135F74" w:rsidRPr="00EC02CA">
        <w:t>interventions</w:t>
      </w:r>
      <w:r w:rsidR="006E5AC5" w:rsidRPr="00EC02CA">
        <w:t xml:space="preserve">, </w:t>
      </w:r>
      <w:r w:rsidR="004D0C73" w:rsidRPr="00EC02CA">
        <w:t>potentially</w:t>
      </w:r>
      <w:r w:rsidR="006E5AC5" w:rsidRPr="00EC02CA">
        <w:t xml:space="preserve"> contradict</w:t>
      </w:r>
      <w:r w:rsidR="004D0C73" w:rsidRPr="00EC02CA">
        <w:t>ing</w:t>
      </w:r>
      <w:r w:rsidR="006E5AC5" w:rsidRPr="00EC02CA">
        <w:t xml:space="preserve"> </w:t>
      </w:r>
      <w:r w:rsidR="009D3AB6" w:rsidRPr="00EC02CA">
        <w:t xml:space="preserve">s </w:t>
      </w:r>
      <w:r w:rsidR="00444919" w:rsidRPr="00EC02CA">
        <w:t>5(2)</w:t>
      </w:r>
      <w:r w:rsidR="0006655A" w:rsidRPr="00EC02CA">
        <w:t>(b)</w:t>
      </w:r>
      <w:r w:rsidR="007A3085" w:rsidRPr="00EC02CA">
        <w:t xml:space="preserve"> of the </w:t>
      </w:r>
      <w:r w:rsidR="007A3085" w:rsidRPr="00EC02CA">
        <w:rPr>
          <w:i/>
          <w:iCs/>
        </w:rPr>
        <w:t>Youth Justice Act 1997</w:t>
      </w:r>
      <w:r w:rsidR="004D0C73" w:rsidRPr="00EC02CA">
        <w:t xml:space="preserve"> </w:t>
      </w:r>
      <w:r w:rsidR="00722C43" w:rsidRPr="00EC02CA">
        <w:t xml:space="preserve">(Tas) </w:t>
      </w:r>
      <w:r w:rsidR="004D0C73" w:rsidRPr="00EC02CA">
        <w:t xml:space="preserve">which </w:t>
      </w:r>
      <w:r w:rsidR="00DD716D" w:rsidRPr="00EC02CA">
        <w:t xml:space="preserve">stipulates the principle that </w:t>
      </w:r>
      <w:r w:rsidR="008B76F7" w:rsidRPr="00EC02CA">
        <w:t xml:space="preserve">a </w:t>
      </w:r>
      <w:r w:rsidR="00FB5096" w:rsidRPr="00EC02CA">
        <w:t>‘youth is not to be treated more severely than an adult would be’</w:t>
      </w:r>
      <w:r w:rsidR="00270744" w:rsidRPr="00EC02CA">
        <w:t xml:space="preserve">. It is important not to lose sight of </w:t>
      </w:r>
      <w:r w:rsidR="009D3AB6" w:rsidRPr="00EC02CA">
        <w:t xml:space="preserve">the </w:t>
      </w:r>
      <w:r w:rsidR="00270744" w:rsidRPr="00EC02CA">
        <w:t xml:space="preserve">fact </w:t>
      </w:r>
      <w:r w:rsidR="002A32D7" w:rsidRPr="00EC02CA">
        <w:t>that</w:t>
      </w:r>
      <w:r w:rsidR="00BD47D6" w:rsidRPr="00EC02CA">
        <w:t xml:space="preserve"> many young people do not offend into adulthood</w:t>
      </w:r>
      <w:r w:rsidR="009D3AB6" w:rsidRPr="00EC02CA">
        <w:t>,</w:t>
      </w:r>
      <w:r w:rsidR="00BD47D6" w:rsidRPr="00EC02CA">
        <w:t xml:space="preserve"> and desist without any intervention </w:t>
      </w:r>
      <w:r w:rsidR="002A32D7" w:rsidRPr="00EC02CA">
        <w:t xml:space="preserve">at </w:t>
      </w:r>
      <w:r w:rsidR="00BD47D6" w:rsidRPr="00EC02CA">
        <w:t>all</w:t>
      </w:r>
      <w:r w:rsidR="002A32D7" w:rsidRPr="00EC02CA">
        <w:t xml:space="preserve">. The TLRI </w:t>
      </w:r>
      <w:r w:rsidR="00944BF8" w:rsidRPr="00EC02CA">
        <w:t xml:space="preserve">draws on these ideas in its analysis </w:t>
      </w:r>
      <w:r w:rsidR="005D06AE" w:rsidRPr="00EC02CA">
        <w:t>of</w:t>
      </w:r>
      <w:r w:rsidR="00944BF8" w:rsidRPr="00EC02CA">
        <w:t xml:space="preserve"> the approach of the </w:t>
      </w:r>
      <w:r w:rsidR="00C32C5E" w:rsidRPr="00EC02CA">
        <w:t>youth</w:t>
      </w:r>
      <w:r w:rsidR="00944BF8" w:rsidRPr="00EC02CA">
        <w:t xml:space="preserve"> justice </w:t>
      </w:r>
      <w:r w:rsidR="005D06AE" w:rsidRPr="00EC02CA">
        <w:t>system</w:t>
      </w:r>
      <w:r w:rsidR="00944BF8" w:rsidRPr="00EC02CA">
        <w:t xml:space="preserve"> in </w:t>
      </w:r>
      <w:r w:rsidR="005D06AE" w:rsidRPr="00EC02CA">
        <w:t>Parts 6–8</w:t>
      </w:r>
      <w:r w:rsidR="005B1C51" w:rsidRPr="00EC02CA">
        <w:t>.</w:t>
      </w:r>
    </w:p>
    <w:p w14:paraId="03AC51D9" w14:textId="77777777" w:rsidR="0070268C" w:rsidRPr="00EC02CA" w:rsidRDefault="0070268C" w:rsidP="002F0007">
      <w:pPr>
        <w:pStyle w:val="NormalNumberedTextTLRI"/>
        <w:sectPr w:rsidR="0070268C" w:rsidRPr="00EC02CA" w:rsidSect="00147507">
          <w:headerReference w:type="even" r:id="rId34"/>
          <w:headerReference w:type="default" r:id="rId35"/>
          <w:pgSz w:w="11906" w:h="16838"/>
          <w:pgMar w:top="1440" w:right="1440" w:bottom="1440" w:left="1440" w:header="708" w:footer="708" w:gutter="0"/>
          <w:cols w:space="708"/>
          <w:docGrid w:linePitch="360"/>
        </w:sectPr>
      </w:pPr>
    </w:p>
    <w:p w14:paraId="0D757074" w14:textId="58ED60A4" w:rsidR="00511134" w:rsidRPr="00EC02CA" w:rsidRDefault="0016638C" w:rsidP="00A920EC">
      <w:pPr>
        <w:pStyle w:val="PartNoTLRI"/>
        <w:spacing w:after="640"/>
        <w:ind w:left="0" w:firstLine="0"/>
      </w:pPr>
      <w:bookmarkStart w:id="284" w:name="_Toc218154184"/>
      <w:bookmarkStart w:id="285" w:name="_Toc218154439"/>
      <w:bookmarkStart w:id="286" w:name="_Toc218154939"/>
      <w:bookmarkStart w:id="287" w:name="_Toc218156499"/>
      <w:bookmarkStart w:id="288" w:name="_Toc218157104"/>
      <w:bookmarkStart w:id="289" w:name="_Toc218157316"/>
      <w:bookmarkStart w:id="290" w:name="_Toc211849416"/>
      <w:bookmarkStart w:id="291" w:name="_Toc218154185"/>
      <w:bookmarkStart w:id="292" w:name="_Toc218154440"/>
      <w:bookmarkStart w:id="293" w:name="_Toc218154940"/>
      <w:bookmarkStart w:id="294" w:name="_Toc218156500"/>
      <w:bookmarkStart w:id="295" w:name="_Toc218157105"/>
      <w:bookmarkStart w:id="296" w:name="_Toc218157317"/>
      <w:bookmarkStart w:id="297" w:name="_Toc211849417"/>
      <w:bookmarkEnd w:id="284"/>
      <w:bookmarkEnd w:id="285"/>
      <w:bookmarkEnd w:id="286"/>
      <w:bookmarkEnd w:id="287"/>
      <w:bookmarkEnd w:id="288"/>
      <w:bookmarkEnd w:id="289"/>
      <w:bookmarkEnd w:id="290"/>
      <w:bookmarkEnd w:id="291"/>
      <w:bookmarkEnd w:id="292"/>
      <w:bookmarkEnd w:id="293"/>
      <w:bookmarkEnd w:id="294"/>
      <w:bookmarkEnd w:id="295"/>
      <w:bookmarkEnd w:id="296"/>
      <w:r w:rsidRPr="00EC02CA">
        <w:br/>
      </w:r>
      <w:r w:rsidRPr="00EC02CA">
        <w:br/>
      </w:r>
      <w:bookmarkStart w:id="298" w:name="_Toc218157318"/>
      <w:r w:rsidR="00EA3F5C" w:rsidRPr="00EC02CA">
        <w:rPr>
          <w:sz w:val="56"/>
          <w:szCs w:val="32"/>
        </w:rPr>
        <w:t>Reporting allegation</w:t>
      </w:r>
      <w:r w:rsidR="001F27F0" w:rsidRPr="00EC02CA">
        <w:rPr>
          <w:sz w:val="56"/>
          <w:szCs w:val="32"/>
        </w:rPr>
        <w:t>s</w:t>
      </w:r>
      <w:r w:rsidR="00EA3F5C" w:rsidRPr="00EC02CA">
        <w:rPr>
          <w:sz w:val="56"/>
          <w:szCs w:val="32"/>
        </w:rPr>
        <w:t xml:space="preserve"> of sexual offending</w:t>
      </w:r>
      <w:r w:rsidR="00085BD7" w:rsidRPr="00EC02CA">
        <w:rPr>
          <w:sz w:val="56"/>
          <w:szCs w:val="32"/>
        </w:rPr>
        <w:t xml:space="preserve"> by young people</w:t>
      </w:r>
      <w:r w:rsidR="001F27F0" w:rsidRPr="00EC02CA">
        <w:rPr>
          <w:sz w:val="56"/>
          <w:szCs w:val="32"/>
        </w:rPr>
        <w:t xml:space="preserve"> and attrition</w:t>
      </w:r>
      <w:bookmarkEnd w:id="297"/>
      <w:bookmarkEnd w:id="298"/>
    </w:p>
    <w:p w14:paraId="1EC17067" w14:textId="7A74F1CA" w:rsidR="00EA3F5C" w:rsidRPr="00EC02CA" w:rsidRDefault="006569EE" w:rsidP="00EA3F5C">
      <w:pPr>
        <w:pStyle w:val="NumberedHeadingTLRI"/>
      </w:pPr>
      <w:bookmarkStart w:id="299" w:name="_Toc211849418"/>
      <w:bookmarkStart w:id="300" w:name="_Toc218157319"/>
      <w:r w:rsidRPr="00EC02CA">
        <w:t>Introduction</w:t>
      </w:r>
      <w:bookmarkEnd w:id="299"/>
      <w:bookmarkEnd w:id="300"/>
    </w:p>
    <w:p w14:paraId="486DD5BB" w14:textId="060AEC26" w:rsidR="00015231" w:rsidRPr="00EC02CA" w:rsidRDefault="00A07D03" w:rsidP="002F0007">
      <w:pPr>
        <w:pStyle w:val="NormalNumberedTextTLRI"/>
      </w:pPr>
      <w:r w:rsidRPr="00EC02CA">
        <w:t xml:space="preserve">As has been </w:t>
      </w:r>
      <w:r w:rsidR="00A748DA" w:rsidRPr="00EC02CA">
        <w:t>discussed in Part 5</w:t>
      </w:r>
      <w:r w:rsidRPr="00EC02CA">
        <w:t>, p</w:t>
      </w:r>
      <w:r w:rsidR="00715E39" w:rsidRPr="00EC02CA">
        <w:t>olice serve as the gatekeeper</w:t>
      </w:r>
      <w:r w:rsidR="00C02B65" w:rsidRPr="00EC02CA">
        <w:t>s</w:t>
      </w:r>
      <w:r w:rsidR="00715E39" w:rsidRPr="00EC02CA">
        <w:t xml:space="preserve"> of the criminal justice system</w:t>
      </w:r>
      <w:r w:rsidR="00614ACE" w:rsidRPr="00EC02CA">
        <w:t xml:space="preserve"> </w:t>
      </w:r>
      <w:r w:rsidR="005B6F1F" w:rsidRPr="00EC02CA">
        <w:t xml:space="preserve">where there have been allegations of sexual offending by a </w:t>
      </w:r>
      <w:r w:rsidR="00A748DA" w:rsidRPr="00EC02CA">
        <w:t>young pe</w:t>
      </w:r>
      <w:r w:rsidR="005B6F1F" w:rsidRPr="00EC02CA">
        <w:t xml:space="preserve">rson </w:t>
      </w:r>
      <w:r w:rsidR="009D4D97" w:rsidRPr="00EC02CA">
        <w:t>–</w:t>
      </w:r>
      <w:r w:rsidR="005B6F1F" w:rsidRPr="00EC02CA">
        <w:t xml:space="preserve"> </w:t>
      </w:r>
      <w:r w:rsidR="00DD74E2" w:rsidRPr="00EC02CA">
        <w:t>arising from the</w:t>
      </w:r>
      <w:r w:rsidR="009D4D97" w:rsidRPr="00EC02CA">
        <w:t>ir</w:t>
      </w:r>
      <w:r w:rsidRPr="00EC02CA">
        <w:t xml:space="preserve"> discretion as to how to proceed</w:t>
      </w:r>
      <w:r w:rsidR="00614ACE" w:rsidRPr="00EC02CA">
        <w:t xml:space="preserve"> </w:t>
      </w:r>
      <w:r w:rsidR="00A748DA" w:rsidRPr="00EC02CA">
        <w:t>when an offence is reported</w:t>
      </w:r>
      <w:r w:rsidR="009D4D97" w:rsidRPr="00EC02CA">
        <w:t>.</w:t>
      </w:r>
      <w:r w:rsidR="00614ACE" w:rsidRPr="00EC02CA">
        <w:t xml:space="preserve"> </w:t>
      </w:r>
      <w:r w:rsidR="005B6F1F" w:rsidRPr="00EC02CA">
        <w:t>However, more fundamentally, police are gatekeepers because the start of a criminal justice process is when an offence is reported to or detected by police</w:t>
      </w:r>
      <w:r w:rsidR="00E26F18" w:rsidRPr="00EC02CA">
        <w:t xml:space="preserve"> (either Tasmania Police or the AFP)</w:t>
      </w:r>
      <w:r w:rsidR="005B6F1F" w:rsidRPr="00EC02CA">
        <w:t>.</w:t>
      </w:r>
      <w:r w:rsidR="005B6F1F" w:rsidRPr="00EC02CA">
        <w:rPr>
          <w:rStyle w:val="FootnoteReference"/>
        </w:rPr>
        <w:footnoteReference w:id="538"/>
      </w:r>
      <w:r w:rsidR="005B6F1F" w:rsidRPr="00EC02CA">
        <w:t xml:space="preserve"> </w:t>
      </w:r>
      <w:r w:rsidR="00F36826" w:rsidRPr="00EC02CA">
        <w:t xml:space="preserve">Part 6 explores </w:t>
      </w:r>
      <w:r w:rsidR="008836AE" w:rsidRPr="00EC02CA">
        <w:t xml:space="preserve">the </w:t>
      </w:r>
      <w:r w:rsidR="00F36826" w:rsidRPr="00EC02CA">
        <w:t xml:space="preserve">ways in which allegations of sexual offending by young people are reported in the criminal justice system. </w:t>
      </w:r>
      <w:r w:rsidR="00557578" w:rsidRPr="00EC02CA">
        <w:t>It also explores the ‘dark figure’ of crime</w:t>
      </w:r>
      <w:r w:rsidR="008836AE" w:rsidRPr="00EC02CA">
        <w:t xml:space="preserve"> (that is, unreported crime)</w:t>
      </w:r>
      <w:r w:rsidR="00557578" w:rsidRPr="00EC02CA">
        <w:t>, and the extent to which sexual offending by young people is reported to police.</w:t>
      </w:r>
      <w:r w:rsidR="007E623C" w:rsidRPr="00EC02CA">
        <w:t xml:space="preserve"> </w:t>
      </w:r>
    </w:p>
    <w:p w14:paraId="563483E3" w14:textId="0BD2EB60" w:rsidR="007E623C" w:rsidRPr="00EC02CA" w:rsidRDefault="00015231" w:rsidP="002F0007">
      <w:pPr>
        <w:pStyle w:val="NormalNumberedTextTLRI"/>
      </w:pPr>
      <w:r w:rsidRPr="00EC02CA">
        <w:t>Further, Part 6 considers factors that may explain why matters do not proceed after a report is made to police. This is referred to as attrition, such as where a report does not proceed to a charge</w:t>
      </w:r>
      <w:r w:rsidR="008836AE" w:rsidRPr="00EC02CA">
        <w:t>,</w:t>
      </w:r>
      <w:r w:rsidRPr="00EC02CA">
        <w:t xml:space="preserve"> or where a charge does not proceed to a trial (or a plea of guilty).</w:t>
      </w:r>
      <w:r w:rsidRPr="00EC02CA">
        <w:rPr>
          <w:rStyle w:val="FootnoteReference"/>
        </w:rPr>
        <w:footnoteReference w:id="539"/>
      </w:r>
      <w:r w:rsidRPr="00EC02CA">
        <w:t xml:space="preserve"> </w:t>
      </w:r>
      <w:r w:rsidR="007E623C" w:rsidRPr="00EC02CA">
        <w:t xml:space="preserve">A key objective of the youth justice system is </w:t>
      </w:r>
      <w:r w:rsidR="008836AE" w:rsidRPr="00EC02CA">
        <w:t xml:space="preserve">to ensure </w:t>
      </w:r>
      <w:r w:rsidR="007E623C" w:rsidRPr="00EC02CA">
        <w:t xml:space="preserve">accountability for youth offenders </w:t>
      </w:r>
      <w:r w:rsidR="008836AE" w:rsidRPr="00EC02CA">
        <w:t xml:space="preserve">by </w:t>
      </w:r>
      <w:r w:rsidR="007E623C" w:rsidRPr="00EC02CA">
        <w:t xml:space="preserve">providing a means </w:t>
      </w:r>
      <w:r w:rsidR="008836AE" w:rsidRPr="00EC02CA">
        <w:t>for</w:t>
      </w:r>
      <w:r w:rsidR="007E623C" w:rsidRPr="00EC02CA">
        <w:t xml:space="preserve"> offenders </w:t>
      </w:r>
      <w:r w:rsidR="008836AE" w:rsidRPr="00EC02CA">
        <w:t xml:space="preserve">to </w:t>
      </w:r>
      <w:r w:rsidR="007E623C" w:rsidRPr="00EC02CA">
        <w:t xml:space="preserve">accept responsibility for their conduct, </w:t>
      </w:r>
      <w:r w:rsidR="008836AE" w:rsidRPr="00EC02CA">
        <w:t xml:space="preserve">while </w:t>
      </w:r>
      <w:r w:rsidR="007E623C" w:rsidRPr="00EC02CA">
        <w:t xml:space="preserve">supporting </w:t>
      </w:r>
      <w:r w:rsidR="008836AE" w:rsidRPr="00EC02CA">
        <w:t>their</w:t>
      </w:r>
      <w:r w:rsidR="007E623C" w:rsidRPr="00EC02CA">
        <w:t xml:space="preserve"> rehabilitation </w:t>
      </w:r>
      <w:r w:rsidR="008836AE" w:rsidRPr="00EC02CA">
        <w:t>through</w:t>
      </w:r>
      <w:r w:rsidR="007E623C" w:rsidRPr="00EC02CA">
        <w:t xml:space="preserve"> access to necessary supports</w:t>
      </w:r>
      <w:r w:rsidR="00444F3D" w:rsidRPr="00EC02CA">
        <w:t>, includ</w:t>
      </w:r>
      <w:r w:rsidR="008836AE" w:rsidRPr="00EC02CA">
        <w:t>ing</w:t>
      </w:r>
      <w:r w:rsidR="00444F3D" w:rsidRPr="00EC02CA">
        <w:t xml:space="preserve"> therapeutic interventions</w:t>
      </w:r>
      <w:r w:rsidR="007E623C" w:rsidRPr="00EC02CA">
        <w:t xml:space="preserve">. In addition, the youth justice system is intended to provide a formal mechanism </w:t>
      </w:r>
      <w:r w:rsidR="008836AE" w:rsidRPr="00EC02CA">
        <w:t>for</w:t>
      </w:r>
      <w:r w:rsidR="00E54A0D" w:rsidRPr="00EC02CA">
        <w:t xml:space="preserve"> victim</w:t>
      </w:r>
      <w:r w:rsidR="008836AE" w:rsidRPr="00EC02CA">
        <w:t>-survivor</w:t>
      </w:r>
      <w:r w:rsidR="00E54A0D" w:rsidRPr="00EC02CA">
        <w:t>s to be active</w:t>
      </w:r>
      <w:r w:rsidR="00724E77" w:rsidRPr="00EC02CA">
        <w:t>ly involve</w:t>
      </w:r>
      <w:r w:rsidR="00371C05" w:rsidRPr="00EC02CA">
        <w:t>d</w:t>
      </w:r>
      <w:r w:rsidR="00724E77" w:rsidRPr="00EC02CA">
        <w:t xml:space="preserve"> in</w:t>
      </w:r>
      <w:r w:rsidR="004B5FB2" w:rsidRPr="00EC02CA">
        <w:t xml:space="preserve"> </w:t>
      </w:r>
      <w:r w:rsidR="00E627D3" w:rsidRPr="00EC02CA">
        <w:t xml:space="preserve">diversionary processes, particularly </w:t>
      </w:r>
      <w:r w:rsidR="004B5FB2" w:rsidRPr="00EC02CA">
        <w:t>community conferences</w:t>
      </w:r>
      <w:r w:rsidR="008836AE" w:rsidRPr="00EC02CA">
        <w:t>. Through these processes</w:t>
      </w:r>
      <w:r w:rsidR="00E729F1" w:rsidRPr="00EC02CA">
        <w:t xml:space="preserve">, </w:t>
      </w:r>
      <w:r w:rsidR="008836AE" w:rsidRPr="00EC02CA">
        <w:t>victim-survivors</w:t>
      </w:r>
      <w:r w:rsidR="00A4218A" w:rsidRPr="00EC02CA">
        <w:t xml:space="preserve"> can describe </w:t>
      </w:r>
      <w:r w:rsidR="009279E7" w:rsidRPr="00EC02CA">
        <w:t>what happened</w:t>
      </w:r>
      <w:r w:rsidR="00A95AC2" w:rsidRPr="00EC02CA">
        <w:t xml:space="preserve">, how the </w:t>
      </w:r>
      <w:r w:rsidR="00EC7777" w:rsidRPr="00EC02CA">
        <w:t xml:space="preserve">offence </w:t>
      </w:r>
      <w:r w:rsidR="008836AE" w:rsidRPr="00EC02CA">
        <w:t>a</w:t>
      </w:r>
      <w:r w:rsidR="00EC7777" w:rsidRPr="00EC02CA">
        <w:t>ffected them</w:t>
      </w:r>
      <w:r w:rsidR="00181733" w:rsidRPr="00EC02CA">
        <w:t xml:space="preserve">, and </w:t>
      </w:r>
      <w:r w:rsidR="0079060B" w:rsidRPr="00EC02CA">
        <w:t xml:space="preserve">how the harms of the offence might be </w:t>
      </w:r>
      <w:r w:rsidR="00C23666" w:rsidRPr="00EC02CA">
        <w:t>addressed</w:t>
      </w:r>
      <w:r w:rsidR="008836AE" w:rsidRPr="00EC02CA">
        <w:t xml:space="preserve">, </w:t>
      </w:r>
      <w:r w:rsidR="003219CB" w:rsidRPr="00EC02CA">
        <w:t>symbolically or practically</w:t>
      </w:r>
      <w:r w:rsidR="008836AE" w:rsidRPr="00EC02CA">
        <w:t>,</w:t>
      </w:r>
      <w:r w:rsidR="003219CB" w:rsidRPr="00EC02CA">
        <w:t xml:space="preserve"> </w:t>
      </w:r>
      <w:r w:rsidR="00C23666" w:rsidRPr="00EC02CA">
        <w:t xml:space="preserve">through undertakings </w:t>
      </w:r>
      <w:r w:rsidR="00931029" w:rsidRPr="00EC02CA">
        <w:t>agreed to by the young offender</w:t>
      </w:r>
      <w:r w:rsidR="00ED4681" w:rsidRPr="00EC02CA">
        <w:t xml:space="preserve"> (see [</w:t>
      </w:r>
      <w:r w:rsidR="003C2C40" w:rsidRPr="00EC02CA">
        <w:fldChar w:fldCharType="begin"/>
      </w:r>
      <w:r w:rsidR="003C2C40" w:rsidRPr="00EC02CA">
        <w:instrText xml:space="preserve"> REF _Ref218240805 \r \h  \* MERGEFORMAT </w:instrText>
      </w:r>
      <w:r w:rsidR="003C2C40" w:rsidRPr="00EC02CA">
        <w:fldChar w:fldCharType="separate"/>
      </w:r>
      <w:r w:rsidR="007D7830">
        <w:t>5.2.11</w:t>
      </w:r>
      <w:r w:rsidR="003C2C40" w:rsidRPr="00EC02CA">
        <w:fldChar w:fldCharType="end"/>
      </w:r>
      <w:r w:rsidR="003C2C40" w:rsidRPr="00EC02CA">
        <w:t>]–[</w:t>
      </w:r>
      <w:r w:rsidR="003C2C40" w:rsidRPr="00EC02CA">
        <w:fldChar w:fldCharType="begin"/>
      </w:r>
      <w:r w:rsidR="003C2C40" w:rsidRPr="00EC02CA">
        <w:instrText xml:space="preserve"> REF _Ref218240820 \r \h  \* MERGEFORMAT </w:instrText>
      </w:r>
      <w:r w:rsidR="003C2C40" w:rsidRPr="00EC02CA">
        <w:fldChar w:fldCharType="separate"/>
      </w:r>
      <w:r w:rsidR="007D7830">
        <w:t>5.3</w:t>
      </w:r>
      <w:r w:rsidR="003C2C40" w:rsidRPr="00EC02CA">
        <w:fldChar w:fldCharType="end"/>
      </w:r>
      <w:r w:rsidR="00023019" w:rsidRPr="00EC02CA">
        <w:t>])</w:t>
      </w:r>
      <w:r w:rsidR="00931029" w:rsidRPr="00EC02CA">
        <w:t xml:space="preserve">. </w:t>
      </w:r>
      <w:r w:rsidR="007E623C" w:rsidRPr="00EC02CA">
        <w:t xml:space="preserve">Accordingly, </w:t>
      </w:r>
      <w:r w:rsidR="008836AE" w:rsidRPr="00EC02CA">
        <w:t>whether</w:t>
      </w:r>
      <w:r w:rsidR="007E623C" w:rsidRPr="00EC02CA">
        <w:t xml:space="preserve"> these aims </w:t>
      </w:r>
      <w:r w:rsidR="008836AE" w:rsidRPr="00EC02CA">
        <w:t xml:space="preserve">can be achieved </w:t>
      </w:r>
      <w:r w:rsidR="007E623C" w:rsidRPr="00EC02CA">
        <w:t>depends</w:t>
      </w:r>
      <w:r w:rsidR="001B0E88" w:rsidRPr="00EC02CA">
        <w:t>, in the first instance,</w:t>
      </w:r>
      <w:r w:rsidR="007E623C" w:rsidRPr="00EC02CA">
        <w:t xml:space="preserve"> on </w:t>
      </w:r>
      <w:r w:rsidR="003C2332" w:rsidRPr="00EC02CA">
        <w:t>victim-survivors</w:t>
      </w:r>
      <w:r w:rsidR="007E623C" w:rsidRPr="00EC02CA">
        <w:t xml:space="preserve"> accessing the justice system though police. </w:t>
      </w:r>
    </w:p>
    <w:p w14:paraId="5B88EC8F" w14:textId="77898D1D" w:rsidR="00085BD7" w:rsidRPr="00EC02CA" w:rsidRDefault="00185DB7" w:rsidP="006569EE">
      <w:pPr>
        <w:pStyle w:val="NumberedHeadingTLRI"/>
      </w:pPr>
      <w:bookmarkStart w:id="301" w:name="_Toc211849419"/>
      <w:bookmarkStart w:id="302" w:name="_Toc218157320"/>
      <w:bookmarkStart w:id="303" w:name="_Ref218240647"/>
      <w:bookmarkStart w:id="304" w:name="_Ref218241018"/>
      <w:bookmarkStart w:id="305" w:name="_Ref218252972"/>
      <w:r w:rsidRPr="00EC02CA">
        <w:t>Reporting p</w:t>
      </w:r>
      <w:r w:rsidR="00085BD7" w:rsidRPr="00EC02CA">
        <w:t xml:space="preserve">athways </w:t>
      </w:r>
      <w:r w:rsidRPr="00EC02CA">
        <w:t>in</w:t>
      </w:r>
      <w:r w:rsidR="00240908" w:rsidRPr="00EC02CA">
        <w:t>to the criminal justice system in</w:t>
      </w:r>
      <w:r w:rsidRPr="00EC02CA">
        <w:t xml:space="preserve"> response to</w:t>
      </w:r>
      <w:r w:rsidR="00085BD7" w:rsidRPr="00EC02CA">
        <w:t xml:space="preserve"> allegations of sexual offending </w:t>
      </w:r>
      <w:r w:rsidRPr="00EC02CA">
        <w:t>by young people</w:t>
      </w:r>
      <w:bookmarkEnd w:id="301"/>
      <w:bookmarkEnd w:id="302"/>
      <w:bookmarkEnd w:id="303"/>
      <w:bookmarkEnd w:id="304"/>
      <w:bookmarkEnd w:id="305"/>
      <w:r w:rsidRPr="00EC02CA">
        <w:t xml:space="preserve"> </w:t>
      </w:r>
    </w:p>
    <w:p w14:paraId="3F83F769" w14:textId="012713BE" w:rsidR="00E338EC" w:rsidRPr="00EC02CA" w:rsidRDefault="002A317B" w:rsidP="002F0007">
      <w:pPr>
        <w:pStyle w:val="NormalNumberedTextTLRI"/>
      </w:pPr>
      <w:r w:rsidRPr="00EC02CA">
        <w:t>Over time, there has been detailed consideration of the criminal justice system</w:t>
      </w:r>
      <w:r w:rsidR="0054291B" w:rsidRPr="00EC02CA">
        <w:t>’s</w:t>
      </w:r>
      <w:r w:rsidRPr="00EC02CA">
        <w:t xml:space="preserve"> response to sexual offending in many jurisdictions, including Tasmania.</w:t>
      </w:r>
      <w:r w:rsidRPr="00EC02CA">
        <w:rPr>
          <w:rStyle w:val="FootnoteReference"/>
        </w:rPr>
        <w:footnoteReference w:id="540"/>
      </w:r>
      <w:r w:rsidRPr="00EC02CA">
        <w:t xml:space="preserve"> </w:t>
      </w:r>
      <w:r w:rsidR="0054291B" w:rsidRPr="00EC02CA">
        <w:t>This</w:t>
      </w:r>
      <w:r w:rsidRPr="00EC02CA">
        <w:t xml:space="preserve"> focus has tended to be on </w:t>
      </w:r>
      <w:r w:rsidR="00EC5D06" w:rsidRPr="00EC02CA">
        <w:t xml:space="preserve">the </w:t>
      </w:r>
      <w:r w:rsidRPr="00EC02CA">
        <w:t xml:space="preserve">operation of the criminal justice system </w:t>
      </w:r>
      <w:r w:rsidR="00EC5D06" w:rsidRPr="00EC02CA">
        <w:t xml:space="preserve">more </w:t>
      </w:r>
      <w:r w:rsidRPr="00EC02CA">
        <w:t>generally</w:t>
      </w:r>
      <w:r w:rsidR="00EC5D06" w:rsidRPr="00EC02CA">
        <w:t xml:space="preserve">, </w:t>
      </w:r>
      <w:r w:rsidR="00FC46F6" w:rsidRPr="00EC02CA">
        <w:t xml:space="preserve">often </w:t>
      </w:r>
      <w:r w:rsidR="00EC5D06" w:rsidRPr="00EC02CA">
        <w:t>from an adult</w:t>
      </w:r>
      <w:r w:rsidR="00FC46F6" w:rsidRPr="00EC02CA">
        <w:t xml:space="preserve"> </w:t>
      </w:r>
      <w:r w:rsidR="00714A24" w:rsidRPr="00EC02CA">
        <w:t xml:space="preserve">justice </w:t>
      </w:r>
      <w:r w:rsidR="00EC5D06" w:rsidRPr="00EC02CA">
        <w:t>perspective,</w:t>
      </w:r>
      <w:r w:rsidRPr="00EC02CA">
        <w:t xml:space="preserve"> or </w:t>
      </w:r>
      <w:r w:rsidR="00EC5D06" w:rsidRPr="00EC02CA">
        <w:t xml:space="preserve">on </w:t>
      </w:r>
      <w:r w:rsidRPr="00EC02CA">
        <w:t>reviews examin</w:t>
      </w:r>
      <w:r w:rsidR="00EC5D06" w:rsidRPr="00EC02CA">
        <w:t>ing</w:t>
      </w:r>
      <w:r w:rsidRPr="00EC02CA">
        <w:t xml:space="preserve"> responses to</w:t>
      </w:r>
      <w:r w:rsidR="00EC5D06" w:rsidRPr="00EC02CA">
        <w:t xml:space="preserve">, </w:t>
      </w:r>
      <w:r w:rsidRPr="00EC02CA">
        <w:t>and reporting of</w:t>
      </w:r>
      <w:r w:rsidR="00EC5D06" w:rsidRPr="00EC02CA">
        <w:t>,</w:t>
      </w:r>
      <w:r w:rsidRPr="00EC02CA">
        <w:t xml:space="preserve"> child sexual offences, as a particular area of concern</w:t>
      </w:r>
      <w:r w:rsidR="00EC5D06" w:rsidRPr="00EC02CA">
        <w:t>. In both cases</w:t>
      </w:r>
      <w:r w:rsidR="008369BA" w:rsidRPr="00EC02CA">
        <w:t xml:space="preserve">, the </w:t>
      </w:r>
      <w:r w:rsidR="00EC5D06" w:rsidRPr="00EC02CA">
        <w:t xml:space="preserve">emphasis </w:t>
      </w:r>
      <w:r w:rsidR="008369BA" w:rsidRPr="00EC02CA">
        <w:t xml:space="preserve">has tended to be on adult </w:t>
      </w:r>
      <w:r w:rsidR="00F00192" w:rsidRPr="00EC02CA">
        <w:t>perpetrators</w:t>
      </w:r>
      <w:r w:rsidRPr="00EC02CA">
        <w:t>.</w:t>
      </w:r>
      <w:r w:rsidR="0006203C" w:rsidRPr="00EC02CA">
        <w:rPr>
          <w:rStyle w:val="FootnoteReference"/>
        </w:rPr>
        <w:footnoteReference w:id="541"/>
      </w:r>
      <w:r w:rsidRPr="00EC02CA">
        <w:t xml:space="preserve"> </w:t>
      </w:r>
      <w:r w:rsidR="001279D0" w:rsidRPr="00EC02CA">
        <w:t>This means there has been limited focus</w:t>
      </w:r>
      <w:r w:rsidR="00EC5D06" w:rsidRPr="00EC02CA">
        <w:t>,</w:t>
      </w:r>
      <w:r w:rsidR="00714A24" w:rsidRPr="00EC02CA">
        <w:t xml:space="preserve"> and limited </w:t>
      </w:r>
      <w:r w:rsidR="00310D00" w:rsidRPr="00EC02CA">
        <w:t xml:space="preserve">publicly </w:t>
      </w:r>
      <w:r w:rsidR="00EC5D06" w:rsidRPr="00EC02CA">
        <w:t xml:space="preserve">available </w:t>
      </w:r>
      <w:r w:rsidR="00714A24" w:rsidRPr="00EC02CA">
        <w:t>data</w:t>
      </w:r>
      <w:r w:rsidR="00EC5D06" w:rsidRPr="00EC02CA">
        <w:t>,</w:t>
      </w:r>
      <w:r w:rsidR="00714A24" w:rsidRPr="00EC02CA">
        <w:t xml:space="preserve"> </w:t>
      </w:r>
      <w:r w:rsidR="004C6B10" w:rsidRPr="00EC02CA">
        <w:t xml:space="preserve">on the number of reports made to police relating to </w:t>
      </w:r>
      <w:r w:rsidR="00193937" w:rsidRPr="00EC02CA">
        <w:t xml:space="preserve">sexual offences </w:t>
      </w:r>
      <w:r w:rsidR="004C6B10" w:rsidRPr="00EC02CA">
        <w:t>that involve a</w:t>
      </w:r>
      <w:r w:rsidR="00193937" w:rsidRPr="00EC02CA">
        <w:t xml:space="preserve"> young people</w:t>
      </w:r>
      <w:r w:rsidR="00B2125A" w:rsidRPr="00EC02CA">
        <w:t xml:space="preserve"> </w:t>
      </w:r>
      <w:r w:rsidR="00EC5D06" w:rsidRPr="00EC02CA">
        <w:t xml:space="preserve">– </w:t>
      </w:r>
      <w:r w:rsidR="00B2125A" w:rsidRPr="00EC02CA">
        <w:t xml:space="preserve">as distinct from </w:t>
      </w:r>
      <w:r w:rsidR="00A51C5B" w:rsidRPr="00EC02CA">
        <w:t xml:space="preserve">the number of </w:t>
      </w:r>
      <w:r w:rsidR="00B2125A" w:rsidRPr="00EC02CA">
        <w:t xml:space="preserve">matters </w:t>
      </w:r>
      <w:r w:rsidR="004C6B10" w:rsidRPr="00EC02CA">
        <w:t xml:space="preserve">where young people are </w:t>
      </w:r>
      <w:r w:rsidR="00B2125A" w:rsidRPr="00EC02CA">
        <w:t>proceeded against by police</w:t>
      </w:r>
      <w:r w:rsidR="004C6B10" w:rsidRPr="00EC02CA">
        <w:t xml:space="preserve"> for sexual offences</w:t>
      </w:r>
      <w:r w:rsidR="00B2125A" w:rsidRPr="00EC02CA">
        <w:t>.</w:t>
      </w:r>
    </w:p>
    <w:p w14:paraId="7838C855" w14:textId="4E37D067" w:rsidR="00E55348" w:rsidRPr="00EC02CA" w:rsidRDefault="004C6B10" w:rsidP="002F0007">
      <w:pPr>
        <w:pStyle w:val="NormalNumberedTextTLRI"/>
      </w:pPr>
      <w:bookmarkStart w:id="306" w:name="_Ref218240989"/>
      <w:r w:rsidRPr="00EC02CA">
        <w:t xml:space="preserve">Police provide the formal gateway or entry point into the criminal justice system. </w:t>
      </w:r>
      <w:r w:rsidR="00E338EC" w:rsidRPr="00EC02CA">
        <w:t>T</w:t>
      </w:r>
      <w:r w:rsidR="001D5465" w:rsidRPr="00EC02CA">
        <w:t xml:space="preserve">here are </w:t>
      </w:r>
      <w:r w:rsidR="00240908" w:rsidRPr="00EC02CA">
        <w:t>several</w:t>
      </w:r>
      <w:r w:rsidR="001D5465" w:rsidRPr="00EC02CA">
        <w:t xml:space="preserve"> ways </w:t>
      </w:r>
      <w:r w:rsidR="00240908" w:rsidRPr="00EC02CA">
        <w:t>by</w:t>
      </w:r>
      <w:r w:rsidR="001D5465" w:rsidRPr="00EC02CA">
        <w:t xml:space="preserve"> which </w:t>
      </w:r>
      <w:r w:rsidR="00214808" w:rsidRPr="00EC02CA">
        <w:t xml:space="preserve">police can be informed about an allegation of sexual offending by a young person. </w:t>
      </w:r>
      <w:r w:rsidR="00CC56AB" w:rsidRPr="00EC02CA">
        <w:t xml:space="preserve">Typically, Tasmania </w:t>
      </w:r>
      <w:r w:rsidR="00F32FC8" w:rsidRPr="00EC02CA">
        <w:t>P</w:t>
      </w:r>
      <w:r w:rsidR="00CC56AB" w:rsidRPr="00EC02CA">
        <w:t xml:space="preserve">olice receive a complaint, either through a mandatory report channel </w:t>
      </w:r>
      <w:r w:rsidR="00D1230C" w:rsidRPr="00EC02CA">
        <w:t xml:space="preserve">(if the </w:t>
      </w:r>
      <w:r w:rsidR="00886B70" w:rsidRPr="00EC02CA">
        <w:t>victim-survivor</w:t>
      </w:r>
      <w:r w:rsidR="002E0D16" w:rsidRPr="00EC02CA">
        <w:t xml:space="preserve"> </w:t>
      </w:r>
      <w:r w:rsidR="00504E2D" w:rsidRPr="00EC02CA">
        <w:t xml:space="preserve">is another </w:t>
      </w:r>
      <w:r w:rsidR="00801BED" w:rsidRPr="00EC02CA">
        <w:t xml:space="preserve">young </w:t>
      </w:r>
      <w:r w:rsidR="00504E2D" w:rsidRPr="00EC02CA">
        <w:t xml:space="preserve">person) </w:t>
      </w:r>
      <w:r w:rsidR="00CC56AB" w:rsidRPr="00EC02CA">
        <w:t xml:space="preserve">or directly from someone affected by an </w:t>
      </w:r>
      <w:r w:rsidR="002F3F36" w:rsidRPr="00EC02CA">
        <w:t>offence</w:t>
      </w:r>
      <w:r w:rsidR="00504E2D" w:rsidRPr="00EC02CA">
        <w:t xml:space="preserve"> (</w:t>
      </w:r>
      <w:r w:rsidR="00A51C5B" w:rsidRPr="00EC02CA">
        <w:t xml:space="preserve">from </w:t>
      </w:r>
      <w:r w:rsidR="00504E2D" w:rsidRPr="00EC02CA">
        <w:t>v</w:t>
      </w:r>
      <w:r w:rsidR="00801BED" w:rsidRPr="00EC02CA">
        <w:t>ictims of all ages)</w:t>
      </w:r>
      <w:r w:rsidR="002F3F36" w:rsidRPr="00EC02CA">
        <w:t>.</w:t>
      </w:r>
      <w:r w:rsidR="006C1539" w:rsidRPr="00EC02CA">
        <w:t xml:space="preserve"> In this way, r</w:t>
      </w:r>
      <w:r w:rsidR="002F3F36" w:rsidRPr="00EC02CA">
        <w:t>eports</w:t>
      </w:r>
      <w:r w:rsidR="00A671F9" w:rsidRPr="00EC02CA">
        <w:t xml:space="preserve"> about sexual offending </w:t>
      </w:r>
      <w:r w:rsidR="00DC2E67" w:rsidRPr="00EC02CA">
        <w:t xml:space="preserve">can come </w:t>
      </w:r>
      <w:r w:rsidR="00491C85" w:rsidRPr="00EC02CA">
        <w:t>directly</w:t>
      </w:r>
      <w:r w:rsidR="00A51C5B" w:rsidRPr="00EC02CA">
        <w:t xml:space="preserve"> </w:t>
      </w:r>
      <w:r w:rsidR="00563A98" w:rsidRPr="00EC02CA">
        <w:t>from the person who has experienced the abuse or</w:t>
      </w:r>
      <w:r w:rsidR="00E660BD" w:rsidRPr="00EC02CA">
        <w:t xml:space="preserve"> </w:t>
      </w:r>
      <w:r w:rsidR="00A51C5B" w:rsidRPr="00EC02CA">
        <w:t>indirectly, from</w:t>
      </w:r>
      <w:r w:rsidR="00563A98" w:rsidRPr="00EC02CA">
        <w:t xml:space="preserve"> another person</w:t>
      </w:r>
      <w:r w:rsidR="00712D0B" w:rsidRPr="00EC02CA">
        <w:t xml:space="preserve"> </w:t>
      </w:r>
      <w:r w:rsidR="00F34802" w:rsidRPr="00EC02CA">
        <w:t>or agency</w:t>
      </w:r>
      <w:r w:rsidR="00A51C5B" w:rsidRPr="00EC02CA">
        <w:t xml:space="preserve">, </w:t>
      </w:r>
      <w:r w:rsidR="00712D0B" w:rsidRPr="00EC02CA">
        <w:t xml:space="preserve">with or without the knowledge of the </w:t>
      </w:r>
      <w:r w:rsidR="00886B70" w:rsidRPr="00EC02CA">
        <w:t>victim-survivor</w:t>
      </w:r>
      <w:r w:rsidR="00D43005" w:rsidRPr="00EC02CA">
        <w:t>.</w:t>
      </w:r>
      <w:r w:rsidR="000615C7" w:rsidRPr="00EC02CA">
        <w:t xml:space="preserve"> </w:t>
      </w:r>
      <w:r w:rsidR="004C3D66" w:rsidRPr="00EC02CA">
        <w:t xml:space="preserve">As described at </w:t>
      </w:r>
      <w:r w:rsidR="00FA0003" w:rsidRPr="00EC02CA">
        <w:t>[</w:t>
      </w:r>
      <w:r w:rsidR="003C2C40" w:rsidRPr="00EC02CA">
        <w:fldChar w:fldCharType="begin"/>
      </w:r>
      <w:r w:rsidR="003C2C40" w:rsidRPr="00EC02CA">
        <w:instrText xml:space="preserve"> REF _Ref218240872 \r \h </w:instrText>
      </w:r>
      <w:r w:rsidR="003C2C40" w:rsidRPr="00EC02CA">
        <w:fldChar w:fldCharType="separate"/>
      </w:r>
      <w:r w:rsidR="007D7830">
        <w:t>6.2.5</w:t>
      </w:r>
      <w:r w:rsidR="003C2C40" w:rsidRPr="00EC02CA">
        <w:fldChar w:fldCharType="end"/>
      </w:r>
      <w:r w:rsidR="00FA0003" w:rsidRPr="00EC02CA">
        <w:t>]</w:t>
      </w:r>
      <w:r w:rsidR="004C3D66" w:rsidRPr="00EC02CA">
        <w:t>, the</w:t>
      </w:r>
      <w:r w:rsidR="00947459" w:rsidRPr="00EC02CA">
        <w:t>re are different reporting channels for the AFP.</w:t>
      </w:r>
      <w:bookmarkEnd w:id="306"/>
    </w:p>
    <w:p w14:paraId="25A8BD6B" w14:textId="348A4324" w:rsidR="00AA127D" w:rsidRPr="00EC02CA" w:rsidRDefault="00E55348" w:rsidP="002F0007">
      <w:pPr>
        <w:pStyle w:val="NormalNumberedTextTLRI"/>
      </w:pPr>
      <w:r w:rsidRPr="00EC02CA">
        <w:t xml:space="preserve">Special reporting </w:t>
      </w:r>
      <w:r w:rsidR="00C25907" w:rsidRPr="00EC02CA">
        <w:t>obligations</w:t>
      </w:r>
      <w:r w:rsidRPr="00EC02CA">
        <w:t xml:space="preserve"> apply in relation to sexual offences where the </w:t>
      </w:r>
      <w:r w:rsidR="00886B70" w:rsidRPr="00EC02CA">
        <w:t>victim-survivor</w:t>
      </w:r>
      <w:r w:rsidR="00C25907" w:rsidRPr="00EC02CA">
        <w:t xml:space="preserve"> is aged under 18. T</w:t>
      </w:r>
      <w:r w:rsidR="00C06276" w:rsidRPr="00EC02CA">
        <w:t>here is a requirement</w:t>
      </w:r>
      <w:r w:rsidR="00C25907" w:rsidRPr="00EC02CA">
        <w:t xml:space="preserve"> </w:t>
      </w:r>
      <w:r w:rsidR="00202B6E" w:rsidRPr="00EC02CA">
        <w:t>for</w:t>
      </w:r>
      <w:r w:rsidR="00C25907" w:rsidRPr="00EC02CA">
        <w:t xml:space="preserve"> all adults</w:t>
      </w:r>
      <w:r w:rsidR="00C06276" w:rsidRPr="00EC02CA">
        <w:t xml:space="preserve"> to report </w:t>
      </w:r>
      <w:r w:rsidR="00C05B7D" w:rsidRPr="00EC02CA">
        <w:t>child sexual offences to police</w:t>
      </w:r>
      <w:r w:rsidR="00202B6E" w:rsidRPr="00EC02CA">
        <w:t xml:space="preserve">, </w:t>
      </w:r>
      <w:r w:rsidR="00C05B7D" w:rsidRPr="00EC02CA">
        <w:t>with some limited exceptions</w:t>
      </w:r>
      <w:r w:rsidR="00B851B2" w:rsidRPr="00EC02CA">
        <w:t>.</w:t>
      </w:r>
      <w:r w:rsidR="00202671" w:rsidRPr="00EC02CA">
        <w:rPr>
          <w:rStyle w:val="FootnoteReference"/>
        </w:rPr>
        <w:footnoteReference w:id="542"/>
      </w:r>
      <w:r w:rsidR="00B851B2" w:rsidRPr="00EC02CA">
        <w:t xml:space="preserve"> </w:t>
      </w:r>
      <w:r w:rsidR="00320A8A" w:rsidRPr="00EC02CA">
        <w:t xml:space="preserve">Reflecting the </w:t>
      </w:r>
      <w:r w:rsidR="00202B6E" w:rsidRPr="00EC02CA">
        <w:t xml:space="preserve">emphasis placed by the Royal Commission into Institutional Responses to Child Sexual Abuse on </w:t>
      </w:r>
      <w:r w:rsidR="00320A8A" w:rsidRPr="00EC02CA">
        <w:t>encourag</w:t>
      </w:r>
      <w:r w:rsidR="00202B6E" w:rsidRPr="00EC02CA">
        <w:t>ing the</w:t>
      </w:r>
      <w:r w:rsidR="00320A8A" w:rsidRPr="00EC02CA">
        <w:t xml:space="preserve"> reporting</w:t>
      </w:r>
      <w:r w:rsidR="00AA127D" w:rsidRPr="00EC02CA">
        <w:t xml:space="preserve"> of child sexual offences</w:t>
      </w:r>
      <w:r w:rsidR="00C2615E" w:rsidRPr="00EC02CA">
        <w:t xml:space="preserve">, </w:t>
      </w:r>
      <w:r w:rsidR="00202B6E" w:rsidRPr="00EC02CA">
        <w:t>all adults are required</w:t>
      </w:r>
      <w:r w:rsidR="00B87CDA" w:rsidRPr="00EC02CA">
        <w:t xml:space="preserve"> to report </w:t>
      </w:r>
      <w:r w:rsidR="00202B6E" w:rsidRPr="00EC02CA">
        <w:t xml:space="preserve">suspected </w:t>
      </w:r>
      <w:r w:rsidR="00B87CDA" w:rsidRPr="00EC02CA">
        <w:t>instances of child sexual abuse to Tasmania Police</w:t>
      </w:r>
      <w:r w:rsidR="00102F22" w:rsidRPr="00EC02CA">
        <w:t xml:space="preserve">, </w:t>
      </w:r>
      <w:r w:rsidR="00202B6E" w:rsidRPr="00EC02CA">
        <w:t xml:space="preserve">regardless of </w:t>
      </w:r>
      <w:r w:rsidR="00102F22" w:rsidRPr="00EC02CA">
        <w:t xml:space="preserve">whether </w:t>
      </w:r>
      <w:r w:rsidR="00202B6E" w:rsidRPr="00EC02CA">
        <w:t xml:space="preserve">the offending is believed to have been </w:t>
      </w:r>
      <w:r w:rsidR="00102F22" w:rsidRPr="00EC02CA">
        <w:t>committed by an adult or a young person</w:t>
      </w:r>
      <w:r w:rsidR="00B87CDA" w:rsidRPr="00EC02CA">
        <w:t>.</w:t>
      </w:r>
      <w:r w:rsidR="00C04B44" w:rsidRPr="00EC02CA">
        <w:rPr>
          <w:rStyle w:val="FootnoteReference"/>
        </w:rPr>
        <w:footnoteReference w:id="543"/>
      </w:r>
      <w:r w:rsidR="00C04B44" w:rsidRPr="00EC02CA">
        <w:t xml:space="preserve"> </w:t>
      </w:r>
      <w:r w:rsidR="00B87CDA" w:rsidRPr="00EC02CA">
        <w:t xml:space="preserve"> </w:t>
      </w:r>
    </w:p>
    <w:p w14:paraId="07F7A360" w14:textId="021C301E" w:rsidR="00F13E6E" w:rsidRPr="00EC02CA" w:rsidRDefault="00C25907" w:rsidP="002F0007">
      <w:pPr>
        <w:pStyle w:val="NormalNumberedTextTLRI"/>
      </w:pPr>
      <w:r w:rsidRPr="00EC02CA">
        <w:t>In relation to allegations of sexual offending or abuse committed against a person</w:t>
      </w:r>
      <w:r w:rsidR="00314645" w:rsidRPr="00EC02CA">
        <w:t xml:space="preserve"> aged</w:t>
      </w:r>
      <w:r w:rsidRPr="00EC02CA">
        <w:t xml:space="preserve"> under 18, r</w:t>
      </w:r>
      <w:r w:rsidR="002F3F36" w:rsidRPr="00EC02CA">
        <w:t>eports can also come to Tasmania Police via the Strong Families, Safe Kids Advi</w:t>
      </w:r>
      <w:r w:rsidR="00314645" w:rsidRPr="00EC02CA">
        <w:t>c</w:t>
      </w:r>
      <w:r w:rsidR="002F3F36" w:rsidRPr="00EC02CA">
        <w:t xml:space="preserve">e and Referral Line </w:t>
      </w:r>
      <w:r w:rsidR="00FA0003" w:rsidRPr="00EC02CA">
        <w:t xml:space="preserve">(ARL) </w:t>
      </w:r>
      <w:r w:rsidR="005C7726" w:rsidRPr="00EC02CA">
        <w:t>as a result of</w:t>
      </w:r>
      <w:r w:rsidR="00314645" w:rsidRPr="00EC02CA">
        <w:t xml:space="preserve"> </w:t>
      </w:r>
      <w:r w:rsidR="00092329" w:rsidRPr="00EC02CA">
        <w:t>reports made by mandatory reporters</w:t>
      </w:r>
      <w:r w:rsidR="00F13E6E" w:rsidRPr="00EC02CA">
        <w:t xml:space="preserve"> under the </w:t>
      </w:r>
      <w:r w:rsidR="00F13E6E" w:rsidRPr="00EC02CA">
        <w:rPr>
          <w:i/>
          <w:iCs/>
        </w:rPr>
        <w:t xml:space="preserve">Children, Young Persons and Their Families Act 1997 </w:t>
      </w:r>
      <w:r w:rsidR="00F13E6E" w:rsidRPr="00EC02CA">
        <w:t>(Tas)</w:t>
      </w:r>
      <w:r w:rsidR="00DB625C" w:rsidRPr="00EC02CA">
        <w:t xml:space="preserve"> or </w:t>
      </w:r>
      <w:r w:rsidR="00314645" w:rsidRPr="00EC02CA">
        <w:t xml:space="preserve">from </w:t>
      </w:r>
      <w:r w:rsidR="00DB625C" w:rsidRPr="00EC02CA">
        <w:t xml:space="preserve">other people who </w:t>
      </w:r>
      <w:r w:rsidR="005C7726" w:rsidRPr="00EC02CA">
        <w:t xml:space="preserve">report their </w:t>
      </w:r>
      <w:r w:rsidR="00DB625C" w:rsidRPr="00EC02CA">
        <w:t>concerns</w:t>
      </w:r>
      <w:r w:rsidR="005C7726" w:rsidRPr="00EC02CA">
        <w:t xml:space="preserve"> to the ARL</w:t>
      </w:r>
      <w:r w:rsidR="006A5CF3" w:rsidRPr="00EC02CA">
        <w:t xml:space="preserve"> (non-mandatory reporters)</w:t>
      </w:r>
      <w:r w:rsidR="00647165" w:rsidRPr="00EC02CA">
        <w:t xml:space="preserve">. </w:t>
      </w:r>
      <w:r w:rsidR="006A5CF3" w:rsidRPr="00EC02CA">
        <w:t>M</w:t>
      </w:r>
      <w:r w:rsidR="00250DFC" w:rsidRPr="00EC02CA">
        <w:t xml:space="preserve">andatory reporters include a range of professionals, such as teachers, </w:t>
      </w:r>
      <w:r w:rsidR="00F82BE8" w:rsidRPr="00EC02CA">
        <w:t xml:space="preserve">nurses, </w:t>
      </w:r>
      <w:r w:rsidR="00384C1F" w:rsidRPr="00EC02CA">
        <w:t>childcare</w:t>
      </w:r>
      <w:r w:rsidR="00F82BE8" w:rsidRPr="00EC02CA">
        <w:t xml:space="preserve"> </w:t>
      </w:r>
      <w:r w:rsidR="00384C1F" w:rsidRPr="00EC02CA">
        <w:t>providers</w:t>
      </w:r>
      <w:r w:rsidR="00F82BE8" w:rsidRPr="00EC02CA">
        <w:t xml:space="preserve">, police officers, </w:t>
      </w:r>
      <w:r w:rsidR="00384C1F" w:rsidRPr="00EC02CA">
        <w:t>psychologists and medical practitioners</w:t>
      </w:r>
      <w:r w:rsidR="00C941E2" w:rsidRPr="00EC02CA">
        <w:t>,</w:t>
      </w:r>
      <w:r w:rsidR="00384C1F" w:rsidRPr="00EC02CA">
        <w:rPr>
          <w:rStyle w:val="FootnoteReference"/>
        </w:rPr>
        <w:footnoteReference w:id="544"/>
      </w:r>
      <w:r w:rsidR="009404BA" w:rsidRPr="00EC02CA">
        <w:t xml:space="preserve"> </w:t>
      </w:r>
      <w:r w:rsidR="00C941E2" w:rsidRPr="00EC02CA">
        <w:t xml:space="preserve">and reports </w:t>
      </w:r>
      <w:r w:rsidR="005C7726" w:rsidRPr="00EC02CA">
        <w:t xml:space="preserve">to the ARL </w:t>
      </w:r>
      <w:r w:rsidR="00C941E2" w:rsidRPr="00EC02CA">
        <w:t xml:space="preserve">are required where the person believes that a child or young person has suffered abuse or is at risk of abuse. </w:t>
      </w:r>
      <w:r w:rsidR="00B17A26" w:rsidRPr="00EC02CA">
        <w:t>A</w:t>
      </w:r>
      <w:r w:rsidR="006D6EAE" w:rsidRPr="00EC02CA">
        <w:t xml:space="preserve"> dual </w:t>
      </w:r>
      <w:r w:rsidR="00AC64DB" w:rsidRPr="00EC02CA">
        <w:t>reporting</w:t>
      </w:r>
      <w:r w:rsidR="006D6EAE" w:rsidRPr="00EC02CA">
        <w:t xml:space="preserve"> obligation </w:t>
      </w:r>
      <w:r w:rsidR="00B17A26" w:rsidRPr="00EC02CA">
        <w:t xml:space="preserve">is placed </w:t>
      </w:r>
      <w:r w:rsidR="006D6EAE" w:rsidRPr="00EC02CA">
        <w:t xml:space="preserve">upon </w:t>
      </w:r>
      <w:r w:rsidR="005C7726" w:rsidRPr="00EC02CA">
        <w:t xml:space="preserve">a </w:t>
      </w:r>
      <w:r w:rsidR="006D6EAE" w:rsidRPr="00EC02CA">
        <w:t xml:space="preserve">mandatory </w:t>
      </w:r>
      <w:r w:rsidR="00AC64DB" w:rsidRPr="00EC02CA">
        <w:t>reporter</w:t>
      </w:r>
      <w:r w:rsidR="006D6EAE" w:rsidRPr="00EC02CA">
        <w:t xml:space="preserve"> to </w:t>
      </w:r>
      <w:r w:rsidR="007810E7" w:rsidRPr="00EC02CA">
        <w:t xml:space="preserve">report to the ARL and also Tasmania Police if </w:t>
      </w:r>
      <w:r w:rsidR="005C7726" w:rsidRPr="00EC02CA">
        <w:t>that</w:t>
      </w:r>
      <w:r w:rsidR="007810E7" w:rsidRPr="00EC02CA">
        <w:t xml:space="preserve"> person </w:t>
      </w:r>
      <w:r w:rsidR="00C941E2" w:rsidRPr="00EC02CA">
        <w:t>believes</w:t>
      </w:r>
      <w:r w:rsidR="007810E7" w:rsidRPr="00EC02CA">
        <w:t xml:space="preserve"> that a crime has been committed</w:t>
      </w:r>
      <w:r w:rsidR="005C7726" w:rsidRPr="00EC02CA">
        <w:t>,</w:t>
      </w:r>
      <w:r w:rsidR="007810E7" w:rsidRPr="00EC02CA">
        <w:t xml:space="preserve"> such as the sexual abuse of a child.</w:t>
      </w:r>
      <w:r w:rsidR="00DE29C4" w:rsidRPr="00EC02CA">
        <w:t xml:space="preserve"> </w:t>
      </w:r>
      <w:r w:rsidR="008477BA" w:rsidRPr="00EC02CA">
        <w:t>R</w:t>
      </w:r>
      <w:r w:rsidR="00CF741D" w:rsidRPr="00EC02CA">
        <w:t>eports</w:t>
      </w:r>
      <w:r w:rsidR="008477BA" w:rsidRPr="00EC02CA">
        <w:t xml:space="preserve"> </w:t>
      </w:r>
      <w:r w:rsidR="00DE29C4" w:rsidRPr="00EC02CA">
        <w:t xml:space="preserve">to the ARL </w:t>
      </w:r>
      <w:r w:rsidR="008477BA" w:rsidRPr="00EC02CA">
        <w:t>can also be</w:t>
      </w:r>
      <w:r w:rsidR="00CF741D" w:rsidRPr="00EC02CA">
        <w:t xml:space="preserve"> made by people who are not mandatory reporters, such as family members</w:t>
      </w:r>
      <w:r w:rsidR="00E82FA5" w:rsidRPr="00EC02CA">
        <w:t xml:space="preserve"> or </w:t>
      </w:r>
      <w:r w:rsidR="00CF741D" w:rsidRPr="00EC02CA">
        <w:t>friends</w:t>
      </w:r>
      <w:r w:rsidR="00E82FA5" w:rsidRPr="00EC02CA">
        <w:t>.</w:t>
      </w:r>
      <w:r w:rsidR="007631DB" w:rsidRPr="00EC02CA">
        <w:t xml:space="preserve"> </w:t>
      </w:r>
      <w:r w:rsidR="00DE29C4" w:rsidRPr="00EC02CA">
        <w:t>Unlike mandatory reporters</w:t>
      </w:r>
      <w:r w:rsidR="005C7726" w:rsidRPr="00EC02CA">
        <w:t>,</w:t>
      </w:r>
      <w:r w:rsidR="00DE29C4" w:rsidRPr="00EC02CA">
        <w:t xml:space="preserve"> these people do not have to report to the ARL, </w:t>
      </w:r>
      <w:r w:rsidR="00AC64DB" w:rsidRPr="00EC02CA">
        <w:t>but like mandatory reporters these</w:t>
      </w:r>
      <w:r w:rsidR="00DE29C4" w:rsidRPr="00EC02CA">
        <w:t xml:space="preserve"> people have an obligation to report to police</w:t>
      </w:r>
      <w:r w:rsidR="00AC64DB" w:rsidRPr="00EC02CA">
        <w:t xml:space="preserve"> if </w:t>
      </w:r>
      <w:r w:rsidR="005C7726" w:rsidRPr="00EC02CA">
        <w:t xml:space="preserve">they </w:t>
      </w:r>
      <w:r w:rsidR="00AC64DB" w:rsidRPr="00EC02CA">
        <w:t>believe that a crime has been committed.</w:t>
      </w:r>
    </w:p>
    <w:p w14:paraId="7E603F5C" w14:textId="36A7A0D9" w:rsidR="004E328F" w:rsidRPr="00EC02CA" w:rsidRDefault="002939FB" w:rsidP="002F0007">
      <w:pPr>
        <w:pStyle w:val="NormalNumberedTextTLRI"/>
      </w:pPr>
      <w:bookmarkStart w:id="307" w:name="_Ref218240872"/>
      <w:r w:rsidRPr="00EC02CA">
        <w:t>In addition</w:t>
      </w:r>
      <w:r w:rsidR="009024DD" w:rsidRPr="00EC02CA">
        <w:t xml:space="preserve"> to reports made directly to </w:t>
      </w:r>
      <w:r w:rsidR="001B778C" w:rsidRPr="00EC02CA">
        <w:t xml:space="preserve">Tasmania </w:t>
      </w:r>
      <w:r w:rsidR="00830137" w:rsidRPr="00EC02CA">
        <w:t>P</w:t>
      </w:r>
      <w:r w:rsidR="009024DD" w:rsidRPr="00EC02CA">
        <w:t xml:space="preserve">olice or via the </w:t>
      </w:r>
      <w:r w:rsidR="00FA0003" w:rsidRPr="00EC02CA">
        <w:t>ARL</w:t>
      </w:r>
      <w:r w:rsidRPr="00EC02CA">
        <w:t xml:space="preserve">, </w:t>
      </w:r>
      <w:r w:rsidR="006F6221" w:rsidRPr="00EC02CA">
        <w:t xml:space="preserve">there are </w:t>
      </w:r>
      <w:r w:rsidR="00A47D2B" w:rsidRPr="00EC02CA">
        <w:t xml:space="preserve">additional </w:t>
      </w:r>
      <w:r w:rsidR="006F6221" w:rsidRPr="00EC02CA">
        <w:t xml:space="preserve">pathways </w:t>
      </w:r>
      <w:r w:rsidR="00A47D2B" w:rsidRPr="00EC02CA">
        <w:t>through</w:t>
      </w:r>
      <w:r w:rsidR="006F6221" w:rsidRPr="00EC02CA">
        <w:t xml:space="preserve"> which police may </w:t>
      </w:r>
      <w:r w:rsidR="00A47D2B" w:rsidRPr="00EC02CA">
        <w:t>receive information about online sexual offending</w:t>
      </w:r>
      <w:r w:rsidR="001B778C" w:rsidRPr="00EC02CA">
        <w:t>, where it involves child exploitation material</w:t>
      </w:r>
      <w:r w:rsidR="00231409" w:rsidRPr="00EC02CA">
        <w:t>. As discussed</w:t>
      </w:r>
      <w:r w:rsidR="00695BB7" w:rsidRPr="00EC02CA">
        <w:t xml:space="preserve">, the AFP </w:t>
      </w:r>
      <w:r w:rsidR="001B778C" w:rsidRPr="00EC02CA">
        <w:t xml:space="preserve">works in partnership with Tasmania </w:t>
      </w:r>
      <w:r w:rsidR="005C7726" w:rsidRPr="00EC02CA">
        <w:t>P</w:t>
      </w:r>
      <w:r w:rsidR="001B778C" w:rsidRPr="00EC02CA">
        <w:t>olice to respond to notifications of online child sexual offending.</w:t>
      </w:r>
      <w:r w:rsidR="008E62DF" w:rsidRPr="00EC02CA">
        <w:rPr>
          <w:rStyle w:val="FootnoteReference"/>
        </w:rPr>
        <w:footnoteReference w:id="545"/>
      </w:r>
      <w:r w:rsidR="001B778C" w:rsidRPr="00EC02CA">
        <w:t xml:space="preserve"> The AF</w:t>
      </w:r>
      <w:r w:rsidR="003777B6" w:rsidRPr="00EC02CA">
        <w:t>P</w:t>
      </w:r>
      <w:r w:rsidR="001B778C" w:rsidRPr="00EC02CA">
        <w:t xml:space="preserve"> </w:t>
      </w:r>
      <w:r w:rsidR="00695BB7" w:rsidRPr="00EC02CA">
        <w:t xml:space="preserve">receives notifications </w:t>
      </w:r>
      <w:r w:rsidR="00C70921" w:rsidRPr="00EC02CA">
        <w:t xml:space="preserve">though the National Centre </w:t>
      </w:r>
      <w:r w:rsidR="00C32DF4" w:rsidRPr="00EC02CA">
        <w:t>for Missing and Exploited Children</w:t>
      </w:r>
      <w:r w:rsidR="000C11F4" w:rsidRPr="00EC02CA">
        <w:t xml:space="preserve">. </w:t>
      </w:r>
      <w:r w:rsidR="00231409" w:rsidRPr="00EC02CA">
        <w:t>Further, a</w:t>
      </w:r>
      <w:r w:rsidRPr="00EC02CA">
        <w:t xml:space="preserve"> person may make a report to the eSafety </w:t>
      </w:r>
      <w:r w:rsidR="00E6418E" w:rsidRPr="00EC02CA">
        <w:t>Commissioner</w:t>
      </w:r>
      <w:r w:rsidR="00E70255" w:rsidRPr="00EC02CA">
        <w:t>, who</w:t>
      </w:r>
      <w:r w:rsidR="005C7726" w:rsidRPr="00EC02CA">
        <w:t>,</w:t>
      </w:r>
      <w:r w:rsidR="00E70255" w:rsidRPr="00EC02CA">
        <w:t xml:space="preserve"> </w:t>
      </w:r>
      <w:r w:rsidR="001B778C" w:rsidRPr="00EC02CA">
        <w:t>in addition to powers of investigation</w:t>
      </w:r>
      <w:r w:rsidR="00E045C6" w:rsidRPr="00EC02CA">
        <w:t xml:space="preserve"> for</w:t>
      </w:r>
      <w:r w:rsidR="00E70255" w:rsidRPr="00EC02CA">
        <w:t xml:space="preserve"> a range of online behaviour</w:t>
      </w:r>
      <w:r w:rsidR="005C7726" w:rsidRPr="00EC02CA">
        <w:t>s –</w:t>
      </w:r>
      <w:r w:rsidR="00E70255" w:rsidRPr="00EC02CA">
        <w:t xml:space="preserve"> including </w:t>
      </w:r>
      <w:r w:rsidR="00832CB2" w:rsidRPr="00EC02CA">
        <w:t>ima</w:t>
      </w:r>
      <w:r w:rsidR="007E75B8" w:rsidRPr="00EC02CA">
        <w:t>g</w:t>
      </w:r>
      <w:r w:rsidR="00832CB2" w:rsidRPr="00EC02CA">
        <w:t xml:space="preserve">e-based </w:t>
      </w:r>
      <w:r w:rsidR="00E045C6" w:rsidRPr="00EC02CA">
        <w:t>abuse</w:t>
      </w:r>
      <w:r w:rsidR="005C7726" w:rsidRPr="00EC02CA">
        <w:t xml:space="preserve"> –</w:t>
      </w:r>
      <w:r w:rsidR="00E045C6" w:rsidRPr="00EC02CA">
        <w:t xml:space="preserve"> can make reports to police.</w:t>
      </w:r>
      <w:r w:rsidR="00A47CA4" w:rsidRPr="00EC02CA">
        <w:rPr>
          <w:rStyle w:val="FootnoteReference"/>
        </w:rPr>
        <w:footnoteReference w:id="546"/>
      </w:r>
      <w:r w:rsidR="007E75B8" w:rsidRPr="00EC02CA">
        <w:t xml:space="preserve"> </w:t>
      </w:r>
      <w:r w:rsidR="00B10EA9" w:rsidRPr="00EC02CA">
        <w:t>The Australian Centre to Counter Child Exploitation</w:t>
      </w:r>
      <w:r w:rsidR="00F66DED" w:rsidRPr="00EC02CA">
        <w:t xml:space="preserve"> (ACCCE)</w:t>
      </w:r>
      <w:r w:rsidR="005C7726" w:rsidRPr="00EC02CA">
        <w:t>,</w:t>
      </w:r>
      <w:r w:rsidR="00B10EA9" w:rsidRPr="00EC02CA">
        <w:t xml:space="preserve"> an initiative of the AFP</w:t>
      </w:r>
      <w:r w:rsidR="005C7726" w:rsidRPr="00EC02CA">
        <w:t>,</w:t>
      </w:r>
      <w:r w:rsidR="00B10EA9" w:rsidRPr="00EC02CA">
        <w:t xml:space="preserve"> may receive reports from </w:t>
      </w:r>
      <w:r w:rsidR="005C7726" w:rsidRPr="00EC02CA">
        <w:t xml:space="preserve">the </w:t>
      </w:r>
      <w:r w:rsidR="00D27E06" w:rsidRPr="00EC02CA">
        <w:t>eS</w:t>
      </w:r>
      <w:r w:rsidR="000C11F4" w:rsidRPr="00EC02CA">
        <w:t xml:space="preserve">afety </w:t>
      </w:r>
      <w:r w:rsidR="005C7726" w:rsidRPr="00EC02CA">
        <w:t xml:space="preserve">Commissioner </w:t>
      </w:r>
      <w:r w:rsidR="000C11F4" w:rsidRPr="00EC02CA">
        <w:t xml:space="preserve">and other Commonwealth agencies, </w:t>
      </w:r>
      <w:r w:rsidR="008621EB" w:rsidRPr="00EC02CA">
        <w:t>investigative</w:t>
      </w:r>
      <w:r w:rsidR="00D27E06" w:rsidRPr="00EC02CA">
        <w:t xml:space="preserve"> </w:t>
      </w:r>
      <w:r w:rsidR="008621EB" w:rsidRPr="00EC02CA">
        <w:t>authorities</w:t>
      </w:r>
      <w:r w:rsidR="00D27E06" w:rsidRPr="00EC02CA">
        <w:t xml:space="preserve"> (AFP, JACET</w:t>
      </w:r>
      <w:r w:rsidR="008621EB" w:rsidRPr="00EC02CA">
        <w:t xml:space="preserve">, </w:t>
      </w:r>
      <w:r w:rsidR="005C7726" w:rsidRPr="00EC02CA">
        <w:t>s</w:t>
      </w:r>
      <w:r w:rsidR="008621EB" w:rsidRPr="00EC02CA">
        <w:t xml:space="preserve">tate or </w:t>
      </w:r>
      <w:r w:rsidR="005C7726" w:rsidRPr="00EC02CA">
        <w:t>t</w:t>
      </w:r>
      <w:r w:rsidR="008621EB" w:rsidRPr="00EC02CA">
        <w:t xml:space="preserve">erritory police and other law enforcement agencies), </w:t>
      </w:r>
      <w:r w:rsidR="000C11F4" w:rsidRPr="00EC02CA">
        <w:t>victims of crime, members of the public, non-government organisations and private sector organisations.</w:t>
      </w:r>
      <w:r w:rsidR="000C11F4" w:rsidRPr="00EC02CA">
        <w:rPr>
          <w:rStyle w:val="FootnoteReference"/>
        </w:rPr>
        <w:footnoteReference w:id="547"/>
      </w:r>
      <w:r w:rsidR="0BDE3B2E" w:rsidRPr="00EC02CA">
        <w:t xml:space="preserve"> </w:t>
      </w:r>
      <w:r w:rsidR="008621EB" w:rsidRPr="00EC02CA">
        <w:t xml:space="preserve">The ACCCE then can refer </w:t>
      </w:r>
      <w:r w:rsidR="005C7726" w:rsidRPr="00EC02CA">
        <w:t xml:space="preserve">reports </w:t>
      </w:r>
      <w:r w:rsidR="008621EB" w:rsidRPr="00EC02CA">
        <w:t xml:space="preserve">to </w:t>
      </w:r>
      <w:r w:rsidR="0098233D" w:rsidRPr="00EC02CA">
        <w:t xml:space="preserve">JACET </w:t>
      </w:r>
      <w:r w:rsidR="003F7FC2" w:rsidRPr="00EC02CA">
        <w:t>and</w:t>
      </w:r>
      <w:r w:rsidR="0098233D" w:rsidRPr="00EC02CA">
        <w:t>/or the AFP or Tasmania Police to investigate.</w:t>
      </w:r>
      <w:r w:rsidR="0098233D" w:rsidRPr="00EC02CA">
        <w:rPr>
          <w:rStyle w:val="FootnoteReference"/>
        </w:rPr>
        <w:footnoteReference w:id="548"/>
      </w:r>
      <w:bookmarkEnd w:id="307"/>
    </w:p>
    <w:p w14:paraId="743012B1" w14:textId="5E390A06" w:rsidR="009404BA" w:rsidRPr="00EC02CA" w:rsidRDefault="009404BA" w:rsidP="00A920EC">
      <w:pPr>
        <w:pStyle w:val="TLRISubheading"/>
      </w:pPr>
      <w:bookmarkStart w:id="308" w:name="_Toc211849420"/>
      <w:bookmarkStart w:id="309" w:name="_Toc218157321"/>
      <w:r w:rsidRPr="00EC02CA">
        <w:t>Strong Families, Safe Kids Advice and Referral Line</w:t>
      </w:r>
      <w:bookmarkEnd w:id="308"/>
      <w:bookmarkEnd w:id="309"/>
    </w:p>
    <w:p w14:paraId="413594EE" w14:textId="05ADCB5B" w:rsidR="004A6450" w:rsidRPr="00EC02CA" w:rsidRDefault="002106C4" w:rsidP="002F0007">
      <w:pPr>
        <w:pStyle w:val="NormalNumberedTextTLRI"/>
      </w:pPr>
      <w:bookmarkStart w:id="310" w:name="_Ref217998090"/>
      <w:r w:rsidRPr="00EC02CA">
        <w:t xml:space="preserve">As noted, </w:t>
      </w:r>
      <w:r w:rsidR="005C7726" w:rsidRPr="00EC02CA">
        <w:t xml:space="preserve">the </w:t>
      </w:r>
      <w:r w:rsidR="00914CAD" w:rsidRPr="00EC02CA">
        <w:t xml:space="preserve">ARL </w:t>
      </w:r>
      <w:r w:rsidRPr="00EC02CA">
        <w:t xml:space="preserve">is </w:t>
      </w:r>
      <w:r w:rsidR="00C104F0" w:rsidRPr="00EC02CA">
        <w:t xml:space="preserve">a key mechanism for reporting concerns about abuse, </w:t>
      </w:r>
      <w:r w:rsidR="00E5170C" w:rsidRPr="00EC02CA">
        <w:t>including</w:t>
      </w:r>
      <w:r w:rsidR="00C104F0" w:rsidRPr="00EC02CA">
        <w:t xml:space="preserve"> sexual abuse of children. </w:t>
      </w:r>
      <w:r w:rsidR="00903352" w:rsidRPr="00EC02CA">
        <w:t xml:space="preserve">The TLRI received data from the </w:t>
      </w:r>
      <w:r w:rsidR="00914CAD" w:rsidRPr="00EC02CA">
        <w:t>ARL</w:t>
      </w:r>
      <w:r w:rsidR="00903352" w:rsidRPr="00EC02CA">
        <w:t xml:space="preserve"> </w:t>
      </w:r>
      <w:r w:rsidR="00491457" w:rsidRPr="00EC02CA">
        <w:t xml:space="preserve">about </w:t>
      </w:r>
      <w:r w:rsidR="00903352" w:rsidRPr="00EC02CA">
        <w:t xml:space="preserve">reports </w:t>
      </w:r>
      <w:r w:rsidR="0048291C" w:rsidRPr="00EC02CA">
        <w:t xml:space="preserve">that were recorded as </w:t>
      </w:r>
      <w:r w:rsidR="0048291C" w:rsidRPr="00EC02CA">
        <w:rPr>
          <w:i/>
        </w:rPr>
        <w:t>conversations</w:t>
      </w:r>
      <w:r w:rsidR="00491457" w:rsidRPr="00EC02CA">
        <w:t>.</w:t>
      </w:r>
      <w:r w:rsidR="00903352" w:rsidRPr="00EC02CA">
        <w:t xml:space="preserve"> </w:t>
      </w:r>
      <w:r w:rsidR="004C64E7" w:rsidRPr="00EC02CA">
        <w:t xml:space="preserve">Data for the period 2020 to 2024 indicates that </w:t>
      </w:r>
      <w:r w:rsidR="00495B2C" w:rsidRPr="00EC02CA">
        <w:t xml:space="preserve">new conversations </w:t>
      </w:r>
      <w:r w:rsidR="004C64E7" w:rsidRPr="00EC02CA">
        <w:t xml:space="preserve">to the ARL </w:t>
      </w:r>
      <w:r w:rsidR="0059418F" w:rsidRPr="00EC02CA">
        <w:t xml:space="preserve">each year </w:t>
      </w:r>
      <w:r w:rsidR="004C64E7" w:rsidRPr="00EC02CA">
        <w:t>had nearly doubled (from 12</w:t>
      </w:r>
      <w:r w:rsidR="000B58B3" w:rsidRPr="00EC02CA">
        <w:t>,</w:t>
      </w:r>
      <w:r w:rsidR="004C64E7" w:rsidRPr="00EC02CA">
        <w:t>662 to 21</w:t>
      </w:r>
      <w:r w:rsidR="000B58B3" w:rsidRPr="00EC02CA">
        <w:t>,</w:t>
      </w:r>
      <w:r w:rsidR="004C64E7" w:rsidRPr="00EC02CA">
        <w:t xml:space="preserve">997). </w:t>
      </w:r>
      <w:r w:rsidR="00A36E4B" w:rsidRPr="00EC02CA">
        <w:t xml:space="preserve">Over this period, there were </w:t>
      </w:r>
      <w:r w:rsidR="00B62226" w:rsidRPr="00EC02CA">
        <w:t>86</w:t>
      </w:r>
      <w:r w:rsidR="000B58B3" w:rsidRPr="00EC02CA">
        <w:t>,</w:t>
      </w:r>
      <w:r w:rsidR="00B62226" w:rsidRPr="00EC02CA">
        <w:t>801</w:t>
      </w:r>
      <w:r w:rsidR="00A36E4B" w:rsidRPr="00EC02CA">
        <w:t xml:space="preserve"> </w:t>
      </w:r>
      <w:r w:rsidR="00495B2C" w:rsidRPr="00EC02CA">
        <w:t>new conversations</w:t>
      </w:r>
      <w:r w:rsidR="00A36E4B" w:rsidRPr="00EC02CA">
        <w:t xml:space="preserve"> to the ARL. </w:t>
      </w:r>
      <w:r w:rsidR="004C64E7" w:rsidRPr="00EC02CA">
        <w:t>This relates to all reports</w:t>
      </w:r>
      <w:r w:rsidR="00B2272F" w:rsidRPr="00EC02CA">
        <w:t>, including reports of neglect</w:t>
      </w:r>
      <w:r w:rsidR="005C7726" w:rsidRPr="00EC02CA">
        <w:t>,</w:t>
      </w:r>
      <w:r w:rsidR="004C64E7" w:rsidRPr="00EC02CA">
        <w:t xml:space="preserve"> and not just reports relating to concerns about </w:t>
      </w:r>
      <w:r w:rsidR="00C73185" w:rsidRPr="00EC02CA">
        <w:t>child sexual assault</w:t>
      </w:r>
      <w:r w:rsidR="00491457" w:rsidRPr="00EC02CA">
        <w:t xml:space="preserve"> or reports related </w:t>
      </w:r>
      <w:r w:rsidR="00322D25" w:rsidRPr="00EC02CA">
        <w:t>specifically to alleged offending by young people</w:t>
      </w:r>
      <w:r w:rsidR="004C64E7" w:rsidRPr="00EC02CA">
        <w:t xml:space="preserve">. The increase is attributable predominantly to the </w:t>
      </w:r>
      <w:r w:rsidR="00011383" w:rsidRPr="00EC02CA">
        <w:t xml:space="preserve">rise </w:t>
      </w:r>
      <w:r w:rsidR="004C64E7" w:rsidRPr="00EC02CA">
        <w:t xml:space="preserve">in mandatory reports, which </w:t>
      </w:r>
      <w:r w:rsidR="00011383" w:rsidRPr="00EC02CA">
        <w:t xml:space="preserve">nearly doubled, </w:t>
      </w:r>
      <w:r w:rsidR="004C64E7" w:rsidRPr="00EC02CA">
        <w:t>from 10</w:t>
      </w:r>
      <w:r w:rsidR="00B2272F" w:rsidRPr="00EC02CA">
        <w:t>,</w:t>
      </w:r>
      <w:r w:rsidR="004C64E7" w:rsidRPr="00EC02CA">
        <w:t>080 to 19</w:t>
      </w:r>
      <w:r w:rsidR="00B2272F" w:rsidRPr="00EC02CA">
        <w:t>,</w:t>
      </w:r>
      <w:r w:rsidR="004C64E7" w:rsidRPr="00EC02CA">
        <w:t>152</w:t>
      </w:r>
      <w:r w:rsidR="00011383" w:rsidRPr="00EC02CA">
        <w:t xml:space="preserve"> (a 90% increase), during </w:t>
      </w:r>
      <w:r w:rsidR="004C64E7" w:rsidRPr="00EC02CA">
        <w:t>this period.</w:t>
      </w:r>
      <w:r w:rsidR="004C64E7" w:rsidRPr="00EC02CA">
        <w:rPr>
          <w:rStyle w:val="FootnoteReference"/>
        </w:rPr>
        <w:footnoteReference w:id="549"/>
      </w:r>
      <w:r w:rsidR="004C64E7" w:rsidRPr="00EC02CA">
        <w:t xml:space="preserve"> In relation to the contact source for mandatory reports</w:t>
      </w:r>
      <w:r w:rsidR="008C6844" w:rsidRPr="00EC02CA">
        <w:t>, it was noted that</w:t>
      </w:r>
      <w:r w:rsidR="004C64E7" w:rsidRPr="00EC02CA">
        <w:t xml:space="preserve"> police mandatory reports have remained relatively constant, but there has been an increase over time in the </w:t>
      </w:r>
      <w:r w:rsidR="00011383" w:rsidRPr="00EC02CA">
        <w:t xml:space="preserve">number </w:t>
      </w:r>
      <w:r w:rsidR="004C64E7" w:rsidRPr="00EC02CA">
        <w:t xml:space="preserve">and </w:t>
      </w:r>
      <w:r w:rsidR="00011383" w:rsidRPr="00EC02CA">
        <w:t>proportion</w:t>
      </w:r>
      <w:r w:rsidR="004C64E7" w:rsidRPr="00EC02CA">
        <w:t xml:space="preserve"> of mandatory reports made by schools</w:t>
      </w:r>
      <w:r w:rsidR="00011383" w:rsidRPr="00EC02CA">
        <w:t>:</w:t>
      </w:r>
      <w:r w:rsidR="00B62226" w:rsidRPr="00EC02CA">
        <w:t xml:space="preserve"> </w:t>
      </w:r>
      <w:r w:rsidR="00011383" w:rsidRPr="00EC02CA">
        <w:t xml:space="preserve">from </w:t>
      </w:r>
      <w:r w:rsidR="00EE10D1" w:rsidRPr="00EC02CA">
        <w:t>2</w:t>
      </w:r>
      <w:r w:rsidR="00B2272F" w:rsidRPr="00EC02CA">
        <w:t>,</w:t>
      </w:r>
      <w:r w:rsidR="00EE10D1" w:rsidRPr="00EC02CA">
        <w:t>995</w:t>
      </w:r>
      <w:r w:rsidR="00B62226" w:rsidRPr="00EC02CA">
        <w:t xml:space="preserve"> to </w:t>
      </w:r>
      <w:r w:rsidR="00EE10D1" w:rsidRPr="00EC02CA">
        <w:t>7</w:t>
      </w:r>
      <w:r w:rsidR="00B2272F" w:rsidRPr="00EC02CA">
        <w:t>,</w:t>
      </w:r>
      <w:r w:rsidR="00EE10D1" w:rsidRPr="00EC02CA">
        <w:t>121</w:t>
      </w:r>
      <w:r w:rsidR="00011383" w:rsidRPr="00EC02CA">
        <w:t>,</w:t>
      </w:r>
      <w:r w:rsidR="008438FF" w:rsidRPr="00EC02CA">
        <w:t xml:space="preserve"> </w:t>
      </w:r>
      <w:r w:rsidR="00011383" w:rsidRPr="00EC02CA">
        <w:t xml:space="preserve">representing </w:t>
      </w:r>
      <w:r w:rsidR="00D66D57" w:rsidRPr="00EC02CA">
        <w:t>30</w:t>
      </w:r>
      <w:r w:rsidR="008438FF" w:rsidRPr="00EC02CA">
        <w:t xml:space="preserve"> to </w:t>
      </w:r>
      <w:r w:rsidR="00E23AA7" w:rsidRPr="00EC02CA">
        <w:t>37</w:t>
      </w:r>
      <w:r w:rsidR="008438FF" w:rsidRPr="00EC02CA">
        <w:t>%</w:t>
      </w:r>
      <w:r w:rsidR="002C4365" w:rsidRPr="00EC02CA">
        <w:t xml:space="preserve"> of total mandatory reports</w:t>
      </w:r>
      <w:r w:rsidR="004C64E7" w:rsidRPr="00EC02CA">
        <w:t>.</w:t>
      </w:r>
      <w:r w:rsidR="004C64E7" w:rsidRPr="00EC02CA">
        <w:rPr>
          <w:rStyle w:val="FootnoteReference"/>
        </w:rPr>
        <w:footnoteReference w:id="550"/>
      </w:r>
      <w:r w:rsidR="004C64E7" w:rsidRPr="00EC02CA">
        <w:t xml:space="preserve"> </w:t>
      </w:r>
      <w:r w:rsidR="009B5703" w:rsidRPr="00EC02CA">
        <w:t>In addition, reports can be made to the ARL by people who are not mandatory reporters</w:t>
      </w:r>
      <w:r w:rsidR="00011383" w:rsidRPr="00EC02CA">
        <w:t>. M</w:t>
      </w:r>
      <w:r w:rsidR="004C64E7" w:rsidRPr="00EC02CA">
        <w:t xml:space="preserve">ost </w:t>
      </w:r>
      <w:r w:rsidR="000E1045" w:rsidRPr="00EC02CA">
        <w:t>such</w:t>
      </w:r>
      <w:r w:rsidR="00011383" w:rsidRPr="00EC02CA">
        <w:t xml:space="preserve"> </w:t>
      </w:r>
      <w:r w:rsidR="004C64E7" w:rsidRPr="00EC02CA">
        <w:t xml:space="preserve">reports </w:t>
      </w:r>
      <w:r w:rsidR="00011383" w:rsidRPr="00EC02CA">
        <w:t>are</w:t>
      </w:r>
      <w:r w:rsidR="004C64E7" w:rsidRPr="00EC02CA">
        <w:t xml:space="preserve"> </w:t>
      </w:r>
      <w:r w:rsidR="00011383" w:rsidRPr="00EC02CA">
        <w:t>from</w:t>
      </w:r>
      <w:r w:rsidR="004C64E7" w:rsidRPr="00EC02CA">
        <w:t xml:space="preserve"> family members</w:t>
      </w:r>
      <w:r w:rsidR="00011383" w:rsidRPr="00EC02CA">
        <w:t>,</w:t>
      </w:r>
      <w:r w:rsidR="004C64E7" w:rsidRPr="00EC02CA">
        <w:rPr>
          <w:rStyle w:val="FootnoteReference"/>
        </w:rPr>
        <w:footnoteReference w:id="551"/>
      </w:r>
      <w:r w:rsidR="004C64E7" w:rsidRPr="00EC02CA">
        <w:t xml:space="preserve"> </w:t>
      </w:r>
      <w:r w:rsidR="00011383" w:rsidRPr="00EC02CA">
        <w:t>and their number has</w:t>
      </w:r>
      <w:r w:rsidR="00B62226" w:rsidRPr="00EC02CA">
        <w:t xml:space="preserve"> remained reasonably constant.</w:t>
      </w:r>
      <w:r w:rsidR="00B62226" w:rsidRPr="00EC02CA">
        <w:rPr>
          <w:rStyle w:val="FootnoteReference"/>
        </w:rPr>
        <w:footnoteReference w:id="552"/>
      </w:r>
      <w:bookmarkEnd w:id="310"/>
      <w:r w:rsidR="00D44578" w:rsidRPr="00EC02CA">
        <w:t xml:space="preserve"> </w:t>
      </w:r>
    </w:p>
    <w:p w14:paraId="1A858568" w14:textId="7B890BAD" w:rsidR="00140A42" w:rsidRPr="00EC02CA" w:rsidRDefault="009973B8" w:rsidP="002F0007">
      <w:pPr>
        <w:pStyle w:val="NormalNumberedTextTLRI"/>
      </w:pPr>
      <w:r w:rsidRPr="00EC02CA">
        <w:t>It is important to note that the system used for the recording of </w:t>
      </w:r>
      <w:r w:rsidRPr="00EC02CA">
        <w:rPr>
          <w:i/>
          <w:iCs/>
        </w:rPr>
        <w:t>conversations</w:t>
      </w:r>
      <w:r w:rsidRPr="00EC02CA">
        <w:t> was not designed for collating data about</w:t>
      </w:r>
      <w:r w:rsidR="008E2432" w:rsidRPr="00EC02CA">
        <w:t xml:space="preserve"> the</w:t>
      </w:r>
      <w:r w:rsidRPr="00EC02CA">
        <w:t xml:space="preserve"> persons believed responsible</w:t>
      </w:r>
      <w:r w:rsidR="00402A80" w:rsidRPr="00EC02CA">
        <w:t xml:space="preserve"> for </w:t>
      </w:r>
      <w:r w:rsidR="00400A77" w:rsidRPr="00EC02CA">
        <w:t xml:space="preserve">the </w:t>
      </w:r>
      <w:r w:rsidR="002D6B80" w:rsidRPr="00EC02CA">
        <w:t>abuse or neglect</w:t>
      </w:r>
      <w:r w:rsidR="00B168A4" w:rsidRPr="00EC02CA">
        <w:t xml:space="preserve"> of a child</w:t>
      </w:r>
      <w:r w:rsidRPr="00EC02CA">
        <w:t xml:space="preserve">. </w:t>
      </w:r>
      <w:r w:rsidR="00400A77" w:rsidRPr="00EC02CA">
        <w:t>Information about</w:t>
      </w:r>
      <w:r w:rsidRPr="00EC02CA">
        <w:t xml:space="preserve"> persons believed responsible can only be created in the system used for the recording of </w:t>
      </w:r>
      <w:r w:rsidRPr="00EC02CA">
        <w:rPr>
          <w:i/>
          <w:iCs/>
        </w:rPr>
        <w:t>incidents</w:t>
      </w:r>
      <w:r w:rsidR="00E5643F" w:rsidRPr="00EC02CA">
        <w:rPr>
          <w:i/>
          <w:iCs/>
        </w:rPr>
        <w:t>.</w:t>
      </w:r>
      <w:r w:rsidR="00D44578" w:rsidRPr="00EC02CA">
        <w:t xml:space="preserve"> </w:t>
      </w:r>
      <w:r w:rsidR="00794B2F" w:rsidRPr="00EC02CA">
        <w:t xml:space="preserve">A conversation is transferred to an incident when </w:t>
      </w:r>
      <w:r w:rsidR="00400A77" w:rsidRPr="00EC02CA">
        <w:t xml:space="preserve">it </w:t>
      </w:r>
      <w:r w:rsidR="00794B2F" w:rsidRPr="00EC02CA">
        <w:t>is assessed that</w:t>
      </w:r>
      <w:r w:rsidR="00D216BC" w:rsidRPr="00EC02CA">
        <w:t>:</w:t>
      </w:r>
      <w:r w:rsidR="00794B2F" w:rsidRPr="00EC02CA">
        <w:t xml:space="preserve"> a child may be at risk of abuse or neglect</w:t>
      </w:r>
      <w:r w:rsidR="00400A77" w:rsidRPr="00EC02CA">
        <w:t>;</w:t>
      </w:r>
      <w:r w:rsidR="00794B2F" w:rsidRPr="00EC02CA">
        <w:t xml:space="preserve"> the family requires targeted support to address safety concerns</w:t>
      </w:r>
      <w:r w:rsidR="00400A77" w:rsidRPr="00EC02CA">
        <w:t>;</w:t>
      </w:r>
      <w:r w:rsidR="00794B2F" w:rsidRPr="00EC02CA">
        <w:t xml:space="preserve"> the child requires protection from harm</w:t>
      </w:r>
      <w:r w:rsidR="00400A77" w:rsidRPr="00EC02CA">
        <w:t>;</w:t>
      </w:r>
      <w:r w:rsidR="00794B2F" w:rsidRPr="00EC02CA">
        <w:t xml:space="preserve"> ongoing service coordination is necessary</w:t>
      </w:r>
      <w:r w:rsidR="00D216BC" w:rsidRPr="00EC02CA">
        <w:t>;</w:t>
      </w:r>
      <w:r w:rsidR="00794B2F" w:rsidRPr="00EC02CA">
        <w:t xml:space="preserve"> or where cumulative harm is evident. An </w:t>
      </w:r>
      <w:r w:rsidR="00794B2F" w:rsidRPr="00EC02CA">
        <w:rPr>
          <w:i/>
          <w:iCs/>
        </w:rPr>
        <w:t>incident</w:t>
      </w:r>
      <w:r w:rsidR="00794B2F" w:rsidRPr="00EC02CA">
        <w:t> is recorded for a child where information received following contact with the ARL or Child Safety Service indicates the child may be at risk of abuse or neglect</w:t>
      </w:r>
      <w:r w:rsidR="00D216BC" w:rsidRPr="00EC02CA">
        <w:t>,</w:t>
      </w:r>
      <w:r w:rsidR="00794B2F" w:rsidRPr="00EC02CA">
        <w:t xml:space="preserve"> and where safety planning may be required. </w:t>
      </w:r>
      <w:r w:rsidR="00D44578" w:rsidRPr="00EC02CA">
        <w:t xml:space="preserve">Further details about these reporting pathways </w:t>
      </w:r>
      <w:r w:rsidR="00843D00" w:rsidRPr="00EC02CA">
        <w:t xml:space="preserve">are </w:t>
      </w:r>
      <w:r w:rsidR="00D44578" w:rsidRPr="00EC02CA">
        <w:t xml:space="preserve">set out in Appendix </w:t>
      </w:r>
      <w:r w:rsidR="00E67F1A" w:rsidRPr="00EC02CA">
        <w:t>H</w:t>
      </w:r>
      <w:r w:rsidR="00F414BD" w:rsidRPr="00EC02CA">
        <w:t>.</w:t>
      </w:r>
    </w:p>
    <w:p w14:paraId="275EEBB4" w14:textId="189557D2" w:rsidR="00385989" w:rsidRPr="00EC02CA" w:rsidRDefault="00DF1BF1" w:rsidP="002F0007">
      <w:pPr>
        <w:pStyle w:val="NormalNumberedTextTLRI"/>
      </w:pPr>
      <w:r w:rsidRPr="00EC02CA">
        <w:t>DECYP</w:t>
      </w:r>
      <w:r w:rsidR="00016A59" w:rsidRPr="00EC02CA">
        <w:t xml:space="preserve"> </w:t>
      </w:r>
      <w:r w:rsidR="003B387B" w:rsidRPr="00EC02CA">
        <w:t xml:space="preserve">provided additional data to the TLRI </w:t>
      </w:r>
      <w:r w:rsidR="000F4126" w:rsidRPr="00EC02CA">
        <w:t>about incidents.</w:t>
      </w:r>
      <w:r w:rsidR="004A76DA" w:rsidRPr="00EC02CA">
        <w:t xml:space="preserve"> </w:t>
      </w:r>
      <w:r w:rsidR="00E7253B" w:rsidRPr="00EC02CA">
        <w:t xml:space="preserve">The analysis focused </w:t>
      </w:r>
      <w:r w:rsidR="005F0EF7" w:rsidRPr="00EC02CA">
        <w:t xml:space="preserve">on a subset of </w:t>
      </w:r>
      <w:r w:rsidR="004A76DA" w:rsidRPr="00EC02CA">
        <w:t>14,181 incidents</w:t>
      </w:r>
      <w:r w:rsidR="003318AE" w:rsidRPr="00EC02CA">
        <w:t xml:space="preserve"> recorded </w:t>
      </w:r>
      <w:r w:rsidR="00CA36FD" w:rsidRPr="00EC02CA">
        <w:t>betwe</w:t>
      </w:r>
      <w:r w:rsidR="00ED5669" w:rsidRPr="00EC02CA">
        <w:t>en</w:t>
      </w:r>
      <w:r w:rsidR="009D43A5" w:rsidRPr="00EC02CA">
        <w:t xml:space="preserve"> 2020</w:t>
      </w:r>
      <w:r w:rsidR="005F0EF7" w:rsidRPr="00EC02CA">
        <w:t xml:space="preserve"> and </w:t>
      </w:r>
      <w:r w:rsidR="009D43A5" w:rsidRPr="00EC02CA">
        <w:t>2024</w:t>
      </w:r>
      <w:r w:rsidR="005F0EF7" w:rsidRPr="00EC02CA">
        <w:t>, specifically those where the age of the person believed responsible was recorded</w:t>
      </w:r>
      <w:r w:rsidR="00A005B5" w:rsidRPr="00EC02CA">
        <w:t>,</w:t>
      </w:r>
      <w:r w:rsidR="005F0EF7" w:rsidRPr="00EC02CA">
        <w:t xml:space="preserve"> and the incident had a given allocation status</w:t>
      </w:r>
      <w:r w:rsidR="008F5393" w:rsidRPr="00EC02CA">
        <w:t xml:space="preserve">. </w:t>
      </w:r>
      <w:r w:rsidR="005A6FC2" w:rsidRPr="00EC02CA">
        <w:t xml:space="preserve">Extracting information about the </w:t>
      </w:r>
      <w:r w:rsidR="004852CD" w:rsidRPr="00EC02CA">
        <w:t>‘person believed responsible’</w:t>
      </w:r>
      <w:r w:rsidR="00043818" w:rsidRPr="00EC02CA">
        <w:t xml:space="preserve"> </w:t>
      </w:r>
      <w:r w:rsidR="005C02BD" w:rsidRPr="00EC02CA">
        <w:t xml:space="preserve">is </w:t>
      </w:r>
      <w:r w:rsidR="001C4F6D" w:rsidRPr="00EC02CA">
        <w:t>complex</w:t>
      </w:r>
      <w:r w:rsidR="005C02BD" w:rsidRPr="00EC02CA">
        <w:t xml:space="preserve"> for a wide variety of reasons</w:t>
      </w:r>
      <w:r w:rsidR="00C277DC" w:rsidRPr="00EC02CA">
        <w:t xml:space="preserve">. </w:t>
      </w:r>
      <w:r w:rsidR="00A83551" w:rsidRPr="00EC02CA">
        <w:t>Nonetheless,</w:t>
      </w:r>
      <w:r w:rsidR="00904601" w:rsidRPr="00EC02CA">
        <w:t xml:space="preserve"> </w:t>
      </w:r>
      <w:r w:rsidR="00AD120F" w:rsidRPr="00EC02CA">
        <w:t>based on this subset</w:t>
      </w:r>
      <w:r w:rsidR="00285A61" w:rsidRPr="00EC02CA">
        <w:t xml:space="preserve">, </w:t>
      </w:r>
      <w:r w:rsidR="00B07810" w:rsidRPr="00EC02CA">
        <w:t xml:space="preserve">DECYP </w:t>
      </w:r>
      <w:r w:rsidR="00357521" w:rsidRPr="00EC02CA">
        <w:t>was able to provide</w:t>
      </w:r>
      <w:r w:rsidR="00B07810" w:rsidRPr="00EC02CA">
        <w:t xml:space="preserve"> the TLRI </w:t>
      </w:r>
      <w:r w:rsidR="009D3CC1" w:rsidRPr="00EC02CA">
        <w:t>with the breakdown of</w:t>
      </w:r>
      <w:r w:rsidR="00B07810" w:rsidRPr="00EC02CA">
        <w:t xml:space="preserve"> the</w:t>
      </w:r>
      <w:r w:rsidR="00A83551" w:rsidRPr="00EC02CA">
        <w:t xml:space="preserve"> </w:t>
      </w:r>
      <w:r w:rsidR="00B72BC0" w:rsidRPr="00EC02CA">
        <w:t>age</w:t>
      </w:r>
      <w:r w:rsidR="00345C7A" w:rsidRPr="00EC02CA">
        <w:t xml:space="preserve"> ranges </w:t>
      </w:r>
      <w:r w:rsidR="00B72BC0" w:rsidRPr="00EC02CA">
        <w:t xml:space="preserve">of the </w:t>
      </w:r>
      <w:r w:rsidR="00904601" w:rsidRPr="00EC02CA">
        <w:t>person</w:t>
      </w:r>
      <w:r w:rsidR="00345C7A" w:rsidRPr="00EC02CA">
        <w:t>s</w:t>
      </w:r>
      <w:r w:rsidR="00904601" w:rsidRPr="00EC02CA">
        <w:t xml:space="preserve"> believed responsible</w:t>
      </w:r>
      <w:r w:rsidR="00580732" w:rsidRPr="00EC02CA">
        <w:t xml:space="preserve">. The </w:t>
      </w:r>
      <w:r w:rsidR="00F339D8" w:rsidRPr="00EC02CA">
        <w:t>percentages</w:t>
      </w:r>
      <w:r w:rsidR="00580732" w:rsidRPr="00EC02CA">
        <w:t xml:space="preserve"> reflect the proportion </w:t>
      </w:r>
      <w:r w:rsidR="00F339D8" w:rsidRPr="00EC02CA">
        <w:t>of</w:t>
      </w:r>
      <w:r w:rsidR="00580732" w:rsidRPr="00EC02CA">
        <w:t xml:space="preserve"> </w:t>
      </w:r>
      <w:r w:rsidR="00F339D8" w:rsidRPr="00EC02CA">
        <w:t>incidents</w:t>
      </w:r>
      <w:r w:rsidR="00580732" w:rsidRPr="00EC02CA">
        <w:t xml:space="preserve"> in which a </w:t>
      </w:r>
      <w:r w:rsidR="00F339D8" w:rsidRPr="00EC02CA">
        <w:t xml:space="preserve">person believed responsible was recorded </w:t>
      </w:r>
      <w:r w:rsidR="007A3F8F" w:rsidRPr="00EC02CA">
        <w:t>within each age group. Where multiple persons were recorded for a</w:t>
      </w:r>
      <w:r w:rsidR="009B384F" w:rsidRPr="00EC02CA">
        <w:t xml:space="preserve"> </w:t>
      </w:r>
      <w:r w:rsidR="007A3F8F" w:rsidRPr="00EC02CA">
        <w:t xml:space="preserve">single incident, </w:t>
      </w:r>
      <w:r w:rsidR="009B384F" w:rsidRPr="00EC02CA">
        <w:t>the</w:t>
      </w:r>
      <w:r w:rsidR="007A3F8F" w:rsidRPr="00EC02CA">
        <w:t xml:space="preserve"> </w:t>
      </w:r>
      <w:r w:rsidR="009B384F" w:rsidRPr="00EC02CA">
        <w:t>incident</w:t>
      </w:r>
      <w:r w:rsidR="007A3F8F" w:rsidRPr="00EC02CA">
        <w:t xml:space="preserve"> will only be </w:t>
      </w:r>
      <w:r w:rsidR="009B384F" w:rsidRPr="00EC02CA">
        <w:t>counted</w:t>
      </w:r>
      <w:r w:rsidR="007A3F8F" w:rsidRPr="00EC02CA">
        <w:t xml:space="preserve"> once per age group</w:t>
      </w:r>
      <w:r w:rsidR="009B384F" w:rsidRPr="00EC02CA">
        <w:t xml:space="preserve"> </w:t>
      </w:r>
      <w:r w:rsidR="00904601" w:rsidRPr="00EC02CA">
        <w:t xml:space="preserve"> </w:t>
      </w:r>
      <w:r w:rsidR="003F0459" w:rsidRPr="00EC02CA">
        <w:t>(</w:t>
      </w:r>
      <w:r w:rsidR="00385989" w:rsidRPr="00EC02CA">
        <w:t xml:space="preserve">see Table </w:t>
      </w:r>
      <w:r w:rsidR="00F414BD" w:rsidRPr="00EC02CA">
        <w:t>6</w:t>
      </w:r>
      <w:r w:rsidR="00385989" w:rsidRPr="00EC02CA">
        <w:t>.</w:t>
      </w:r>
      <w:r w:rsidR="00F414BD" w:rsidRPr="00EC02CA">
        <w:t>1</w:t>
      </w:r>
      <w:r w:rsidR="00385989" w:rsidRPr="00EC02CA">
        <w:t>).</w:t>
      </w:r>
      <w:r w:rsidR="003E04A6" w:rsidRPr="00EC02CA">
        <w:t xml:space="preserve"> </w:t>
      </w:r>
    </w:p>
    <w:p w14:paraId="1C12BE6A" w14:textId="2141933A" w:rsidR="00385989" w:rsidRPr="00EC02CA" w:rsidRDefault="00385989" w:rsidP="00A920EC">
      <w:pPr>
        <w:keepNext/>
        <w:keepLines/>
      </w:pPr>
      <w:r w:rsidRPr="00EC02CA">
        <w:rPr>
          <w:b/>
          <w:bCs/>
        </w:rPr>
        <w:t xml:space="preserve">Table </w:t>
      </w:r>
      <w:r w:rsidR="00F414BD" w:rsidRPr="00EC02CA">
        <w:rPr>
          <w:b/>
          <w:bCs/>
        </w:rPr>
        <w:t>6</w:t>
      </w:r>
      <w:r w:rsidRPr="00EC02CA">
        <w:rPr>
          <w:b/>
          <w:bCs/>
        </w:rPr>
        <w:t>.</w:t>
      </w:r>
      <w:r w:rsidR="00F414BD" w:rsidRPr="00EC02CA">
        <w:rPr>
          <w:b/>
          <w:bCs/>
        </w:rPr>
        <w:t>1</w:t>
      </w:r>
      <w:r w:rsidRPr="00EC02CA">
        <w:t xml:space="preserve"> </w:t>
      </w:r>
      <w:r w:rsidR="007D3180" w:rsidRPr="00EC02CA">
        <w:t xml:space="preserve">Reports </w:t>
      </w:r>
      <w:r w:rsidR="00D4591C" w:rsidRPr="00EC02CA">
        <w:t>recorded as</w:t>
      </w:r>
      <w:r w:rsidR="007D3180" w:rsidRPr="00EC02CA">
        <w:t xml:space="preserve"> incidents by age group of person believed responsible, ARL 2020</w:t>
      </w:r>
      <w:r w:rsidR="00335B90" w:rsidRPr="00EC02CA">
        <w:t>–</w:t>
      </w:r>
      <w:r w:rsidR="007D3180" w:rsidRPr="00EC02CA">
        <w:t>24</w:t>
      </w:r>
      <w:r w:rsidR="00B45461" w:rsidRPr="00EC02CA">
        <w:rPr>
          <w:rStyle w:val="FootnoteReference"/>
        </w:rPr>
        <w:footnoteReference w:id="553"/>
      </w:r>
    </w:p>
    <w:tbl>
      <w:tblPr>
        <w:tblStyle w:val="TableGrid"/>
        <w:tblW w:w="0" w:type="auto"/>
        <w:tblLook w:val="04A0" w:firstRow="1" w:lastRow="0" w:firstColumn="1" w:lastColumn="0" w:noHBand="0" w:noVBand="1"/>
      </w:tblPr>
      <w:tblGrid>
        <w:gridCol w:w="1036"/>
        <w:gridCol w:w="1388"/>
        <w:gridCol w:w="1036"/>
        <w:gridCol w:w="1489"/>
      </w:tblGrid>
      <w:tr w:rsidR="00E869E4" w:rsidRPr="00EC02CA" w14:paraId="6891DFB9" w14:textId="4AEC86DA" w:rsidTr="00F57AFC">
        <w:tc>
          <w:tcPr>
            <w:tcW w:w="0" w:type="auto"/>
          </w:tcPr>
          <w:p w14:paraId="5A1FAB75" w14:textId="0F9A4CCF" w:rsidR="00E869E4" w:rsidRPr="00EC02CA" w:rsidRDefault="00E869E4" w:rsidP="00A920EC">
            <w:pPr>
              <w:keepNext/>
              <w:keepLines/>
              <w:spacing w:before="60" w:after="60"/>
              <w:rPr>
                <w:b/>
                <w:bCs/>
                <w:sz w:val="20"/>
              </w:rPr>
            </w:pPr>
            <w:r w:rsidRPr="00EC02CA">
              <w:rPr>
                <w:b/>
                <w:bCs/>
                <w:sz w:val="20"/>
                <w:szCs w:val="20"/>
              </w:rPr>
              <w:t>&lt;10 years</w:t>
            </w:r>
          </w:p>
        </w:tc>
        <w:tc>
          <w:tcPr>
            <w:tcW w:w="0" w:type="auto"/>
          </w:tcPr>
          <w:p w14:paraId="0C018E89" w14:textId="6E0DEB12" w:rsidR="00E869E4" w:rsidRPr="00EC02CA" w:rsidRDefault="00E869E4" w:rsidP="00A920EC">
            <w:pPr>
              <w:keepNext/>
              <w:keepLines/>
              <w:spacing w:before="60" w:after="60"/>
              <w:rPr>
                <w:b/>
                <w:bCs/>
                <w:sz w:val="20"/>
              </w:rPr>
            </w:pPr>
            <w:r w:rsidRPr="00EC02CA">
              <w:rPr>
                <w:b/>
                <w:bCs/>
                <w:sz w:val="20"/>
                <w:szCs w:val="20"/>
              </w:rPr>
              <w:t>10 to 17 years</w:t>
            </w:r>
          </w:p>
        </w:tc>
        <w:tc>
          <w:tcPr>
            <w:tcW w:w="0" w:type="auto"/>
          </w:tcPr>
          <w:p w14:paraId="32C5C7E1" w14:textId="6132B572" w:rsidR="00E869E4" w:rsidRPr="00EC02CA" w:rsidRDefault="00E869E4" w:rsidP="00A920EC">
            <w:pPr>
              <w:keepNext/>
              <w:keepLines/>
              <w:spacing w:before="60" w:after="60"/>
              <w:rPr>
                <w:b/>
                <w:bCs/>
                <w:sz w:val="20"/>
              </w:rPr>
            </w:pPr>
            <w:r w:rsidRPr="00EC02CA">
              <w:rPr>
                <w:b/>
                <w:bCs/>
                <w:sz w:val="20"/>
                <w:szCs w:val="20"/>
              </w:rPr>
              <w:t>18+ years</w:t>
            </w:r>
          </w:p>
        </w:tc>
        <w:tc>
          <w:tcPr>
            <w:tcW w:w="0" w:type="auto"/>
          </w:tcPr>
          <w:p w14:paraId="6EFE253F" w14:textId="2CF752BE" w:rsidR="00E869E4" w:rsidRPr="00EC02CA" w:rsidRDefault="00E869E4" w:rsidP="00A920EC">
            <w:pPr>
              <w:keepNext/>
              <w:keepLines/>
              <w:spacing w:before="60" w:after="60"/>
              <w:rPr>
                <w:b/>
                <w:bCs/>
                <w:sz w:val="20"/>
              </w:rPr>
            </w:pPr>
            <w:r w:rsidRPr="00EC02CA">
              <w:rPr>
                <w:b/>
                <w:bCs/>
                <w:sz w:val="20"/>
                <w:szCs w:val="20"/>
              </w:rPr>
              <w:t>Total incidents</w:t>
            </w:r>
          </w:p>
        </w:tc>
      </w:tr>
      <w:tr w:rsidR="00E869E4" w:rsidRPr="00EC02CA" w14:paraId="2BC0D418" w14:textId="369A5D36" w:rsidTr="00F57AFC">
        <w:tc>
          <w:tcPr>
            <w:tcW w:w="0" w:type="auto"/>
          </w:tcPr>
          <w:p w14:paraId="2E2D607C" w14:textId="5BE52667" w:rsidR="00E869E4" w:rsidRPr="00EC02CA" w:rsidRDefault="00E869E4" w:rsidP="00A920EC">
            <w:pPr>
              <w:keepNext/>
              <w:keepLines/>
              <w:spacing w:before="60" w:after="60"/>
              <w:jc w:val="right"/>
              <w:rPr>
                <w:sz w:val="20"/>
              </w:rPr>
            </w:pPr>
            <w:r w:rsidRPr="00EC02CA">
              <w:rPr>
                <w:sz w:val="20"/>
                <w:szCs w:val="20"/>
              </w:rPr>
              <w:t>0.2%</w:t>
            </w:r>
          </w:p>
        </w:tc>
        <w:tc>
          <w:tcPr>
            <w:tcW w:w="0" w:type="auto"/>
          </w:tcPr>
          <w:p w14:paraId="1DDB5302" w14:textId="3BA31FAB" w:rsidR="00E869E4" w:rsidRPr="00EC02CA" w:rsidRDefault="00E869E4" w:rsidP="00A920EC">
            <w:pPr>
              <w:keepNext/>
              <w:keepLines/>
              <w:spacing w:before="60" w:after="60"/>
              <w:jc w:val="right"/>
              <w:rPr>
                <w:sz w:val="20"/>
              </w:rPr>
            </w:pPr>
            <w:r w:rsidRPr="00EC02CA">
              <w:rPr>
                <w:sz w:val="20"/>
                <w:szCs w:val="20"/>
              </w:rPr>
              <w:t>13.5%</w:t>
            </w:r>
          </w:p>
        </w:tc>
        <w:tc>
          <w:tcPr>
            <w:tcW w:w="0" w:type="auto"/>
          </w:tcPr>
          <w:p w14:paraId="020C4507" w14:textId="75FA514E" w:rsidR="00E869E4" w:rsidRPr="00EC02CA" w:rsidRDefault="00E869E4" w:rsidP="00A920EC">
            <w:pPr>
              <w:keepNext/>
              <w:keepLines/>
              <w:spacing w:before="60" w:after="60"/>
              <w:jc w:val="right"/>
              <w:rPr>
                <w:sz w:val="20"/>
              </w:rPr>
            </w:pPr>
            <w:r w:rsidRPr="00EC02CA">
              <w:rPr>
                <w:sz w:val="20"/>
                <w:szCs w:val="20"/>
              </w:rPr>
              <w:t>88.5%</w:t>
            </w:r>
          </w:p>
        </w:tc>
        <w:tc>
          <w:tcPr>
            <w:tcW w:w="0" w:type="auto"/>
          </w:tcPr>
          <w:p w14:paraId="5AF69FEE" w14:textId="6BB9D68F" w:rsidR="00E869E4" w:rsidRPr="00EC02CA" w:rsidRDefault="00E869E4" w:rsidP="00A920EC">
            <w:pPr>
              <w:keepNext/>
              <w:keepLines/>
              <w:spacing w:before="60" w:after="60"/>
              <w:jc w:val="right"/>
              <w:rPr>
                <w:sz w:val="20"/>
              </w:rPr>
            </w:pPr>
            <w:r w:rsidRPr="00EC02CA">
              <w:rPr>
                <w:sz w:val="20"/>
                <w:szCs w:val="20"/>
              </w:rPr>
              <w:t>14,181</w:t>
            </w:r>
          </w:p>
        </w:tc>
      </w:tr>
    </w:tbl>
    <w:p w14:paraId="2FB4A358" w14:textId="19D01E42" w:rsidR="00385989" w:rsidRPr="00EC02CA" w:rsidRDefault="00A36E4B" w:rsidP="00A920EC">
      <w:pPr>
        <w:keepNext/>
        <w:keepLines/>
        <w:spacing w:before="120"/>
        <w:rPr>
          <w:i/>
          <w:iCs/>
          <w:sz w:val="20"/>
          <w:szCs w:val="16"/>
        </w:rPr>
      </w:pPr>
      <w:r w:rsidRPr="00EC02CA">
        <w:rPr>
          <w:i/>
          <w:iCs/>
          <w:sz w:val="20"/>
          <w:szCs w:val="16"/>
        </w:rPr>
        <w:t>Source</w:t>
      </w:r>
      <w:r w:rsidR="00396813" w:rsidRPr="00EC02CA">
        <w:rPr>
          <w:i/>
          <w:iCs/>
          <w:sz w:val="20"/>
          <w:szCs w:val="16"/>
        </w:rPr>
        <w:t>: Unp</w:t>
      </w:r>
      <w:r w:rsidRPr="00EC02CA">
        <w:rPr>
          <w:i/>
          <w:iCs/>
          <w:sz w:val="20"/>
          <w:szCs w:val="16"/>
        </w:rPr>
        <w:t>ublis</w:t>
      </w:r>
      <w:r w:rsidR="00396813" w:rsidRPr="00EC02CA">
        <w:rPr>
          <w:i/>
          <w:iCs/>
          <w:sz w:val="20"/>
          <w:szCs w:val="16"/>
        </w:rPr>
        <w:t>hed data, DECYP</w:t>
      </w:r>
      <w:r w:rsidR="003F0459" w:rsidRPr="00EC02CA">
        <w:rPr>
          <w:i/>
          <w:iCs/>
          <w:sz w:val="20"/>
          <w:szCs w:val="16"/>
        </w:rPr>
        <w:t xml:space="preserve">. </w:t>
      </w:r>
      <w:r w:rsidR="00DD749B" w:rsidRPr="00EC02CA">
        <w:rPr>
          <w:i/>
          <w:iCs/>
          <w:sz w:val="20"/>
          <w:szCs w:val="16"/>
        </w:rPr>
        <w:t>Percentages</w:t>
      </w:r>
      <w:r w:rsidR="00B2142F" w:rsidRPr="00EC02CA">
        <w:rPr>
          <w:i/>
          <w:iCs/>
          <w:sz w:val="20"/>
          <w:szCs w:val="16"/>
        </w:rPr>
        <w:t xml:space="preserve"> do not sum to 100%</w:t>
      </w:r>
      <w:r w:rsidR="00244D68" w:rsidRPr="00EC02CA">
        <w:rPr>
          <w:i/>
          <w:iCs/>
          <w:sz w:val="20"/>
          <w:szCs w:val="16"/>
        </w:rPr>
        <w:t xml:space="preserve"> since some incidents </w:t>
      </w:r>
      <w:r w:rsidR="00030ABF" w:rsidRPr="00EC02CA">
        <w:rPr>
          <w:i/>
          <w:iCs/>
          <w:sz w:val="20"/>
          <w:szCs w:val="16"/>
        </w:rPr>
        <w:t>involve</w:t>
      </w:r>
      <w:r w:rsidR="00A005B5" w:rsidRPr="00EC02CA">
        <w:rPr>
          <w:i/>
          <w:iCs/>
          <w:sz w:val="20"/>
          <w:szCs w:val="16"/>
        </w:rPr>
        <w:t>d</w:t>
      </w:r>
      <w:r w:rsidR="00030ABF" w:rsidRPr="00EC02CA">
        <w:rPr>
          <w:i/>
          <w:iCs/>
          <w:sz w:val="20"/>
          <w:szCs w:val="16"/>
        </w:rPr>
        <w:t xml:space="preserve"> </w:t>
      </w:r>
      <w:r w:rsidR="0045578A" w:rsidRPr="00EC02CA">
        <w:rPr>
          <w:i/>
          <w:iCs/>
          <w:sz w:val="20"/>
          <w:szCs w:val="16"/>
        </w:rPr>
        <w:t>multiple persons believed responsible in different age groups</w:t>
      </w:r>
      <w:r w:rsidR="00DD097A" w:rsidRPr="00EC02CA">
        <w:rPr>
          <w:i/>
          <w:iCs/>
          <w:sz w:val="20"/>
          <w:szCs w:val="16"/>
        </w:rPr>
        <w:t>.</w:t>
      </w:r>
    </w:p>
    <w:p w14:paraId="74533997" w14:textId="3E268EF6" w:rsidR="004C64E7" w:rsidRPr="00EC02CA" w:rsidRDefault="00EA22FA" w:rsidP="002F0007">
      <w:pPr>
        <w:pStyle w:val="NormalNumberedTextTLRI"/>
      </w:pPr>
      <w:r w:rsidRPr="00EC02CA">
        <w:t>These estimates suggest that</w:t>
      </w:r>
      <w:r w:rsidR="005977FE" w:rsidRPr="00EC02CA">
        <w:t>, in the 2020–24 period,</w:t>
      </w:r>
      <w:r w:rsidRPr="00EC02CA">
        <w:t xml:space="preserve"> </w:t>
      </w:r>
      <w:r w:rsidR="00E16F7C" w:rsidRPr="00EC02CA">
        <w:t>the person believed responsible</w:t>
      </w:r>
      <w:r w:rsidRPr="00EC02CA">
        <w:t xml:space="preserve"> </w:t>
      </w:r>
      <w:r w:rsidR="005D7A85" w:rsidRPr="00EC02CA">
        <w:t>was age</w:t>
      </w:r>
      <w:r w:rsidR="00BB422A" w:rsidRPr="00EC02CA">
        <w:t>d</w:t>
      </w:r>
      <w:r w:rsidR="005D7A85" w:rsidRPr="00EC02CA">
        <w:t xml:space="preserve"> </w:t>
      </w:r>
      <w:r w:rsidR="00BB422A" w:rsidRPr="00EC02CA">
        <w:t xml:space="preserve">under </w:t>
      </w:r>
      <w:r w:rsidR="005D7A85" w:rsidRPr="00EC02CA">
        <w:t xml:space="preserve">18 in </w:t>
      </w:r>
      <w:r w:rsidR="00D05983" w:rsidRPr="00EC02CA">
        <w:t>approximately 1,9</w:t>
      </w:r>
      <w:r w:rsidR="000C42BA" w:rsidRPr="00EC02CA">
        <w:t>00</w:t>
      </w:r>
      <w:r w:rsidR="00D05983" w:rsidRPr="00EC02CA">
        <w:t xml:space="preserve"> incidents</w:t>
      </w:r>
      <w:r w:rsidR="005D7A85" w:rsidRPr="00EC02CA">
        <w:t>.</w:t>
      </w:r>
      <w:r w:rsidR="00662BE1" w:rsidRPr="00EC02CA">
        <w:t xml:space="preserve"> </w:t>
      </w:r>
      <w:r w:rsidR="00EC2FF6" w:rsidRPr="00EC02CA">
        <w:t>It</w:t>
      </w:r>
      <w:r w:rsidR="006A45F6" w:rsidRPr="00EC02CA">
        <w:t xml:space="preserve"> is crucial to note that</w:t>
      </w:r>
      <w:r w:rsidR="004D691F" w:rsidRPr="00EC02CA">
        <w:t xml:space="preserve"> </w:t>
      </w:r>
      <w:r w:rsidR="005A6AEB" w:rsidRPr="00EC02CA">
        <w:t xml:space="preserve">it is not possible to </w:t>
      </w:r>
      <w:r w:rsidR="00D44578" w:rsidRPr="00EC02CA">
        <w:t>determine</w:t>
      </w:r>
      <w:r w:rsidR="005A6AEB" w:rsidRPr="00EC02CA">
        <w:t xml:space="preserve"> the </w:t>
      </w:r>
      <w:r w:rsidR="00D44578" w:rsidRPr="00EC02CA">
        <w:t>proportion</w:t>
      </w:r>
      <w:r w:rsidR="005A6AEB" w:rsidRPr="00EC02CA">
        <w:t xml:space="preserve"> </w:t>
      </w:r>
      <w:r w:rsidR="00484FA4" w:rsidRPr="00EC02CA">
        <w:t xml:space="preserve">of </w:t>
      </w:r>
      <w:r w:rsidR="00B73AB1" w:rsidRPr="00EC02CA">
        <w:t xml:space="preserve">incidents </w:t>
      </w:r>
      <w:r w:rsidR="00F90B85" w:rsidRPr="00EC02CA">
        <w:t xml:space="preserve">where the person believed </w:t>
      </w:r>
      <w:r w:rsidR="0006416E" w:rsidRPr="00EC02CA">
        <w:t xml:space="preserve">responsible was </w:t>
      </w:r>
      <w:r w:rsidR="00BB422A" w:rsidRPr="00EC02CA">
        <w:t xml:space="preserve">aged </w:t>
      </w:r>
      <w:r w:rsidR="0006416E" w:rsidRPr="00EC02CA">
        <w:t xml:space="preserve">under 18 </w:t>
      </w:r>
      <w:r w:rsidR="005A6AEB" w:rsidRPr="00EC02CA">
        <w:rPr>
          <w:i/>
        </w:rPr>
        <w:t xml:space="preserve">that related to sexual </w:t>
      </w:r>
      <w:r w:rsidR="001070A6" w:rsidRPr="00EC02CA">
        <w:rPr>
          <w:i/>
        </w:rPr>
        <w:t>behaviour</w:t>
      </w:r>
      <w:r w:rsidR="001070A6" w:rsidRPr="00EC02CA">
        <w:t xml:space="preserve"> as opposed to other </w:t>
      </w:r>
      <w:r w:rsidR="00EC2FF6" w:rsidRPr="00EC02CA">
        <w:t xml:space="preserve">forms of </w:t>
      </w:r>
      <w:r w:rsidR="00D44578" w:rsidRPr="00EC02CA">
        <w:t>abuse</w:t>
      </w:r>
      <w:r w:rsidR="00EC2FF6" w:rsidRPr="00EC02CA">
        <w:t>. However,</w:t>
      </w:r>
      <w:r w:rsidR="001070A6" w:rsidRPr="00EC02CA">
        <w:t xml:space="preserve"> </w:t>
      </w:r>
      <w:r w:rsidR="00BB422A" w:rsidRPr="00EC02CA">
        <w:t>these data</w:t>
      </w:r>
      <w:r w:rsidR="001070A6" w:rsidRPr="00EC02CA">
        <w:t xml:space="preserve"> tend to support the observations in the TLRI interviews and other research </w:t>
      </w:r>
      <w:r w:rsidR="00D44578" w:rsidRPr="00EC02CA">
        <w:t>about the extent of harm</w:t>
      </w:r>
      <w:r w:rsidR="00BB422A" w:rsidRPr="00EC02CA">
        <w:t xml:space="preserve"> – </w:t>
      </w:r>
      <w:r w:rsidR="00D44578" w:rsidRPr="00EC02CA">
        <w:t>including sexual harm</w:t>
      </w:r>
      <w:r w:rsidR="00BB422A" w:rsidRPr="00EC02CA">
        <w:t xml:space="preserve"> –</w:t>
      </w:r>
      <w:r w:rsidR="00D44578" w:rsidRPr="00EC02CA">
        <w:t xml:space="preserve"> that is experienced by young people from other young people. </w:t>
      </w:r>
      <w:r w:rsidR="00DF2571" w:rsidRPr="00EC02CA">
        <w:t xml:space="preserve">They </w:t>
      </w:r>
      <w:r w:rsidR="00D44578" w:rsidRPr="00EC02CA">
        <w:t xml:space="preserve">also </w:t>
      </w:r>
      <w:r w:rsidR="000F5340" w:rsidRPr="00EC02CA">
        <w:t xml:space="preserve">support the observations made in the TLRI interviews about </w:t>
      </w:r>
      <w:r w:rsidR="00DF2571" w:rsidRPr="00EC02CA">
        <w:t xml:space="preserve">an </w:t>
      </w:r>
      <w:r w:rsidR="000F5340" w:rsidRPr="00EC02CA">
        <w:t xml:space="preserve">increase in reports </w:t>
      </w:r>
      <w:r w:rsidR="00D44578" w:rsidRPr="00EC02CA">
        <w:t>made</w:t>
      </w:r>
      <w:r w:rsidR="00BD11CC" w:rsidRPr="00EC02CA">
        <w:t xml:space="preserve"> by schools. </w:t>
      </w:r>
    </w:p>
    <w:p w14:paraId="707EB1ED" w14:textId="7C5305C7" w:rsidR="00DD5254" w:rsidRPr="00EC02CA" w:rsidRDefault="00DD5254" w:rsidP="00A920EC">
      <w:pPr>
        <w:pStyle w:val="TLRISubheading"/>
      </w:pPr>
      <w:bookmarkStart w:id="311" w:name="_Toc211849421"/>
      <w:bookmarkStart w:id="312" w:name="_Toc218157322"/>
      <w:r w:rsidRPr="00EC02CA">
        <w:t>Reports to Tasmania Police</w:t>
      </w:r>
      <w:bookmarkEnd w:id="311"/>
      <w:bookmarkEnd w:id="312"/>
    </w:p>
    <w:p w14:paraId="7D759464" w14:textId="516174E1" w:rsidR="00663CBA" w:rsidRPr="00EC02CA" w:rsidRDefault="002B3060" w:rsidP="002F0007">
      <w:pPr>
        <w:pStyle w:val="NormalNumberedTextTLRI"/>
      </w:pPr>
      <w:r w:rsidRPr="00EC02CA">
        <w:t>In</w:t>
      </w:r>
      <w:r w:rsidR="00BD11CC" w:rsidRPr="00EC02CA">
        <w:t xml:space="preserve"> relation to </w:t>
      </w:r>
      <w:r w:rsidR="00C13035" w:rsidRPr="00EC02CA">
        <w:t xml:space="preserve">official data about </w:t>
      </w:r>
      <w:r w:rsidR="00BD11CC" w:rsidRPr="00EC02CA">
        <w:t>reports to police, it is not possible to determine</w:t>
      </w:r>
      <w:r w:rsidR="00BC7FB1" w:rsidRPr="00EC02CA">
        <w:t xml:space="preserve"> from publicly available information</w:t>
      </w:r>
      <w:r w:rsidR="00BD11CC" w:rsidRPr="00EC02CA">
        <w:t xml:space="preserve"> the number of reports</w:t>
      </w:r>
      <w:r w:rsidR="00C13035" w:rsidRPr="00EC02CA">
        <w:t xml:space="preserve"> that </w:t>
      </w:r>
      <w:r w:rsidR="00716588" w:rsidRPr="00EC02CA">
        <w:t>relate</w:t>
      </w:r>
      <w:r w:rsidR="00C13035" w:rsidRPr="00EC02CA">
        <w:t xml:space="preserve"> to allegations of sexual offending by a young person</w:t>
      </w:r>
      <w:r w:rsidR="00B049F0" w:rsidRPr="00EC02CA">
        <w:t>.</w:t>
      </w:r>
      <w:r w:rsidR="00522435" w:rsidRPr="00EC02CA">
        <w:rPr>
          <w:rStyle w:val="FootnoteReference"/>
        </w:rPr>
        <w:footnoteReference w:id="554"/>
      </w:r>
      <w:r w:rsidR="00B049F0" w:rsidRPr="00EC02CA">
        <w:t xml:space="preserve"> </w:t>
      </w:r>
      <w:r w:rsidR="00B114AF" w:rsidRPr="00EC02CA">
        <w:t>ABS d</w:t>
      </w:r>
      <w:r w:rsidR="009F08BC" w:rsidRPr="00EC02CA">
        <w:t xml:space="preserve">ata </w:t>
      </w:r>
      <w:r w:rsidR="00B114AF" w:rsidRPr="00EC02CA">
        <w:t xml:space="preserve">on </w:t>
      </w:r>
      <w:r w:rsidR="0047731C" w:rsidRPr="00EC02CA">
        <w:t xml:space="preserve">recorded victims </w:t>
      </w:r>
      <w:r w:rsidR="001B6A64" w:rsidRPr="00EC02CA">
        <w:t>indicate</w:t>
      </w:r>
      <w:r w:rsidR="009F08BC" w:rsidRPr="00EC02CA">
        <w:t xml:space="preserve"> how many sexual assaults </w:t>
      </w:r>
      <w:r w:rsidR="0047731C" w:rsidRPr="00EC02CA">
        <w:t>a</w:t>
      </w:r>
      <w:r w:rsidR="009F08BC" w:rsidRPr="00EC02CA">
        <w:t xml:space="preserve">re reported to police, and the number of those </w:t>
      </w:r>
      <w:r w:rsidR="00915A0A" w:rsidRPr="00EC02CA">
        <w:t>reports</w:t>
      </w:r>
      <w:r w:rsidR="001B6A64" w:rsidRPr="00EC02CA">
        <w:t xml:space="preserve"> that </w:t>
      </w:r>
      <w:r w:rsidR="0047731C" w:rsidRPr="00EC02CA">
        <w:t>a</w:t>
      </w:r>
      <w:r w:rsidR="001B6A64" w:rsidRPr="00EC02CA">
        <w:t xml:space="preserve">re made </w:t>
      </w:r>
      <w:r w:rsidR="00915A0A" w:rsidRPr="00EC02CA">
        <w:t xml:space="preserve">about an </w:t>
      </w:r>
      <w:r w:rsidR="001B6A64" w:rsidRPr="00EC02CA">
        <w:t xml:space="preserve">allegation of sexual assault where the </w:t>
      </w:r>
      <w:r w:rsidR="00886B70" w:rsidRPr="00EC02CA">
        <w:t>victim-survivor</w:t>
      </w:r>
      <w:r w:rsidR="001B6A64" w:rsidRPr="00EC02CA">
        <w:t xml:space="preserve"> was </w:t>
      </w:r>
      <w:r w:rsidR="005977FE" w:rsidRPr="00EC02CA">
        <w:t xml:space="preserve">aged </w:t>
      </w:r>
      <w:r w:rsidR="001B6A64" w:rsidRPr="00EC02CA">
        <w:t>under 18 at the time of the incident</w:t>
      </w:r>
      <w:r w:rsidR="00522208" w:rsidRPr="00EC02CA">
        <w:t xml:space="preserve">, but </w:t>
      </w:r>
      <w:r w:rsidR="005977FE" w:rsidRPr="00EC02CA">
        <w:t>they</w:t>
      </w:r>
      <w:r w:rsidR="00522208" w:rsidRPr="00EC02CA">
        <w:t xml:space="preserve"> do </w:t>
      </w:r>
      <w:r w:rsidR="00A452BE" w:rsidRPr="00EC02CA">
        <w:t xml:space="preserve">not provide information about the </w:t>
      </w:r>
      <w:r w:rsidR="00507384" w:rsidRPr="00EC02CA">
        <w:t xml:space="preserve">age of the person </w:t>
      </w:r>
      <w:r w:rsidR="008C4CEB" w:rsidRPr="00EC02CA">
        <w:t>believed to be responsible</w:t>
      </w:r>
      <w:r w:rsidR="00E460EA" w:rsidRPr="00EC02CA">
        <w:t xml:space="preserve">. </w:t>
      </w:r>
      <w:r w:rsidR="008C4CEB" w:rsidRPr="00EC02CA">
        <w:t>ABS data i</w:t>
      </w:r>
      <w:r w:rsidR="008724E4" w:rsidRPr="00EC02CA">
        <w:t xml:space="preserve">n </w:t>
      </w:r>
      <w:r w:rsidR="00AC674C" w:rsidRPr="00EC02CA">
        <w:t>2024</w:t>
      </w:r>
      <w:r w:rsidR="008C4CEB" w:rsidRPr="00EC02CA">
        <w:t xml:space="preserve"> show that</w:t>
      </w:r>
      <w:r w:rsidR="00915A0A" w:rsidRPr="00EC02CA">
        <w:t>,</w:t>
      </w:r>
      <w:r w:rsidR="00AC674C" w:rsidRPr="00EC02CA">
        <w:t xml:space="preserve"> in </w:t>
      </w:r>
      <w:r w:rsidR="0030721F" w:rsidRPr="00EC02CA">
        <w:t>Tasmania</w:t>
      </w:r>
      <w:r w:rsidR="00915A0A" w:rsidRPr="00EC02CA">
        <w:t>,</w:t>
      </w:r>
      <w:r w:rsidR="00AC674C" w:rsidRPr="00EC02CA">
        <w:t xml:space="preserve"> </w:t>
      </w:r>
      <w:r w:rsidR="00E9191E" w:rsidRPr="00EC02CA">
        <w:t>there were</w:t>
      </w:r>
      <w:r w:rsidR="00CC768E" w:rsidRPr="00EC02CA">
        <w:t xml:space="preserve"> 567 </w:t>
      </w:r>
      <w:r w:rsidR="008724E4" w:rsidRPr="00EC02CA">
        <w:t xml:space="preserve">sexual assault offences </w:t>
      </w:r>
      <w:r w:rsidR="00BD28B3" w:rsidRPr="00EC02CA">
        <w:t>reported to police,</w:t>
      </w:r>
      <w:r w:rsidR="005F4938" w:rsidRPr="00EC02CA">
        <w:t xml:space="preserve"> and 317 </w:t>
      </w:r>
      <w:r w:rsidR="005977FE" w:rsidRPr="00EC02CA">
        <w:t xml:space="preserve">(55.9%) </w:t>
      </w:r>
      <w:r w:rsidR="005F4938" w:rsidRPr="00EC02CA">
        <w:t xml:space="preserve">related to people who were </w:t>
      </w:r>
      <w:r w:rsidR="005977FE" w:rsidRPr="00EC02CA">
        <w:t xml:space="preserve">aged </w:t>
      </w:r>
      <w:r w:rsidR="005F4938" w:rsidRPr="00EC02CA">
        <w:t>under 18 at the time of the incident.</w:t>
      </w:r>
      <w:r w:rsidR="006D1C1A" w:rsidRPr="00EC02CA">
        <w:rPr>
          <w:rStyle w:val="FootnoteReference"/>
        </w:rPr>
        <w:footnoteReference w:id="555"/>
      </w:r>
      <w:r w:rsidR="006D1C1A" w:rsidRPr="00EC02CA">
        <w:t xml:space="preserve"> ABS d</w:t>
      </w:r>
      <w:r w:rsidR="00663CBA" w:rsidRPr="00EC02CA">
        <w:t>ata about family and domestic</w:t>
      </w:r>
      <w:r w:rsidR="005977FE" w:rsidRPr="00EC02CA">
        <w:t>-</w:t>
      </w:r>
      <w:r w:rsidR="00663CBA" w:rsidRPr="00EC02CA">
        <w:t>violence</w:t>
      </w:r>
      <w:r w:rsidR="005977FE" w:rsidRPr="00EC02CA">
        <w:t>-</w:t>
      </w:r>
      <w:r w:rsidR="00663CBA" w:rsidRPr="00EC02CA">
        <w:t>related sexual assault in Tasmania show that</w:t>
      </w:r>
      <w:r w:rsidR="005977FE" w:rsidRPr="00EC02CA">
        <w:t>,</w:t>
      </w:r>
      <w:r w:rsidR="00663CBA" w:rsidRPr="00EC02CA">
        <w:t xml:space="preserve"> in 2024,</w:t>
      </w:r>
      <w:r w:rsidR="00F31F53" w:rsidRPr="00EC02CA">
        <w:t xml:space="preserve"> </w:t>
      </w:r>
      <w:r w:rsidR="00663CBA" w:rsidRPr="00EC02CA">
        <w:t xml:space="preserve">there were 170 people (out of 284) </w:t>
      </w:r>
      <w:r w:rsidR="005977FE" w:rsidRPr="00EC02CA">
        <w:t xml:space="preserve">aged </w:t>
      </w:r>
      <w:r w:rsidR="00663CBA" w:rsidRPr="00EC02CA">
        <w:t>under 18 at the time of the incident.</w:t>
      </w:r>
      <w:r w:rsidR="00663CBA" w:rsidRPr="00EC02CA">
        <w:rPr>
          <w:rStyle w:val="FootnoteReference"/>
        </w:rPr>
        <w:footnoteReference w:id="556"/>
      </w:r>
      <w:r w:rsidR="00244B7F" w:rsidRPr="00EC02CA">
        <w:t xml:space="preserve"> These data show that</w:t>
      </w:r>
      <w:r w:rsidR="005977FE" w:rsidRPr="00EC02CA">
        <w:t>,</w:t>
      </w:r>
      <w:r w:rsidR="00244B7F" w:rsidRPr="00EC02CA">
        <w:t xml:space="preserve"> </w:t>
      </w:r>
      <w:r w:rsidR="007D0F30" w:rsidRPr="00EC02CA">
        <w:t xml:space="preserve">in relation to the 284 </w:t>
      </w:r>
      <w:r w:rsidR="001C2669" w:rsidRPr="00EC02CA">
        <w:t xml:space="preserve">victims of sexual assault, </w:t>
      </w:r>
      <w:r w:rsidR="007D0F30" w:rsidRPr="00EC02CA">
        <w:t>146 offenders were intimate partners</w:t>
      </w:r>
      <w:r w:rsidR="00012D9F" w:rsidRPr="00EC02CA">
        <w:rPr>
          <w:rStyle w:val="FootnoteReference"/>
        </w:rPr>
        <w:footnoteReference w:id="557"/>
      </w:r>
      <w:r w:rsidR="001C2669" w:rsidRPr="00EC02CA">
        <w:t xml:space="preserve"> </w:t>
      </w:r>
      <w:r w:rsidR="00183226" w:rsidRPr="00EC02CA">
        <w:t xml:space="preserve">and </w:t>
      </w:r>
      <w:r w:rsidR="001C2669" w:rsidRPr="00EC02CA">
        <w:t>133 other family members</w:t>
      </w:r>
      <w:r w:rsidR="00012D9F" w:rsidRPr="00EC02CA">
        <w:t xml:space="preserve"> (58 </w:t>
      </w:r>
      <w:r w:rsidR="005977FE" w:rsidRPr="00EC02CA">
        <w:t xml:space="preserve">were </w:t>
      </w:r>
      <w:r w:rsidR="00012D9F" w:rsidRPr="00EC02CA">
        <w:t>parents)</w:t>
      </w:r>
      <w:r w:rsidR="00183226" w:rsidRPr="00EC02CA">
        <w:t xml:space="preserve">. It is not possible to determine the offender category </w:t>
      </w:r>
      <w:r w:rsidR="00305884" w:rsidRPr="00EC02CA">
        <w:t>specifically in relation to young people</w:t>
      </w:r>
      <w:r w:rsidR="005F07CF" w:rsidRPr="00EC02CA">
        <w:t xml:space="preserve"> who </w:t>
      </w:r>
      <w:r w:rsidR="005977FE" w:rsidRPr="00EC02CA">
        <w:t>we</w:t>
      </w:r>
      <w:r w:rsidR="005F07CF" w:rsidRPr="00EC02CA">
        <w:t>re victims of family and domestic</w:t>
      </w:r>
      <w:r w:rsidR="005977FE" w:rsidRPr="00EC02CA">
        <w:t>-</w:t>
      </w:r>
      <w:r w:rsidR="005F07CF" w:rsidRPr="00EC02CA">
        <w:t>violence</w:t>
      </w:r>
      <w:r w:rsidR="005977FE" w:rsidRPr="00EC02CA">
        <w:t>-</w:t>
      </w:r>
      <w:r w:rsidR="005F07CF" w:rsidRPr="00EC02CA">
        <w:t>related sexual assault</w:t>
      </w:r>
      <w:r w:rsidR="00693CA9" w:rsidRPr="00EC02CA">
        <w:t xml:space="preserve">, where the </w:t>
      </w:r>
      <w:r w:rsidR="00972C78" w:rsidRPr="00EC02CA">
        <w:t xml:space="preserve">offender </w:t>
      </w:r>
      <w:r w:rsidR="00E9191E" w:rsidRPr="00EC02CA">
        <w:t>was an</w:t>
      </w:r>
      <w:r w:rsidR="00972C78" w:rsidRPr="00EC02CA">
        <w:t>other young pe</w:t>
      </w:r>
      <w:r w:rsidR="00E9191E" w:rsidRPr="00EC02CA">
        <w:t>rson</w:t>
      </w:r>
      <w:r w:rsidR="005F07CF" w:rsidRPr="00EC02CA">
        <w:t>.</w:t>
      </w:r>
    </w:p>
    <w:p w14:paraId="0765CD08" w14:textId="786CFCB0" w:rsidR="0015513F" w:rsidRPr="00EC02CA" w:rsidRDefault="00305884" w:rsidP="002F0007">
      <w:pPr>
        <w:pStyle w:val="NormalNumberedTextTLRI"/>
        <w:rPr>
          <w:i/>
          <w:iCs/>
        </w:rPr>
      </w:pPr>
      <w:r w:rsidRPr="00EC02CA">
        <w:t>Official data show that t</w:t>
      </w:r>
      <w:r w:rsidR="00655626" w:rsidRPr="00EC02CA">
        <w:t xml:space="preserve">here is a gap between matters reported to police and matters </w:t>
      </w:r>
      <w:r w:rsidR="00576208" w:rsidRPr="00EC02CA">
        <w:t xml:space="preserve">where an offender is proceeded against. For </w:t>
      </w:r>
      <w:r w:rsidR="00781193" w:rsidRPr="00EC02CA">
        <w:t>example,</w:t>
      </w:r>
      <w:r w:rsidR="00576208" w:rsidRPr="00EC02CA">
        <w:t xml:space="preserve"> of the 567 sexual assaults reported to police in </w:t>
      </w:r>
      <w:r w:rsidR="006C7B61" w:rsidRPr="00EC02CA">
        <w:t xml:space="preserve">Tasmania in </w:t>
      </w:r>
      <w:r w:rsidR="00576208" w:rsidRPr="00EC02CA">
        <w:t>2024,</w:t>
      </w:r>
      <w:r w:rsidR="00BD28B3" w:rsidRPr="00EC02CA">
        <w:t xml:space="preserve"> </w:t>
      </w:r>
      <w:r w:rsidR="00D333E1" w:rsidRPr="00EC02CA">
        <w:t>167</w:t>
      </w:r>
      <w:r w:rsidR="00BD28B3" w:rsidRPr="00EC02CA">
        <w:t xml:space="preserve"> </w:t>
      </w:r>
      <w:r w:rsidR="00D333E1" w:rsidRPr="00EC02CA">
        <w:t xml:space="preserve">cases </w:t>
      </w:r>
      <w:r w:rsidR="00A46BF8" w:rsidRPr="00EC02CA">
        <w:t>had been finalised at</w:t>
      </w:r>
      <w:r w:rsidR="0030721F" w:rsidRPr="00EC02CA">
        <w:t xml:space="preserve"> 30 days</w:t>
      </w:r>
      <w:r w:rsidR="00BD28B3" w:rsidRPr="00EC02CA">
        <w:t xml:space="preserve">, </w:t>
      </w:r>
      <w:r w:rsidR="00764C56" w:rsidRPr="00EC02CA">
        <w:t xml:space="preserve">and of these </w:t>
      </w:r>
      <w:r w:rsidR="00BD28B3" w:rsidRPr="00EC02CA">
        <w:t xml:space="preserve">there were </w:t>
      </w:r>
      <w:r w:rsidR="00347123" w:rsidRPr="00EC02CA">
        <w:t xml:space="preserve">133 matters where the investigation was finalised and no offender </w:t>
      </w:r>
      <w:r w:rsidR="002C1D7F" w:rsidRPr="00EC02CA">
        <w:t>was</w:t>
      </w:r>
      <w:r w:rsidR="00347123" w:rsidRPr="00EC02CA">
        <w:t xml:space="preserve"> proceeded </w:t>
      </w:r>
      <w:r w:rsidR="002C1D7F" w:rsidRPr="00EC02CA">
        <w:t>against</w:t>
      </w:r>
      <w:r w:rsidR="00347123" w:rsidRPr="00EC02CA">
        <w:t>.</w:t>
      </w:r>
      <w:r w:rsidR="00347123" w:rsidRPr="00EC02CA">
        <w:rPr>
          <w:rStyle w:val="FootnoteReference"/>
        </w:rPr>
        <w:footnoteReference w:id="558"/>
      </w:r>
      <w:r w:rsidR="31917F4A" w:rsidRPr="00EC02CA">
        <w:t xml:space="preserve"> </w:t>
      </w:r>
      <w:r w:rsidR="002A16EF" w:rsidRPr="00EC02CA">
        <w:t xml:space="preserve">Data </w:t>
      </w:r>
      <w:r w:rsidR="00BD5042" w:rsidRPr="00EC02CA">
        <w:t>from 1999 to 2017 show that</w:t>
      </w:r>
      <w:r w:rsidR="006B75BC" w:rsidRPr="00EC02CA">
        <w:t>,</w:t>
      </w:r>
      <w:r w:rsidR="00BD5042" w:rsidRPr="00EC02CA">
        <w:t xml:space="preserve"> </w:t>
      </w:r>
      <w:r w:rsidR="00224D9F" w:rsidRPr="00EC02CA">
        <w:t xml:space="preserve">of </w:t>
      </w:r>
      <w:r w:rsidR="00D842A0" w:rsidRPr="00EC02CA">
        <w:t xml:space="preserve">cases where </w:t>
      </w:r>
      <w:r w:rsidR="00BD5042" w:rsidRPr="00EC02CA">
        <w:t xml:space="preserve">sexual </w:t>
      </w:r>
      <w:r w:rsidR="00D842A0" w:rsidRPr="00EC02CA">
        <w:t>assaults</w:t>
      </w:r>
      <w:r w:rsidR="00BD5042" w:rsidRPr="00EC02CA">
        <w:t xml:space="preserve"> </w:t>
      </w:r>
      <w:r w:rsidR="00D842A0" w:rsidRPr="00EC02CA">
        <w:t xml:space="preserve">were </w:t>
      </w:r>
      <w:r w:rsidR="00BD5042" w:rsidRPr="00EC02CA">
        <w:t xml:space="preserve">reported to </w:t>
      </w:r>
      <w:r w:rsidR="00D842A0" w:rsidRPr="00EC02CA">
        <w:t>police</w:t>
      </w:r>
      <w:r w:rsidR="00224D9F" w:rsidRPr="00EC02CA">
        <w:t xml:space="preserve">, </w:t>
      </w:r>
      <w:r w:rsidR="006B75BC" w:rsidRPr="00EC02CA">
        <w:t>legal action was taken in 57% of cases, however</w:t>
      </w:r>
      <w:r w:rsidR="001D43F0" w:rsidRPr="00EC02CA">
        <w:t>,</w:t>
      </w:r>
      <w:r w:rsidR="006B75BC" w:rsidRPr="00EC02CA">
        <w:t xml:space="preserve"> 16% were</w:t>
      </w:r>
      <w:r w:rsidR="00BD5042" w:rsidRPr="00EC02CA">
        <w:t xml:space="preserve"> </w:t>
      </w:r>
      <w:r w:rsidR="00836381" w:rsidRPr="00EC02CA">
        <w:t>closed without legal action</w:t>
      </w:r>
      <w:r w:rsidR="00A45128" w:rsidRPr="00EC02CA">
        <w:t xml:space="preserve">, </w:t>
      </w:r>
      <w:r w:rsidR="001D43F0" w:rsidRPr="00EC02CA">
        <w:t xml:space="preserve">and </w:t>
      </w:r>
      <w:r w:rsidR="006B75BC" w:rsidRPr="00EC02CA">
        <w:t>the matter was ‘</w:t>
      </w:r>
      <w:r w:rsidR="00A45128" w:rsidRPr="00EC02CA">
        <w:t>unsolved</w:t>
      </w:r>
      <w:r w:rsidR="006B75BC" w:rsidRPr="00EC02CA">
        <w:t>’</w:t>
      </w:r>
      <w:r w:rsidR="00A45128" w:rsidRPr="00EC02CA">
        <w:t xml:space="preserve"> in 16% of cases, withdrawn in 9%</w:t>
      </w:r>
      <w:r w:rsidR="006B75BC" w:rsidRPr="00EC02CA">
        <w:t>,</w:t>
      </w:r>
      <w:r w:rsidR="00A45128" w:rsidRPr="00EC02CA">
        <w:t xml:space="preserve"> and </w:t>
      </w:r>
      <w:r w:rsidR="00933F9B" w:rsidRPr="00EC02CA">
        <w:t>unfounded</w:t>
      </w:r>
      <w:r w:rsidR="00A45128" w:rsidRPr="00EC02CA">
        <w:t xml:space="preserve"> in 2%.</w:t>
      </w:r>
      <w:r w:rsidR="00A45128" w:rsidRPr="00EC02CA">
        <w:rPr>
          <w:rStyle w:val="FootnoteReference"/>
        </w:rPr>
        <w:footnoteReference w:id="559"/>
      </w:r>
      <w:r w:rsidR="006B75BC" w:rsidRPr="00EC02CA">
        <w:t xml:space="preserve"> </w:t>
      </w:r>
      <w:r w:rsidR="00764C56" w:rsidRPr="00EC02CA">
        <w:t>Th</w:t>
      </w:r>
      <w:r w:rsidR="001D43F0" w:rsidRPr="00EC02CA">
        <w:t>is</w:t>
      </w:r>
      <w:r w:rsidR="00CF59F1" w:rsidRPr="00EC02CA">
        <w:t xml:space="preserve"> </w:t>
      </w:r>
      <w:r w:rsidR="007B5124" w:rsidRPr="00EC02CA">
        <w:t xml:space="preserve">pattern </w:t>
      </w:r>
      <w:r w:rsidR="001D43F0" w:rsidRPr="00EC02CA">
        <w:t xml:space="preserve">is </w:t>
      </w:r>
      <w:r w:rsidR="007B5124" w:rsidRPr="00EC02CA">
        <w:t xml:space="preserve">similar </w:t>
      </w:r>
      <w:r w:rsidR="001D43F0" w:rsidRPr="00EC02CA">
        <w:t xml:space="preserve">in </w:t>
      </w:r>
      <w:r w:rsidR="007B5124" w:rsidRPr="00EC02CA">
        <w:t>other jurisdictions</w:t>
      </w:r>
      <w:r w:rsidR="001D43F0" w:rsidRPr="00EC02CA">
        <w:t>.</w:t>
      </w:r>
      <w:r w:rsidR="007B5124" w:rsidRPr="00EC02CA">
        <w:t xml:space="preserve"> </w:t>
      </w:r>
      <w:r w:rsidR="001D43F0" w:rsidRPr="00EC02CA">
        <w:t>T</w:t>
      </w:r>
      <w:r w:rsidR="007B5124" w:rsidRPr="00EC02CA">
        <w:t>h</w:t>
      </w:r>
      <w:r w:rsidR="00764C56" w:rsidRPr="00EC02CA">
        <w:t>ere are numerous reasons why a matter may not be proceeded with</w:t>
      </w:r>
      <w:r w:rsidR="001D43F0" w:rsidRPr="00EC02CA">
        <w:t>,</w:t>
      </w:r>
      <w:r w:rsidR="00764C56" w:rsidRPr="00EC02CA">
        <w:t xml:space="preserve"> and these are discussed at </w:t>
      </w:r>
      <w:r w:rsidR="0052639E" w:rsidRPr="00EC02CA">
        <w:t>[</w:t>
      </w:r>
      <w:r w:rsidR="003C2C40" w:rsidRPr="00EC02CA">
        <w:fldChar w:fldCharType="begin"/>
      </w:r>
      <w:r w:rsidR="003C2C40" w:rsidRPr="00EC02CA">
        <w:instrText xml:space="preserve"> REF _Ref218240949 \r \h </w:instrText>
      </w:r>
      <w:r w:rsidR="003C2C40" w:rsidRPr="00EC02CA">
        <w:fldChar w:fldCharType="separate"/>
      </w:r>
      <w:r w:rsidR="007D7830">
        <w:t>6.4</w:t>
      </w:r>
      <w:r w:rsidR="003C2C40" w:rsidRPr="00EC02CA">
        <w:fldChar w:fldCharType="end"/>
      </w:r>
      <w:r w:rsidR="0052639E" w:rsidRPr="00EC02CA">
        <w:t>]</w:t>
      </w:r>
      <w:r w:rsidR="00764C56" w:rsidRPr="00EC02CA">
        <w:t xml:space="preserve">. </w:t>
      </w:r>
    </w:p>
    <w:p w14:paraId="09F43F86" w14:textId="5A6C9020" w:rsidR="009745D7" w:rsidRPr="00EC02CA" w:rsidRDefault="00B203BF" w:rsidP="006164F1">
      <w:pPr>
        <w:pStyle w:val="NumberedHeadingTLRI"/>
      </w:pPr>
      <w:bookmarkStart w:id="313" w:name="_Toc218157323"/>
      <w:bookmarkStart w:id="314" w:name="_Ref218240091"/>
      <w:bookmarkStart w:id="315" w:name="_Ref218253215"/>
      <w:r w:rsidRPr="00EC02CA">
        <w:t>TLRI interviewees’ views</w:t>
      </w:r>
      <w:bookmarkEnd w:id="313"/>
      <w:bookmarkEnd w:id="314"/>
      <w:bookmarkEnd w:id="315"/>
    </w:p>
    <w:p w14:paraId="13A2C89A" w14:textId="78C29F13" w:rsidR="00F4577B" w:rsidRPr="00EC02CA" w:rsidRDefault="00164E13" w:rsidP="002F0007">
      <w:pPr>
        <w:pStyle w:val="NormalNumberedTextTLRI"/>
      </w:pPr>
      <w:bookmarkStart w:id="316" w:name="_Ref218253438"/>
      <w:r w:rsidRPr="00EC02CA">
        <w:t xml:space="preserve">In the interviews conducted by the TLRI, participants </w:t>
      </w:r>
      <w:r w:rsidR="00527A21" w:rsidRPr="00EC02CA">
        <w:t xml:space="preserve">discussed </w:t>
      </w:r>
      <w:r w:rsidR="00846B63" w:rsidRPr="00EC02CA">
        <w:t>reporting</w:t>
      </w:r>
      <w:r w:rsidR="00F03FC8" w:rsidRPr="00EC02CA">
        <w:t xml:space="preserve"> </w:t>
      </w:r>
      <w:r w:rsidR="009400E8" w:rsidRPr="00EC02CA">
        <w:t xml:space="preserve">matters </w:t>
      </w:r>
      <w:r w:rsidR="008753D0" w:rsidRPr="00EC02CA">
        <w:t xml:space="preserve">to </w:t>
      </w:r>
      <w:r w:rsidR="0006603F" w:rsidRPr="00EC02CA">
        <w:t>Tasmania Po</w:t>
      </w:r>
      <w:r w:rsidR="008753D0" w:rsidRPr="00EC02CA">
        <w:t xml:space="preserve">lice </w:t>
      </w:r>
      <w:r w:rsidR="0006603F" w:rsidRPr="00EC02CA">
        <w:t>where</w:t>
      </w:r>
      <w:r w:rsidR="00F03FC8" w:rsidRPr="00EC02CA">
        <w:t xml:space="preserve"> sexual</w:t>
      </w:r>
      <w:r w:rsidR="0093096D" w:rsidRPr="00EC02CA">
        <w:t xml:space="preserve"> </w:t>
      </w:r>
      <w:r w:rsidR="00F03FC8" w:rsidRPr="00EC02CA">
        <w:t>offences</w:t>
      </w:r>
      <w:r w:rsidR="00F4577B" w:rsidRPr="00EC02CA">
        <w:t xml:space="preserve"> </w:t>
      </w:r>
      <w:r w:rsidR="009400E8" w:rsidRPr="00EC02CA">
        <w:t>we</w:t>
      </w:r>
      <w:r w:rsidR="0093096D" w:rsidRPr="00EC02CA">
        <w:t xml:space="preserve">re </w:t>
      </w:r>
      <w:r w:rsidR="00846B63" w:rsidRPr="00EC02CA">
        <w:t>alleged to have been committed by young people</w:t>
      </w:r>
      <w:r w:rsidR="009400E8" w:rsidRPr="00EC02CA">
        <w:t>. Interviewees noted the</w:t>
      </w:r>
      <w:r w:rsidR="0022611E" w:rsidRPr="00EC02CA">
        <w:t xml:space="preserve"> </w:t>
      </w:r>
      <w:r w:rsidR="002671D2" w:rsidRPr="00EC02CA">
        <w:t xml:space="preserve">issues </w:t>
      </w:r>
      <w:r w:rsidR="009E04B1" w:rsidRPr="00EC02CA">
        <w:t xml:space="preserve">arising from </w:t>
      </w:r>
      <w:r w:rsidR="009400E8" w:rsidRPr="00EC02CA">
        <w:t xml:space="preserve">both </w:t>
      </w:r>
      <w:r w:rsidR="00BE1206" w:rsidRPr="00EC02CA">
        <w:t xml:space="preserve">the </w:t>
      </w:r>
      <w:r w:rsidR="009400E8" w:rsidRPr="00EC02CA">
        <w:t xml:space="preserve">large </w:t>
      </w:r>
      <w:r w:rsidR="00BE1206" w:rsidRPr="00EC02CA">
        <w:t xml:space="preserve">volume of reports </w:t>
      </w:r>
      <w:r w:rsidR="009400E8" w:rsidRPr="00EC02CA">
        <w:t xml:space="preserve">as a result </w:t>
      </w:r>
      <w:r w:rsidR="00BE1206" w:rsidRPr="00EC02CA">
        <w:t>mandatory reporting</w:t>
      </w:r>
      <w:r w:rsidR="009400E8" w:rsidRPr="00EC02CA">
        <w:t>,</w:t>
      </w:r>
      <w:r w:rsidR="00BE1206" w:rsidRPr="00EC02CA">
        <w:t xml:space="preserve"> </w:t>
      </w:r>
      <w:r w:rsidR="002671D2" w:rsidRPr="00EC02CA">
        <w:t>and</w:t>
      </w:r>
      <w:r w:rsidR="009E04B1" w:rsidRPr="00EC02CA">
        <w:t xml:space="preserve"> the</w:t>
      </w:r>
      <w:r w:rsidR="002671D2" w:rsidRPr="00EC02CA">
        <w:t xml:space="preserve"> underreporting </w:t>
      </w:r>
      <w:r w:rsidR="00BE1206" w:rsidRPr="00EC02CA">
        <w:t xml:space="preserve">by </w:t>
      </w:r>
      <w:r w:rsidR="00886B70" w:rsidRPr="00EC02CA">
        <w:t>victim-survivor</w:t>
      </w:r>
      <w:r w:rsidR="00BE1206" w:rsidRPr="00EC02CA">
        <w:t>s</w:t>
      </w:r>
      <w:r w:rsidR="002671D2" w:rsidRPr="00EC02CA">
        <w:t>.</w:t>
      </w:r>
      <w:r w:rsidR="00EA754C" w:rsidRPr="00EC02CA">
        <w:t xml:space="preserve"> Aligned with </w:t>
      </w:r>
      <w:r w:rsidR="009E04B1" w:rsidRPr="00EC02CA">
        <w:t>prior</w:t>
      </w:r>
      <w:r w:rsidR="00EA754C" w:rsidRPr="00EC02CA">
        <w:t xml:space="preserve"> literature</w:t>
      </w:r>
      <w:r w:rsidR="00541D26" w:rsidRPr="00EC02CA">
        <w:t>,</w:t>
      </w:r>
      <w:r w:rsidR="00EA754C" w:rsidRPr="00EC02CA">
        <w:t xml:space="preserve"> </w:t>
      </w:r>
      <w:r w:rsidR="00F4577B" w:rsidRPr="00EC02CA">
        <w:t xml:space="preserve">participants </w:t>
      </w:r>
      <w:r w:rsidR="001371B0" w:rsidRPr="00EC02CA">
        <w:t xml:space="preserve">commented on the barriers that exist for young people and their families </w:t>
      </w:r>
      <w:r w:rsidR="00E6081F" w:rsidRPr="00EC02CA">
        <w:t>in making</w:t>
      </w:r>
      <w:r w:rsidR="001371B0" w:rsidRPr="00EC02CA">
        <w:t xml:space="preserve"> </w:t>
      </w:r>
      <w:r w:rsidR="00541D26" w:rsidRPr="00EC02CA">
        <w:t xml:space="preserve">independent </w:t>
      </w:r>
      <w:r w:rsidR="001371B0" w:rsidRPr="00EC02CA">
        <w:t>report</w:t>
      </w:r>
      <w:r w:rsidR="00E6081F" w:rsidRPr="00EC02CA">
        <w:t>s</w:t>
      </w:r>
      <w:r w:rsidR="001371B0" w:rsidRPr="00EC02CA">
        <w:t xml:space="preserve"> to police</w:t>
      </w:r>
      <w:r w:rsidR="00A158C5" w:rsidRPr="00EC02CA">
        <w:t xml:space="preserve"> </w:t>
      </w:r>
      <w:r w:rsidR="00541D26" w:rsidRPr="00EC02CA">
        <w:t>and/</w:t>
      </w:r>
      <w:r w:rsidR="00A158C5" w:rsidRPr="00EC02CA">
        <w:t xml:space="preserve">or </w:t>
      </w:r>
      <w:r w:rsidR="00541D26" w:rsidRPr="00EC02CA">
        <w:t>being willing to participate in police</w:t>
      </w:r>
      <w:r w:rsidR="00A158C5" w:rsidRPr="00EC02CA">
        <w:t xml:space="preserve"> investigations </w:t>
      </w:r>
      <w:r w:rsidR="00541D26" w:rsidRPr="00EC02CA">
        <w:t>following</w:t>
      </w:r>
      <w:r w:rsidR="00A158C5" w:rsidRPr="00EC02CA">
        <w:t xml:space="preserve"> a mandatory report</w:t>
      </w:r>
      <w:r w:rsidR="001371B0" w:rsidRPr="00EC02CA">
        <w:t xml:space="preserve">. </w:t>
      </w:r>
      <w:r w:rsidR="00A4592B" w:rsidRPr="00EC02CA">
        <w:t>Reflecting</w:t>
      </w:r>
      <w:r w:rsidR="001371B0" w:rsidRPr="00EC02CA">
        <w:t xml:space="preserve"> literature elsewhere, </w:t>
      </w:r>
      <w:r w:rsidR="00A158C5" w:rsidRPr="00EC02CA">
        <w:t xml:space="preserve">participants </w:t>
      </w:r>
      <w:r w:rsidR="007B5124" w:rsidRPr="00EC02CA">
        <w:t>identified factors such as</w:t>
      </w:r>
      <w:r w:rsidR="00A158C5" w:rsidRPr="00EC02CA">
        <w:t xml:space="preserve"> </w:t>
      </w:r>
      <w:r w:rsidR="00A4592B" w:rsidRPr="00EC02CA">
        <w:t xml:space="preserve">shame, </w:t>
      </w:r>
      <w:r w:rsidR="001C6555" w:rsidRPr="00EC02CA">
        <w:t xml:space="preserve">embarrassment, </w:t>
      </w:r>
      <w:r w:rsidR="00A74624" w:rsidRPr="00EC02CA">
        <w:t>and a sense that there w</w:t>
      </w:r>
      <w:r w:rsidR="000B1BC3" w:rsidRPr="00EC02CA">
        <w:t xml:space="preserve">ill not be any consequences </w:t>
      </w:r>
      <w:r w:rsidR="008C282D" w:rsidRPr="00EC02CA">
        <w:t xml:space="preserve">for the alleged offender </w:t>
      </w:r>
      <w:r w:rsidR="000B1BC3" w:rsidRPr="00EC02CA">
        <w:t>as reasons</w:t>
      </w:r>
      <w:r w:rsidR="00541D26" w:rsidRPr="00EC02CA">
        <w:t xml:space="preserve"> </w:t>
      </w:r>
      <w:r w:rsidR="009400E8" w:rsidRPr="00EC02CA">
        <w:t xml:space="preserve">for </w:t>
      </w:r>
      <w:r w:rsidR="00541D26" w:rsidRPr="00EC02CA">
        <w:t>why young people and (their families)</w:t>
      </w:r>
      <w:r w:rsidR="008C282D" w:rsidRPr="00EC02CA">
        <w:t xml:space="preserve"> do not pursue a justice response</w:t>
      </w:r>
      <w:r w:rsidR="00676422" w:rsidRPr="00EC02CA">
        <w:t>:</w:t>
      </w:r>
      <w:bookmarkEnd w:id="316"/>
    </w:p>
    <w:p w14:paraId="200ED39D" w14:textId="356C6C6A" w:rsidR="00676422" w:rsidRPr="00EC02CA" w:rsidRDefault="00A57BF6" w:rsidP="00A920EC">
      <w:pPr>
        <w:pStyle w:val="Indentedquote"/>
      </w:pPr>
      <w:r w:rsidRPr="00EC02CA">
        <w:t>There is still shame and guilt and confusion from victims</w:t>
      </w:r>
      <w:r w:rsidR="00722A89" w:rsidRPr="00EC02CA">
        <w:t>.</w:t>
      </w:r>
      <w:r w:rsidR="00722A89" w:rsidRPr="00EC02CA">
        <w:rPr>
          <w:rStyle w:val="FootnoteReference"/>
        </w:rPr>
        <w:footnoteReference w:id="560"/>
      </w:r>
    </w:p>
    <w:p w14:paraId="6E3EAEBB" w14:textId="4E6F7E3F" w:rsidR="0057479C" w:rsidRPr="00EC02CA" w:rsidRDefault="00FB0393" w:rsidP="00A920EC">
      <w:pPr>
        <w:pStyle w:val="Indentedquote"/>
      </w:pPr>
      <w:r w:rsidRPr="00EC02CA">
        <w:t>T</w:t>
      </w:r>
      <w:r w:rsidR="007257D7" w:rsidRPr="00EC02CA">
        <w:t xml:space="preserve">he shame that a lot of families feel the embarrassment and the guilt or that history of police or welfare engagement in their families. And so … not wanting their involvement </w:t>
      </w:r>
      <w:r w:rsidR="00275982" w:rsidRPr="00EC02CA">
        <w:t>and being quite</w:t>
      </w:r>
      <w:r w:rsidR="007257D7" w:rsidRPr="00EC02CA">
        <w:t xml:space="preserve"> fearful of police or </w:t>
      </w:r>
      <w:r w:rsidR="000F6D6F" w:rsidRPr="00EC02CA">
        <w:t>C</w:t>
      </w:r>
      <w:r w:rsidR="007257D7" w:rsidRPr="00EC02CA">
        <w:t xml:space="preserve">hild </w:t>
      </w:r>
      <w:r w:rsidR="000F6D6F" w:rsidRPr="00EC02CA">
        <w:t>S</w:t>
      </w:r>
      <w:r w:rsidR="007257D7" w:rsidRPr="00EC02CA">
        <w:t>afety becoming involved and having to navigate that. Families might not want to take in it any further</w:t>
      </w:r>
      <w:r w:rsidR="00722A89" w:rsidRPr="00EC02CA">
        <w:t>.</w:t>
      </w:r>
      <w:r w:rsidR="00722A89" w:rsidRPr="00EC02CA">
        <w:rPr>
          <w:rStyle w:val="FootnoteReference"/>
        </w:rPr>
        <w:footnoteReference w:id="561"/>
      </w:r>
    </w:p>
    <w:p w14:paraId="31832070" w14:textId="0954EAD8" w:rsidR="00493380" w:rsidRPr="00EC02CA" w:rsidRDefault="00FB0393" w:rsidP="00491C85">
      <w:pPr>
        <w:pStyle w:val="Indentedquote"/>
      </w:pPr>
      <w:r w:rsidRPr="00EC02CA">
        <w:t>I</w:t>
      </w:r>
      <w:r w:rsidR="0057479C" w:rsidRPr="00EC02CA">
        <w:t>f we</w:t>
      </w:r>
      <w:r w:rsidR="009400E8" w:rsidRPr="00EC02CA">
        <w:t>’</w:t>
      </w:r>
      <w:r w:rsidR="0057479C" w:rsidRPr="00EC02CA">
        <w:t>re talking about sharing intimate photos and things like that, that might be something that young people, any person, probably might not want to report, because … people might also be embarrassed or ashamed or they don</w:t>
      </w:r>
      <w:r w:rsidR="009400E8" w:rsidRPr="00EC02CA">
        <w:t>’</w:t>
      </w:r>
      <w:r w:rsidR="0057479C" w:rsidRPr="00EC02CA">
        <w:t>t want other people to know that that's behaviour they</w:t>
      </w:r>
      <w:r w:rsidR="009400E8" w:rsidRPr="00EC02CA">
        <w:t>’</w:t>
      </w:r>
      <w:r w:rsidR="0057479C" w:rsidRPr="00EC02CA">
        <w:t>ve engaged in</w:t>
      </w:r>
      <w:r w:rsidR="00722A89" w:rsidRPr="00EC02CA">
        <w:t>.</w:t>
      </w:r>
      <w:r w:rsidR="00722A89" w:rsidRPr="00EC02CA">
        <w:rPr>
          <w:rStyle w:val="FootnoteReference"/>
        </w:rPr>
        <w:footnoteReference w:id="562"/>
      </w:r>
    </w:p>
    <w:p w14:paraId="4D7770A8" w14:textId="1BDE4B57" w:rsidR="007257D7" w:rsidRPr="00EC02CA" w:rsidRDefault="00493380" w:rsidP="00A920EC">
      <w:pPr>
        <w:pStyle w:val="Indentedquote"/>
      </w:pPr>
      <w:r w:rsidRPr="00EC02CA">
        <w:t>Fear, lack of confidence in the system to bring the perpetrator to justice. The usual thing: shame</w:t>
      </w:r>
      <w:r w:rsidR="00DD1622" w:rsidRPr="00EC02CA">
        <w:t>,</w:t>
      </w:r>
      <w:r w:rsidRPr="00EC02CA">
        <w:t xml:space="preserve"> </w:t>
      </w:r>
      <w:r w:rsidR="00DD1622" w:rsidRPr="00EC02CA">
        <w:t>t</w:t>
      </w:r>
      <w:r w:rsidRPr="00EC02CA">
        <w:t>rauma, a culture of silence</w:t>
      </w:r>
      <w:r w:rsidR="007257D7" w:rsidRPr="00EC02CA">
        <w:t>.</w:t>
      </w:r>
      <w:r w:rsidR="00722A89" w:rsidRPr="00EC02CA">
        <w:rPr>
          <w:rStyle w:val="FootnoteReference"/>
        </w:rPr>
        <w:footnoteReference w:id="563"/>
      </w:r>
    </w:p>
    <w:p w14:paraId="6CC264C9" w14:textId="23B2BE08" w:rsidR="0002101C" w:rsidRPr="00EC02CA" w:rsidRDefault="0002101C" w:rsidP="00A920EC">
      <w:pPr>
        <w:pStyle w:val="Indentedquote"/>
      </w:pPr>
      <w:r w:rsidRPr="00EC02CA">
        <w:t>There</w:t>
      </w:r>
      <w:r w:rsidR="009400E8" w:rsidRPr="00EC02CA">
        <w:t>’</w:t>
      </w:r>
      <w:r w:rsidRPr="00EC02CA">
        <w:t xml:space="preserve">s a lot of </w:t>
      </w:r>
      <w:r w:rsidR="006164F1" w:rsidRPr="00EC02CA">
        <w:t>disincentives</w:t>
      </w:r>
      <w:r w:rsidRPr="00EC02CA">
        <w:t xml:space="preserve"> to making a police report and I think I think the kids know that and they make reasonably informed decisions not to report often. They just don</w:t>
      </w:r>
      <w:r w:rsidR="009400E8" w:rsidRPr="00EC02CA">
        <w:t>’</w:t>
      </w:r>
      <w:r w:rsidRPr="00EC02CA">
        <w:t>t want to report. They don</w:t>
      </w:r>
      <w:r w:rsidR="009400E8" w:rsidRPr="00EC02CA">
        <w:t>’</w:t>
      </w:r>
      <w:r w:rsidRPr="00EC02CA">
        <w:t>t want to go to court. They don</w:t>
      </w:r>
      <w:r w:rsidR="009400E8" w:rsidRPr="00EC02CA">
        <w:t>’</w:t>
      </w:r>
      <w:r w:rsidRPr="00EC02CA">
        <w:t>t want to talk to police.</w:t>
      </w:r>
      <w:r w:rsidR="00C53054" w:rsidRPr="00EC02CA">
        <w:t xml:space="preserve"> They</w:t>
      </w:r>
      <w:r w:rsidR="009400E8" w:rsidRPr="00EC02CA">
        <w:t>’</w:t>
      </w:r>
      <w:r w:rsidR="00C53054" w:rsidRPr="00EC02CA">
        <w:t>re looking for something more immediate and local to kind of deal with the issue.</w:t>
      </w:r>
      <w:r w:rsidR="00C53054" w:rsidRPr="00EC02CA">
        <w:rPr>
          <w:rStyle w:val="FootnoteReference"/>
        </w:rPr>
        <w:t xml:space="preserve"> </w:t>
      </w:r>
      <w:r w:rsidR="00C53054" w:rsidRPr="00EC02CA">
        <w:rPr>
          <w:rStyle w:val="FootnoteReference"/>
        </w:rPr>
        <w:footnoteReference w:id="564"/>
      </w:r>
    </w:p>
    <w:p w14:paraId="4EB112EB" w14:textId="6B80B0E0" w:rsidR="00DD1622" w:rsidRPr="00EC02CA" w:rsidRDefault="00722A89" w:rsidP="00A920EC">
      <w:pPr>
        <w:pStyle w:val="Indentedquote"/>
      </w:pPr>
      <w:r w:rsidRPr="00EC02CA">
        <w:t>I would say it comes down to people feeling embarrassed and ashamed and guilty, but I also think it comes down to the lack of consequences. If I</w:t>
      </w:r>
      <w:r w:rsidR="009400E8" w:rsidRPr="00EC02CA">
        <w:t>’</w:t>
      </w:r>
      <w:r w:rsidRPr="00EC02CA">
        <w:t>m really honest, the young people I speak to now would say</w:t>
      </w:r>
      <w:r w:rsidR="009400E8" w:rsidRPr="00EC02CA">
        <w:t>,</w:t>
      </w:r>
      <w:r w:rsidRPr="00EC02CA">
        <w:t xml:space="preserve"> ‘what</w:t>
      </w:r>
      <w:r w:rsidR="009400E8" w:rsidRPr="00EC02CA">
        <w:t>’</w:t>
      </w:r>
      <w:r w:rsidRPr="00EC02CA">
        <w:t>s the point’?</w:t>
      </w:r>
      <w:r w:rsidR="00DD1622" w:rsidRPr="00EC02CA">
        <w:t xml:space="preserve"> Yeah, there</w:t>
      </w:r>
      <w:r w:rsidR="009400E8" w:rsidRPr="00EC02CA">
        <w:t>’</w:t>
      </w:r>
      <w:r w:rsidR="00DD1622" w:rsidRPr="00EC02CA">
        <w:t>s a huge lack of confidence. The other sad part is the young girls that I work with, often from low socioeconomic areas, have said to me</w:t>
      </w:r>
      <w:r w:rsidR="009400E8" w:rsidRPr="00EC02CA">
        <w:t>,</w:t>
      </w:r>
      <w:r w:rsidR="00DD1622" w:rsidRPr="00EC02CA">
        <w:t xml:space="preserve"> ‘that</w:t>
      </w:r>
      <w:r w:rsidR="009400E8" w:rsidRPr="00EC02CA">
        <w:t>’</w:t>
      </w:r>
      <w:r w:rsidR="00DD1622" w:rsidRPr="00EC02CA">
        <w:t>s just what happens’. Sexual assault to them is ‘just what happens’ … ‘That happens to everyone</w:t>
      </w:r>
      <w:r w:rsidR="009400E8" w:rsidRPr="00EC02CA">
        <w:t>’</w:t>
      </w:r>
      <w:r w:rsidR="00DD1622" w:rsidRPr="00EC02CA">
        <w:t>.</w:t>
      </w:r>
      <w:r w:rsidR="00DD1622" w:rsidRPr="00EC02CA">
        <w:rPr>
          <w:rStyle w:val="FootnoteReference"/>
        </w:rPr>
        <w:footnoteReference w:id="565"/>
      </w:r>
    </w:p>
    <w:p w14:paraId="749ED39E" w14:textId="31003161" w:rsidR="00BD1C43" w:rsidRPr="00EC02CA" w:rsidRDefault="00BD1C43" w:rsidP="00A920EC">
      <w:pPr>
        <w:pStyle w:val="Indentedquote"/>
      </w:pPr>
      <w:r w:rsidRPr="00EC02CA">
        <w:t xml:space="preserve">But I think that in real life, </w:t>
      </w:r>
      <w:r w:rsidR="009400E8" w:rsidRPr="00EC02CA">
        <w:t xml:space="preserve">[if] </w:t>
      </w:r>
      <w:r w:rsidRPr="00EC02CA">
        <w:t>you</w:t>
      </w:r>
      <w:r w:rsidR="009400E8" w:rsidRPr="00EC02CA">
        <w:t>’</w:t>
      </w:r>
      <w:r w:rsidRPr="00EC02CA">
        <w:t>re talking about whether families involve Tas Police, I think it</w:t>
      </w:r>
      <w:r w:rsidR="009400E8" w:rsidRPr="00EC02CA">
        <w:t>’</w:t>
      </w:r>
      <w:r w:rsidRPr="00EC02CA">
        <w:t>s much more complex because most children that sexually harm, there</w:t>
      </w:r>
      <w:r w:rsidR="009400E8" w:rsidRPr="00EC02CA">
        <w:t>’</w:t>
      </w:r>
      <w:r w:rsidRPr="00EC02CA">
        <w:t xml:space="preserve">s </w:t>
      </w:r>
      <w:r w:rsidR="006164F1" w:rsidRPr="00EC02CA">
        <w:t>some</w:t>
      </w:r>
      <w:r w:rsidRPr="00EC02CA">
        <w:t xml:space="preserve"> sort of relationship with the person that they harm, so whether it</w:t>
      </w:r>
      <w:r w:rsidR="009400E8" w:rsidRPr="00EC02CA">
        <w:t>’</w:t>
      </w:r>
      <w:r w:rsidRPr="00EC02CA">
        <w:t xml:space="preserve">s the sibling or the cousin or the person next door or the best friend. So suddenly, if you involve the legal system, </w:t>
      </w:r>
      <w:r w:rsidR="000F6D6F" w:rsidRPr="00EC02CA">
        <w:t>C</w:t>
      </w:r>
      <w:r w:rsidRPr="00EC02CA">
        <w:t xml:space="preserve">hild </w:t>
      </w:r>
      <w:r w:rsidR="000F6D6F" w:rsidRPr="00EC02CA">
        <w:t>S</w:t>
      </w:r>
      <w:r w:rsidRPr="00EC02CA">
        <w:t>afety gets involved, suddenly there’s a magnifying glass, it will bring attention to things that you may not want to bring attention to. If there</w:t>
      </w:r>
      <w:r w:rsidR="009400E8" w:rsidRPr="00EC02CA">
        <w:t>’</w:t>
      </w:r>
      <w:r w:rsidRPr="00EC02CA">
        <w:t>s family violence at home or you</w:t>
      </w:r>
      <w:r w:rsidR="009400E8" w:rsidRPr="00EC02CA">
        <w:t>’</w:t>
      </w:r>
      <w:r w:rsidRPr="00EC02CA">
        <w:t>re aware that the child</w:t>
      </w:r>
      <w:r w:rsidR="009400E8" w:rsidRPr="00EC02CA">
        <w:t>’</w:t>
      </w:r>
      <w:r w:rsidRPr="00EC02CA">
        <w:t xml:space="preserve">s been exposed to pornography. So </w:t>
      </w:r>
      <w:r w:rsidR="006164F1" w:rsidRPr="00EC02CA">
        <w:t>certainly,</w:t>
      </w:r>
      <w:r w:rsidRPr="00EC02CA">
        <w:t xml:space="preserve"> I think that there</w:t>
      </w:r>
      <w:r w:rsidR="009400E8" w:rsidRPr="00EC02CA">
        <w:t>’</w:t>
      </w:r>
      <w:r w:rsidRPr="00EC02CA">
        <w:t>s a really strong motivation not to report to Tas Police because there</w:t>
      </w:r>
      <w:r w:rsidR="009400E8" w:rsidRPr="00EC02CA">
        <w:t>’</w:t>
      </w:r>
      <w:r w:rsidRPr="00EC02CA">
        <w:t>s unintended consequences</w:t>
      </w:r>
      <w:r w:rsidR="00BD4B2A" w:rsidRPr="00EC02CA">
        <w:t>.</w:t>
      </w:r>
      <w:r w:rsidR="00BD4B2A" w:rsidRPr="00EC02CA">
        <w:rPr>
          <w:rStyle w:val="FootnoteReference"/>
        </w:rPr>
        <w:footnoteReference w:id="566"/>
      </w:r>
    </w:p>
    <w:p w14:paraId="0FCE1544" w14:textId="265C5C30" w:rsidR="00526BE8" w:rsidRPr="00EC02CA" w:rsidRDefault="00526BE8" w:rsidP="00A920EC">
      <w:pPr>
        <w:pStyle w:val="Indentedquote"/>
      </w:pPr>
      <w:r w:rsidRPr="00EC02CA">
        <w:t>There is so much community shame attached to sexual offending … that they don</w:t>
      </w:r>
      <w:r w:rsidR="009400E8" w:rsidRPr="00EC02CA">
        <w:t>’</w:t>
      </w:r>
      <w:r w:rsidRPr="00EC02CA">
        <w:t>t feel that they can disclose it in a way where they</w:t>
      </w:r>
      <w:r w:rsidR="009400E8" w:rsidRPr="00EC02CA">
        <w:t>’</w:t>
      </w:r>
      <w:r w:rsidRPr="00EC02CA">
        <w:t>re not going to be responded to really harshly. So it</w:t>
      </w:r>
      <w:r w:rsidR="009400E8" w:rsidRPr="00EC02CA">
        <w:t>’</w:t>
      </w:r>
      <w:r w:rsidRPr="00EC02CA">
        <w:t>s very difficult for [offenders</w:t>
      </w:r>
      <w:r w:rsidR="00A03D7D" w:rsidRPr="00EC02CA">
        <w:t xml:space="preserve"> and their families</w:t>
      </w:r>
      <w:r w:rsidRPr="00EC02CA">
        <w:t>] to seek help. I think that</w:t>
      </w:r>
      <w:r w:rsidR="009400E8" w:rsidRPr="00EC02CA">
        <w:t>’</w:t>
      </w:r>
      <w:r w:rsidRPr="00EC02CA">
        <w:t>s a problem. I think the whole narrative around adult perpetrators isn</w:t>
      </w:r>
      <w:r w:rsidR="009400E8" w:rsidRPr="00EC02CA">
        <w:t>’</w:t>
      </w:r>
      <w:r w:rsidRPr="00EC02CA">
        <w:t>t appropriate to apply that same narrative to young people who are committing either early family violence or w</w:t>
      </w:r>
      <w:r w:rsidR="00454428" w:rsidRPr="00EC02CA">
        <w:t>h</w:t>
      </w:r>
      <w:r w:rsidRPr="00EC02CA">
        <w:t>ere there is behaviour that has a sexual component to it</w:t>
      </w:r>
      <w:r w:rsidR="009400E8" w:rsidRPr="00EC02CA">
        <w:t>,</w:t>
      </w:r>
      <w:r w:rsidRPr="00EC02CA">
        <w:t xml:space="preserve"> or sexual offences with people outside of an intimate partner relationship.</w:t>
      </w:r>
      <w:r w:rsidRPr="00EC02CA">
        <w:rPr>
          <w:rStyle w:val="FootnoteReference"/>
        </w:rPr>
        <w:footnoteReference w:id="567"/>
      </w:r>
    </w:p>
    <w:p w14:paraId="033127BC" w14:textId="7FA28C0C" w:rsidR="00526BE8" w:rsidRPr="00EC02CA" w:rsidRDefault="00A75313" w:rsidP="00A920EC">
      <w:pPr>
        <w:pStyle w:val="Indentedquote"/>
      </w:pPr>
      <w:r w:rsidRPr="00EC02CA">
        <w:t>I think because from what I</w:t>
      </w:r>
      <w:r w:rsidR="009400E8" w:rsidRPr="00EC02CA">
        <w:t>’</w:t>
      </w:r>
      <w:r w:rsidRPr="00EC02CA">
        <w:t>ve experienced is that there</w:t>
      </w:r>
      <w:r w:rsidR="009400E8" w:rsidRPr="00EC02CA">
        <w:t>’</w:t>
      </w:r>
      <w:r w:rsidRPr="00EC02CA">
        <w:t>s a lot of shame. A family</w:t>
      </w:r>
      <w:r w:rsidR="009400E8" w:rsidRPr="00EC02CA">
        <w:t>,</w:t>
      </w:r>
      <w:r w:rsidRPr="00EC02CA">
        <w:t xml:space="preserve"> you know</w:t>
      </w:r>
      <w:r w:rsidR="009400E8" w:rsidRPr="00EC02CA">
        <w:t>,</w:t>
      </w:r>
      <w:r w:rsidRPr="00EC02CA">
        <w:t xml:space="preserve"> sees it as their fault. And they</w:t>
      </w:r>
      <w:r w:rsidR="009400E8" w:rsidRPr="00EC02CA">
        <w:t>’</w:t>
      </w:r>
      <w:r w:rsidRPr="00EC02CA">
        <w:t>re not prepared to label it as a sexual offence. … They don't want to tell the police that something might have happened.</w:t>
      </w:r>
      <w:r w:rsidRPr="00EC02CA">
        <w:rPr>
          <w:rStyle w:val="FootnoteReference"/>
        </w:rPr>
        <w:footnoteReference w:id="568"/>
      </w:r>
    </w:p>
    <w:p w14:paraId="6D9F3AAD" w14:textId="52D8786D" w:rsidR="009D09A2" w:rsidRPr="00EC02CA" w:rsidRDefault="00672046" w:rsidP="002F0007">
      <w:pPr>
        <w:pStyle w:val="NormalNumberedTextTLRI"/>
      </w:pPr>
      <w:r w:rsidRPr="00EC02CA">
        <w:t>P</w:t>
      </w:r>
      <w:r w:rsidR="003651FD" w:rsidRPr="00EC02CA">
        <w:t xml:space="preserve">arallel to </w:t>
      </w:r>
      <w:r w:rsidR="00641587" w:rsidRPr="00EC02CA">
        <w:t xml:space="preserve">the </w:t>
      </w:r>
      <w:r w:rsidR="003651FD" w:rsidRPr="00EC02CA">
        <w:t xml:space="preserve">concerns </w:t>
      </w:r>
      <w:r w:rsidR="00194257" w:rsidRPr="00EC02CA">
        <w:t>expressed above</w:t>
      </w:r>
      <w:r w:rsidR="00CB142A" w:rsidRPr="00EC02CA">
        <w:t xml:space="preserve"> about</w:t>
      </w:r>
      <w:r w:rsidR="00194257" w:rsidRPr="00EC02CA">
        <w:t xml:space="preserve"> the barriers to reporting that exist for young people making complaints about sexual offending by other young people</w:t>
      </w:r>
      <w:r w:rsidR="00D54C7E" w:rsidRPr="00EC02CA">
        <w:t>,</w:t>
      </w:r>
      <w:r w:rsidR="00A417B1" w:rsidRPr="00EC02CA">
        <w:t xml:space="preserve"> p</w:t>
      </w:r>
      <w:r w:rsidR="00840B0F" w:rsidRPr="00EC02CA">
        <w:t xml:space="preserve">articipants in the interviews also talked </w:t>
      </w:r>
      <w:r w:rsidR="00FF2BB6" w:rsidRPr="00EC02CA">
        <w:t>about the increased volume of reports arising from mandatory reporting</w:t>
      </w:r>
      <w:r w:rsidR="00A417B1" w:rsidRPr="00EC02CA">
        <w:t>. In addition, participants discussed</w:t>
      </w:r>
      <w:r w:rsidR="00FF2BB6" w:rsidRPr="00EC02CA">
        <w:t xml:space="preserve"> the </w:t>
      </w:r>
      <w:r w:rsidR="00840B0F" w:rsidRPr="00EC02CA">
        <w:t xml:space="preserve">complexities created by </w:t>
      </w:r>
      <w:r w:rsidR="00FF2BB6" w:rsidRPr="00EC02CA">
        <w:t>the dual reporting pathway to the ARL and Tasmania Police.</w:t>
      </w:r>
      <w:r w:rsidR="00D63F2A" w:rsidRPr="00EC02CA">
        <w:t xml:space="preserve"> </w:t>
      </w:r>
      <w:r w:rsidR="009D09A2" w:rsidRPr="00EC02CA">
        <w:t xml:space="preserve">Mandatory reporting requirements were </w:t>
      </w:r>
      <w:r w:rsidR="00F9311A" w:rsidRPr="00EC02CA">
        <w:t>raised</w:t>
      </w:r>
      <w:r w:rsidR="009D09A2" w:rsidRPr="00EC02CA">
        <w:t xml:space="preserve"> in 19 interviews, with interviewees acknowledging the legal requirements of adults across </w:t>
      </w:r>
      <w:r w:rsidR="00CB142A" w:rsidRPr="00EC02CA">
        <w:t xml:space="preserve">the </w:t>
      </w:r>
      <w:r w:rsidR="009D09A2" w:rsidRPr="00EC02CA">
        <w:t>education, government and youth support sectors to report any suspicions of sexual harm to children and young people. For example, one interviewee stated:</w:t>
      </w:r>
    </w:p>
    <w:p w14:paraId="109AE92D" w14:textId="4C875C57" w:rsidR="009D09A2" w:rsidRPr="00EC02CA" w:rsidRDefault="009D09A2" w:rsidP="009D09A2">
      <w:pPr>
        <w:pStyle w:val="Indentedquote"/>
      </w:pPr>
      <w:r w:rsidRPr="00EC02CA">
        <w:t xml:space="preserve">My experience working in my past role in education, certainly the </w:t>
      </w:r>
      <w:r w:rsidR="000110B0" w:rsidRPr="00EC02CA">
        <w:t>E</w:t>
      </w:r>
      <w:r w:rsidRPr="00EC02CA">
        <w:t xml:space="preserve">ducation </w:t>
      </w:r>
      <w:r w:rsidR="000110B0" w:rsidRPr="00EC02CA">
        <w:t>D</w:t>
      </w:r>
      <w:r w:rsidRPr="00EC02CA">
        <w:t>epartment</w:t>
      </w:r>
      <w:r w:rsidR="00CB142A" w:rsidRPr="00EC02CA">
        <w:t>,</w:t>
      </w:r>
      <w:r w:rsidRPr="00EC02CA">
        <w:t xml:space="preserve"> brought in a dual reporting obligation. So if there is any disclosure of sexual abuse or harmful sexual behaviour, then they are obligated to not only report to child safety but also report to police if it meets sort of that criminal threshold or they think it does.</w:t>
      </w:r>
      <w:r w:rsidRPr="00EC02CA">
        <w:rPr>
          <w:rStyle w:val="FootnoteReference"/>
        </w:rPr>
        <w:footnoteReference w:id="569"/>
      </w:r>
      <w:r w:rsidRPr="00EC02CA">
        <w:t xml:space="preserve"> </w:t>
      </w:r>
    </w:p>
    <w:p w14:paraId="74BE7FCA" w14:textId="786830D8" w:rsidR="00840B0F" w:rsidRPr="00EC02CA" w:rsidRDefault="003A4AEE" w:rsidP="00C805DC">
      <w:pPr>
        <w:pStyle w:val="NormalNumberedTextTLRI"/>
      </w:pPr>
      <w:r w:rsidRPr="00EC02CA">
        <w:t>Another interviewee stated, ‘</w:t>
      </w:r>
      <w:r w:rsidR="005977FE" w:rsidRPr="00EC02CA">
        <w:t>W</w:t>
      </w:r>
      <w:r w:rsidRPr="00EC02CA">
        <w:t>e do eSafety not</w:t>
      </w:r>
      <w:r w:rsidR="001D5E0D" w:rsidRPr="00EC02CA">
        <w:t>i</w:t>
      </w:r>
      <w:r w:rsidRPr="00EC02CA">
        <w:t>fications when we</w:t>
      </w:r>
      <w:r w:rsidR="001D5E0D" w:rsidRPr="00EC02CA">
        <w:t>’</w:t>
      </w:r>
      <w:r w:rsidRPr="00EC02CA">
        <w:t>re aware of it, we report to police, we do all of our mandatory reporting obligations’</w:t>
      </w:r>
      <w:r w:rsidR="00FB17C8" w:rsidRPr="00EC02CA">
        <w:t>.</w:t>
      </w:r>
      <w:r w:rsidR="00FB17C8" w:rsidRPr="00EC02CA">
        <w:rPr>
          <w:rStyle w:val="FootnoteReference"/>
        </w:rPr>
        <w:t xml:space="preserve"> </w:t>
      </w:r>
      <w:r w:rsidR="00FB17C8" w:rsidRPr="00EC02CA">
        <w:rPr>
          <w:rStyle w:val="FootnoteReference"/>
        </w:rPr>
        <w:footnoteReference w:id="570"/>
      </w:r>
      <w:r w:rsidR="00CB142A" w:rsidRPr="00EC02CA">
        <w:t xml:space="preserve"> </w:t>
      </w:r>
      <w:r w:rsidR="00D63F2A" w:rsidRPr="00EC02CA">
        <w:t xml:space="preserve">In </w:t>
      </w:r>
      <w:r w:rsidR="009D09A2" w:rsidRPr="00EC02CA">
        <w:t xml:space="preserve">addition, in </w:t>
      </w:r>
      <w:r w:rsidR="00D63F2A" w:rsidRPr="00EC02CA">
        <w:t>interviews, the following comments were made:</w:t>
      </w:r>
    </w:p>
    <w:p w14:paraId="010C7A6C" w14:textId="5026CB00" w:rsidR="00821709" w:rsidRPr="00EC02CA" w:rsidRDefault="00D63F2A" w:rsidP="00A920EC">
      <w:pPr>
        <w:pStyle w:val="Indentedquote"/>
      </w:pPr>
      <w:r w:rsidRPr="00EC02CA">
        <w:t>There is an i</w:t>
      </w:r>
      <w:r w:rsidR="00821709" w:rsidRPr="00EC02CA">
        <w:t>ncrease in the volume of notifications or reports of situations that are occurring both in</w:t>
      </w:r>
      <w:r w:rsidR="00B567A3" w:rsidRPr="00EC02CA">
        <w:t>-</w:t>
      </w:r>
      <w:r w:rsidR="00821709" w:rsidRPr="00EC02CA">
        <w:t>school or disclosures that students are making to staff members about something that might have happened to them outside of school.</w:t>
      </w:r>
      <w:r w:rsidR="004E6686" w:rsidRPr="00EC02CA">
        <w:rPr>
          <w:rStyle w:val="FootnoteReference"/>
        </w:rPr>
        <w:footnoteReference w:id="571"/>
      </w:r>
    </w:p>
    <w:p w14:paraId="78EA92C5" w14:textId="2A4E47DA" w:rsidR="00D63F2A" w:rsidRPr="00EC02CA" w:rsidRDefault="00BC25BA" w:rsidP="00A920EC">
      <w:pPr>
        <w:pStyle w:val="Indentedquote"/>
      </w:pPr>
      <w:r w:rsidRPr="00EC02CA">
        <w:t>With mandatory reporting, sometimes there are things in duplicate or triplicate because agencies are reporting everything so that is the current climate, which is probably different from some years ago. Now we</w:t>
      </w:r>
      <w:r w:rsidR="00CB142A" w:rsidRPr="00EC02CA">
        <w:t>’</w:t>
      </w:r>
      <w:r w:rsidRPr="00EC02CA">
        <w:t>re seeing a higher volume of reports because everyone</w:t>
      </w:r>
      <w:r w:rsidR="00CB142A" w:rsidRPr="00EC02CA">
        <w:t>’</w:t>
      </w:r>
      <w:r w:rsidRPr="00EC02CA">
        <w:t>s reporting everything.</w:t>
      </w:r>
      <w:r w:rsidRPr="00EC02CA">
        <w:rPr>
          <w:rStyle w:val="FootnoteReference"/>
        </w:rPr>
        <w:footnoteReference w:id="572"/>
      </w:r>
    </w:p>
    <w:p w14:paraId="2A725378" w14:textId="44334E58" w:rsidR="00354B88" w:rsidRPr="00EC02CA" w:rsidRDefault="001F399C" w:rsidP="007D3C34">
      <w:pPr>
        <w:pStyle w:val="Indentedquote"/>
      </w:pPr>
      <w:r w:rsidRPr="00EC02CA">
        <w:t>There is probably an increase in report</w:t>
      </w:r>
      <w:r w:rsidR="004046EE" w:rsidRPr="00EC02CA">
        <w:t>ing</w:t>
      </w:r>
      <w:r w:rsidRPr="00EC02CA">
        <w:t xml:space="preserve">, but I’d like to capture the </w:t>
      </w:r>
      <w:r w:rsidR="00367516" w:rsidRPr="00EC02CA">
        <w:t>really</w:t>
      </w:r>
      <w:r w:rsidRPr="00EC02CA">
        <w:t xml:space="preserve"> serious ones.</w:t>
      </w:r>
      <w:r w:rsidR="00367516" w:rsidRPr="00EC02CA">
        <w:t xml:space="preserve"> But reporting doesn</w:t>
      </w:r>
      <w:r w:rsidR="00CB142A" w:rsidRPr="00EC02CA">
        <w:t>’</w:t>
      </w:r>
      <w:r w:rsidR="00367516" w:rsidRPr="00EC02CA">
        <w:t>t seem to be capturing those because they are out there, you know, underage kids doing stuff at parties or, in parks or in dark stai</w:t>
      </w:r>
      <w:r w:rsidR="007D3C34" w:rsidRPr="00EC02CA">
        <w:t>r</w:t>
      </w:r>
      <w:r w:rsidR="00367516" w:rsidRPr="00EC02CA">
        <w:t>wells, etc. I don't think we</w:t>
      </w:r>
      <w:r w:rsidR="00CB142A" w:rsidRPr="00EC02CA">
        <w:t>’</w:t>
      </w:r>
      <w:r w:rsidR="00367516" w:rsidRPr="00EC02CA">
        <w:t>re capturing those very well.</w:t>
      </w:r>
      <w:r w:rsidR="00396AE4" w:rsidRPr="00EC02CA">
        <w:t xml:space="preserve"> We</w:t>
      </w:r>
      <w:r w:rsidR="00CB142A" w:rsidRPr="00EC02CA">
        <w:t>’</w:t>
      </w:r>
      <w:r w:rsidR="00396AE4" w:rsidRPr="00EC02CA">
        <w:t>re really capturing those really low-level ones, especially through mandated reporters.</w:t>
      </w:r>
      <w:r w:rsidR="00367516" w:rsidRPr="00EC02CA">
        <w:rPr>
          <w:rStyle w:val="FootnoteReference"/>
        </w:rPr>
        <w:footnoteReference w:id="573"/>
      </w:r>
    </w:p>
    <w:p w14:paraId="6C5FA58E" w14:textId="7F5155B0" w:rsidR="00CB540C" w:rsidRPr="00EC02CA" w:rsidRDefault="00CB540C" w:rsidP="00A920EC">
      <w:pPr>
        <w:pStyle w:val="Indentedquote"/>
      </w:pPr>
      <w:r w:rsidRPr="00EC02CA">
        <w:t xml:space="preserve">[There is] a bit of trouble at the moment because the numbers are so high that we also were struggling about the legislation, about what we’re calling </w:t>
      </w:r>
      <w:r w:rsidR="00CB142A" w:rsidRPr="00EC02CA">
        <w:t xml:space="preserve">[the] </w:t>
      </w:r>
      <w:r w:rsidRPr="00EC02CA">
        <w:t xml:space="preserve">dual requirement to report to ARL and </w:t>
      </w:r>
      <w:r w:rsidR="006C7A14" w:rsidRPr="00EC02CA">
        <w:t>’</w:t>
      </w:r>
      <w:r w:rsidRPr="00EC02CA">
        <w:t>o police and that's causing some confusion.</w:t>
      </w:r>
      <w:r w:rsidRPr="00EC02CA">
        <w:rPr>
          <w:rStyle w:val="FootnoteReference"/>
        </w:rPr>
        <w:footnoteReference w:id="574"/>
      </w:r>
    </w:p>
    <w:p w14:paraId="4EFB030F" w14:textId="49CD9C24" w:rsidR="007F4266" w:rsidRPr="00EC02CA" w:rsidRDefault="007F4266" w:rsidP="00A920EC">
      <w:pPr>
        <w:pStyle w:val="Indentedquote"/>
      </w:pPr>
      <w:r w:rsidRPr="00EC02CA">
        <w:t>I think, obviously, mandatory reporting means that if it comes across a professional</w:t>
      </w:r>
      <w:r w:rsidR="00CB142A" w:rsidRPr="00EC02CA">
        <w:t>’</w:t>
      </w:r>
      <w:r w:rsidRPr="00EC02CA">
        <w:t xml:space="preserve">s desk, yes, it does get </w:t>
      </w:r>
      <w:r w:rsidR="00BD1C43" w:rsidRPr="00EC02CA">
        <w:t>reported. But</w:t>
      </w:r>
      <w:r w:rsidRPr="00EC02CA">
        <w:t xml:space="preserve"> also</w:t>
      </w:r>
      <w:r w:rsidR="00CF2B09">
        <w:t>,</w:t>
      </w:r>
      <w:r w:rsidRPr="00EC02CA">
        <w:t xml:space="preserve"> I guess we have to </w:t>
      </w:r>
      <w:r w:rsidR="00CF2B09">
        <w:t>…</w:t>
      </w:r>
      <w:r w:rsidR="00CF2B09" w:rsidRPr="00EC02CA">
        <w:t xml:space="preserve"> </w:t>
      </w:r>
      <w:r w:rsidRPr="00EC02CA">
        <w:t xml:space="preserve">be very careful </w:t>
      </w:r>
      <w:r w:rsidR="00BD1C43" w:rsidRPr="00EC02CA">
        <w:t xml:space="preserve">… </w:t>
      </w:r>
      <w:r w:rsidRPr="00EC02CA">
        <w:t>that we don</w:t>
      </w:r>
      <w:r w:rsidR="00CB142A" w:rsidRPr="00EC02CA">
        <w:t>’</w:t>
      </w:r>
      <w:r w:rsidRPr="00EC02CA">
        <w:t>t slam some of the reporting bodies with thousands and thousands and thousands of bits of information because obviously</w:t>
      </w:r>
      <w:r w:rsidR="00CB142A" w:rsidRPr="00EC02CA">
        <w:t>,</w:t>
      </w:r>
      <w:r w:rsidRPr="00EC02CA">
        <w:t xml:space="preserve"> you know</w:t>
      </w:r>
      <w:r w:rsidR="00CB142A" w:rsidRPr="00EC02CA">
        <w:t>,</w:t>
      </w:r>
      <w:r w:rsidRPr="00EC02CA">
        <w:t xml:space="preserve"> some of the information is actually crucial </w:t>
      </w:r>
      <w:r w:rsidR="00CB142A" w:rsidRPr="00EC02CA">
        <w:t xml:space="preserve">… </w:t>
      </w:r>
      <w:r w:rsidRPr="00EC02CA">
        <w:t>in order to keep children safe, but vast amounts of the information is just duplication of reporting or it</w:t>
      </w:r>
      <w:r w:rsidR="00CB142A" w:rsidRPr="00EC02CA">
        <w:t>’</w:t>
      </w:r>
      <w:r w:rsidRPr="00EC02CA">
        <w:t>s going to have unintended consequences</w:t>
      </w:r>
      <w:r w:rsidR="003B5F0E" w:rsidRPr="00EC02CA">
        <w:t>.</w:t>
      </w:r>
    </w:p>
    <w:p w14:paraId="7A35B438" w14:textId="1524662F" w:rsidR="009745D7" w:rsidRPr="00EC02CA" w:rsidRDefault="00FB17C8" w:rsidP="002F0007">
      <w:pPr>
        <w:pStyle w:val="NormalNumberedTextTLRI"/>
      </w:pPr>
      <w:r w:rsidRPr="00EC02CA">
        <w:t xml:space="preserve">Under the current </w:t>
      </w:r>
      <w:r w:rsidR="00DF0C33" w:rsidRPr="00EC02CA">
        <w:t>reporting</w:t>
      </w:r>
      <w:r w:rsidRPr="00EC02CA">
        <w:t xml:space="preserve"> </w:t>
      </w:r>
      <w:r w:rsidR="00DF0C33" w:rsidRPr="00EC02CA">
        <w:t>structure</w:t>
      </w:r>
      <w:r w:rsidR="009745D7" w:rsidRPr="00EC02CA">
        <w:t xml:space="preserve">, the education sector has an important role to play in the detection and response to youth-perpetrated sexual harm occurring within schools. This was discussed in 10 interviews. Once an allegation was brought to the attention of education staff, the matter was investigated by talking to the complainant and alleged </w:t>
      </w:r>
      <w:r w:rsidR="002D7A05" w:rsidRPr="00EC02CA">
        <w:t>offender</w:t>
      </w:r>
      <w:r w:rsidR="009745D7" w:rsidRPr="00EC02CA">
        <w:t>, and examining any physical evidence (for example, photos)</w:t>
      </w:r>
      <w:r w:rsidR="00DF0C33" w:rsidRPr="00EC02CA">
        <w:t>.</w:t>
      </w:r>
      <w:r w:rsidR="009745D7" w:rsidRPr="00EC02CA">
        <w:t xml:space="preserve"> </w:t>
      </w:r>
      <w:r w:rsidR="00DF0C33" w:rsidRPr="00EC02CA">
        <w:t>A</w:t>
      </w:r>
      <w:r w:rsidR="009745D7" w:rsidRPr="00EC02CA">
        <w:t xml:space="preserve">lthough this was noted as a challenge </w:t>
      </w:r>
      <w:r w:rsidR="00DF0C33" w:rsidRPr="00EC02CA">
        <w:t>(</w:t>
      </w:r>
      <w:r w:rsidR="009745D7" w:rsidRPr="00EC02CA">
        <w:t>in four interviews</w:t>
      </w:r>
      <w:r w:rsidR="00DF0C33" w:rsidRPr="00EC02CA">
        <w:t>)</w:t>
      </w:r>
      <w:r w:rsidR="009745D7" w:rsidRPr="00EC02CA">
        <w:t xml:space="preserve"> when evidence may be lacking</w:t>
      </w:r>
      <w:r w:rsidR="003C4E0E" w:rsidRPr="00EC02CA">
        <w:t>,</w:t>
      </w:r>
      <w:r w:rsidR="009745D7" w:rsidRPr="00EC02CA">
        <w:t xml:space="preserve"> and as educators are not trained investigators. One example illustrating this role</w:t>
      </w:r>
      <w:r w:rsidR="00121E64" w:rsidRPr="00EC02CA">
        <w:t xml:space="preserve"> </w:t>
      </w:r>
      <w:r w:rsidR="009745D7" w:rsidRPr="00EC02CA">
        <w:t>was</w:t>
      </w:r>
      <w:r w:rsidR="003C4E0E" w:rsidRPr="00EC02CA">
        <w:t>:</w:t>
      </w:r>
      <w:r w:rsidR="009745D7" w:rsidRPr="00EC02CA">
        <w:t xml:space="preserve">  </w:t>
      </w:r>
    </w:p>
    <w:p w14:paraId="794FBF8D" w14:textId="3698BCFE" w:rsidR="009745D7" w:rsidRPr="00EC02CA" w:rsidRDefault="009745D7" w:rsidP="009745D7">
      <w:pPr>
        <w:pStyle w:val="Indentedquote"/>
      </w:pPr>
      <w:r w:rsidRPr="00EC02CA">
        <w:t>We do a lot of education around the cyberspace with our kids. So I think for schools</w:t>
      </w:r>
      <w:r w:rsidR="00B1246E" w:rsidRPr="00EC02CA">
        <w:t>,</w:t>
      </w:r>
      <w:r w:rsidRPr="00EC02CA">
        <w:t xml:space="preserve"> this </w:t>
      </w:r>
      <w:r w:rsidR="00B1246E" w:rsidRPr="00EC02CA">
        <w:t xml:space="preserve">is an </w:t>
      </w:r>
      <w:r w:rsidRPr="00EC02CA">
        <w:t xml:space="preserve">incredibly difficult place </w:t>
      </w:r>
      <w:r w:rsidR="003C4E0E" w:rsidRPr="00EC02CA">
        <w:t xml:space="preserve">[to] </w:t>
      </w:r>
      <w:r w:rsidRPr="00EC02CA">
        <w:t>navigate and we get the sense now that we</w:t>
      </w:r>
      <w:r w:rsidR="003C4E0E" w:rsidRPr="00EC02CA">
        <w:t>’</w:t>
      </w:r>
      <w:r w:rsidRPr="00EC02CA">
        <w:t>re saying to kids</w:t>
      </w:r>
      <w:r w:rsidR="003C4E0E" w:rsidRPr="00EC02CA">
        <w:t>,</w:t>
      </w:r>
      <w:r w:rsidRPr="00EC02CA">
        <w:t xml:space="preserve"> </w:t>
      </w:r>
      <w:r w:rsidR="003C4E0E" w:rsidRPr="00EC02CA">
        <w:t>‘</w:t>
      </w:r>
      <w:r w:rsidRPr="00EC02CA">
        <w:t>if you come to us</w:t>
      </w:r>
      <w:r w:rsidR="007D3C34" w:rsidRPr="00EC02CA">
        <w:t xml:space="preserve"> </w:t>
      </w:r>
      <w:r w:rsidRPr="00EC02CA">
        <w:t>and tell us there's an image out there somewhere, we</w:t>
      </w:r>
      <w:r w:rsidR="003C4E0E" w:rsidRPr="00EC02CA">
        <w:t>’</w:t>
      </w:r>
      <w:r w:rsidRPr="00EC02CA">
        <w:t xml:space="preserve">re gonna confiscate the phone, wait for </w:t>
      </w:r>
      <w:r w:rsidR="00A358F4" w:rsidRPr="00EC02CA">
        <w:t>p</w:t>
      </w:r>
      <w:r w:rsidRPr="00EC02CA">
        <w:t>olice to come and pick it up and do their p</w:t>
      </w:r>
      <w:r w:rsidR="00B1246E" w:rsidRPr="00EC02CA">
        <w:t>ie</w:t>
      </w:r>
      <w:r w:rsidRPr="00EC02CA">
        <w:t>ce</w:t>
      </w:r>
      <w:r w:rsidR="003C4E0E" w:rsidRPr="00EC02CA">
        <w:t>’</w:t>
      </w:r>
      <w:r w:rsidRPr="00EC02CA">
        <w:t>. I think a lot of kids are starting to think</w:t>
      </w:r>
      <w:r w:rsidR="003C4E0E" w:rsidRPr="00EC02CA">
        <w:t>,</w:t>
      </w:r>
      <w:r w:rsidRPr="00EC02CA">
        <w:t xml:space="preserve"> </w:t>
      </w:r>
      <w:r w:rsidR="003C4E0E" w:rsidRPr="00EC02CA">
        <w:t>‘</w:t>
      </w:r>
      <w:r w:rsidRPr="00EC02CA">
        <w:t xml:space="preserve">yeah </w:t>
      </w:r>
      <w:r w:rsidR="003C4E0E" w:rsidRPr="00EC02CA">
        <w:t xml:space="preserve">… </w:t>
      </w:r>
      <w:r w:rsidR="00121E64" w:rsidRPr="00EC02CA">
        <w:t>maybe</w:t>
      </w:r>
      <w:r w:rsidRPr="00EC02CA">
        <w:t xml:space="preserve"> </w:t>
      </w:r>
      <w:r w:rsidR="00121E64" w:rsidRPr="00EC02CA">
        <w:t xml:space="preserve">I </w:t>
      </w:r>
      <w:r w:rsidRPr="00EC02CA">
        <w:t>don</w:t>
      </w:r>
      <w:r w:rsidR="003C4E0E" w:rsidRPr="00EC02CA">
        <w:t>’</w:t>
      </w:r>
      <w:r w:rsidRPr="00EC02CA">
        <w:t>t think I</w:t>
      </w:r>
      <w:r w:rsidR="003C4E0E" w:rsidRPr="00EC02CA">
        <w:t>’</w:t>
      </w:r>
      <w:r w:rsidRPr="00EC02CA">
        <w:t>ll do that</w:t>
      </w:r>
      <w:r w:rsidR="003C4E0E" w:rsidRPr="00EC02CA">
        <w:t>’</w:t>
      </w:r>
      <w:r w:rsidRPr="00EC02CA">
        <w:t>. So we have to tell them that’s the investigative process we have. So it</w:t>
      </w:r>
      <w:r w:rsidR="003C4E0E" w:rsidRPr="00EC02CA">
        <w:t>’</w:t>
      </w:r>
      <w:r w:rsidRPr="00EC02CA">
        <w:t>s difficult for schools navigating. So we basically take the attitude, we</w:t>
      </w:r>
      <w:r w:rsidR="003C4E0E" w:rsidRPr="00EC02CA">
        <w:t>’</w:t>
      </w:r>
      <w:r w:rsidRPr="00EC02CA">
        <w:t xml:space="preserve">ll get enough information to refer it on </w:t>
      </w:r>
      <w:r w:rsidR="003C4E0E" w:rsidRPr="00EC02CA">
        <w:t xml:space="preserve">… </w:t>
      </w:r>
      <w:r w:rsidRPr="00EC02CA">
        <w:t>if it</w:t>
      </w:r>
      <w:r w:rsidR="003C4E0E" w:rsidRPr="00EC02CA">
        <w:t>’</w:t>
      </w:r>
      <w:r w:rsidRPr="00EC02CA">
        <w:t xml:space="preserve">s </w:t>
      </w:r>
      <w:r w:rsidR="003C4E0E" w:rsidRPr="00EC02CA">
        <w:t xml:space="preserve">[to] </w:t>
      </w:r>
      <w:r w:rsidRPr="00EC02CA">
        <w:t xml:space="preserve">the police, but to be fair when you go to the police, it makes it much easier. They’re going to </w:t>
      </w:r>
      <w:r w:rsidR="00CC3DBF" w:rsidRPr="00EC02CA">
        <w:t>investigate,</w:t>
      </w:r>
      <w:r w:rsidRPr="00EC02CA">
        <w:t xml:space="preserve"> and they tell us the outcome</w:t>
      </w:r>
      <w:r w:rsidR="00B00296" w:rsidRPr="00EC02CA">
        <w:t>.</w:t>
      </w:r>
      <w:r w:rsidR="00B00296" w:rsidRPr="00EC02CA">
        <w:rPr>
          <w:rStyle w:val="FootnoteReference"/>
        </w:rPr>
        <w:footnoteReference w:id="575"/>
      </w:r>
    </w:p>
    <w:p w14:paraId="429F0DB1" w14:textId="26560EEB" w:rsidR="008E614E" w:rsidRPr="00EC02CA" w:rsidRDefault="008E614E" w:rsidP="002F0007">
      <w:pPr>
        <w:pStyle w:val="NormalNumberedTextTLRI"/>
      </w:pPr>
      <w:r w:rsidRPr="00EC02CA">
        <w:t>Challenges for the education sector were discussed in nine interviews. These included complexities in offending behaviours, managing reports, training and experience</w:t>
      </w:r>
      <w:r w:rsidR="00B733EB" w:rsidRPr="00EC02CA">
        <w:t>,</w:t>
      </w:r>
      <w:r w:rsidRPr="00EC02CA">
        <w:t xml:space="preserve"> and </w:t>
      </w:r>
      <w:r w:rsidR="00B733EB" w:rsidRPr="00EC02CA">
        <w:t xml:space="preserve">the </w:t>
      </w:r>
      <w:r w:rsidRPr="00EC02CA">
        <w:t>impact on workload (discussed in four interviews).</w:t>
      </w:r>
    </w:p>
    <w:p w14:paraId="6ADD2713" w14:textId="63DF2001" w:rsidR="008E614E" w:rsidRPr="00EC02CA" w:rsidRDefault="00324798" w:rsidP="00A920EC">
      <w:pPr>
        <w:pStyle w:val="Indentedquote"/>
        <w:rPr>
          <w:rFonts w:eastAsia="Aptos"/>
        </w:rPr>
      </w:pPr>
      <w:r w:rsidRPr="00EC02CA">
        <w:rPr>
          <w:rFonts w:eastAsia="Aptos"/>
        </w:rPr>
        <w:t>[T]</w:t>
      </w:r>
      <w:r w:rsidR="008E614E" w:rsidRPr="00EC02CA">
        <w:rPr>
          <w:rFonts w:eastAsia="Aptos"/>
        </w:rPr>
        <w:t>here</w:t>
      </w:r>
      <w:r w:rsidR="00B733EB" w:rsidRPr="00EC02CA">
        <w:rPr>
          <w:rFonts w:eastAsia="Aptos"/>
        </w:rPr>
        <w:t>’</w:t>
      </w:r>
      <w:r w:rsidR="008E614E" w:rsidRPr="00EC02CA">
        <w:rPr>
          <w:rFonts w:eastAsia="Aptos"/>
        </w:rPr>
        <w:t xml:space="preserve">s all of </w:t>
      </w:r>
      <w:r w:rsidR="00982523" w:rsidRPr="00EC02CA">
        <w:rPr>
          <w:rFonts w:eastAsia="Aptos"/>
        </w:rPr>
        <w:t>those kinds of complexities</w:t>
      </w:r>
      <w:r w:rsidR="008E614E" w:rsidRPr="00EC02CA">
        <w:rPr>
          <w:rFonts w:eastAsia="Aptos"/>
        </w:rPr>
        <w:t xml:space="preserve"> around the age of the students, the involvement of parents</w:t>
      </w:r>
      <w:r w:rsidR="00CC5B04" w:rsidRPr="00EC02CA">
        <w:rPr>
          <w:rFonts w:eastAsia="Aptos"/>
        </w:rPr>
        <w:t>. S</w:t>
      </w:r>
      <w:r w:rsidR="008E614E" w:rsidRPr="00EC02CA">
        <w:rPr>
          <w:rFonts w:eastAsia="Aptos"/>
        </w:rPr>
        <w:t>ometimes students don</w:t>
      </w:r>
      <w:r w:rsidR="00B733EB" w:rsidRPr="00EC02CA">
        <w:rPr>
          <w:rFonts w:eastAsia="Aptos"/>
        </w:rPr>
        <w:t>’</w:t>
      </w:r>
      <w:r w:rsidR="008E614E" w:rsidRPr="00EC02CA">
        <w:rPr>
          <w:rFonts w:eastAsia="Aptos"/>
        </w:rPr>
        <w:t>t want their parents to know.</w:t>
      </w:r>
      <w:r w:rsidR="00076304" w:rsidRPr="00EC02CA">
        <w:rPr>
          <w:rStyle w:val="FootnoteReference"/>
          <w:rFonts w:ascii="Aptos" w:eastAsia="Aptos" w:hAnsi="Aptos"/>
          <w:kern w:val="2"/>
          <w:szCs w:val="22"/>
          <w14:ligatures w14:val="standardContextual"/>
        </w:rPr>
        <w:footnoteReference w:id="576"/>
      </w:r>
    </w:p>
    <w:p w14:paraId="4130F3B2" w14:textId="07074449" w:rsidR="008E614E" w:rsidRPr="00EC02CA" w:rsidRDefault="00324798" w:rsidP="00A920EC">
      <w:pPr>
        <w:pStyle w:val="Indentedquote"/>
        <w:rPr>
          <w:rFonts w:eastAsia="Aptos"/>
        </w:rPr>
      </w:pPr>
      <w:r w:rsidRPr="00EC02CA">
        <w:rPr>
          <w:rFonts w:eastAsia="Aptos"/>
        </w:rPr>
        <w:t>[W]</w:t>
      </w:r>
      <w:r w:rsidR="008E614E" w:rsidRPr="00EC02CA">
        <w:rPr>
          <w:rFonts w:eastAsia="Aptos"/>
        </w:rPr>
        <w:t>e can</w:t>
      </w:r>
      <w:r w:rsidR="00B733EB" w:rsidRPr="00EC02CA">
        <w:rPr>
          <w:rFonts w:eastAsia="Aptos"/>
        </w:rPr>
        <w:t>’</w:t>
      </w:r>
      <w:r w:rsidR="008E614E" w:rsidRPr="00EC02CA">
        <w:rPr>
          <w:rFonts w:eastAsia="Aptos"/>
        </w:rPr>
        <w:t>t pass judgement against, you know, whether you did this or you didn</w:t>
      </w:r>
      <w:r w:rsidR="00B733EB" w:rsidRPr="00EC02CA">
        <w:rPr>
          <w:rFonts w:eastAsia="Aptos"/>
        </w:rPr>
        <w:t>’</w:t>
      </w:r>
      <w:r w:rsidR="008E614E" w:rsidRPr="00EC02CA">
        <w:rPr>
          <w:rFonts w:eastAsia="Aptos"/>
        </w:rPr>
        <w:t>t do this, we</w:t>
      </w:r>
      <w:r w:rsidR="00B733EB" w:rsidRPr="00EC02CA">
        <w:rPr>
          <w:rFonts w:eastAsia="Aptos"/>
        </w:rPr>
        <w:t>’</w:t>
      </w:r>
      <w:r w:rsidR="008E614E" w:rsidRPr="00EC02CA">
        <w:rPr>
          <w:rFonts w:eastAsia="Aptos"/>
        </w:rPr>
        <w:t>ve still got to treat you as a young person who still needs to finish their education regardless of the outcome of the court system, however long that might take, if that makes sense.</w:t>
      </w:r>
      <w:r w:rsidR="00982523" w:rsidRPr="00EC02CA">
        <w:rPr>
          <w:rStyle w:val="FootnoteReference"/>
          <w:rFonts w:eastAsia="Aptos"/>
        </w:rPr>
        <w:footnoteReference w:id="577"/>
      </w:r>
    </w:p>
    <w:p w14:paraId="0E01CDCE" w14:textId="16C37394" w:rsidR="008E614E" w:rsidRPr="00EC02CA" w:rsidRDefault="00324798" w:rsidP="00A920EC">
      <w:pPr>
        <w:pStyle w:val="Indentedquote"/>
        <w:rPr>
          <w:rFonts w:eastAsia="Aptos"/>
        </w:rPr>
      </w:pPr>
      <w:r w:rsidRPr="00EC02CA">
        <w:rPr>
          <w:rFonts w:eastAsia="Aptos"/>
        </w:rPr>
        <w:t>[W]</w:t>
      </w:r>
      <w:r w:rsidR="008E614E" w:rsidRPr="00EC02CA">
        <w:rPr>
          <w:rFonts w:eastAsia="Aptos"/>
        </w:rPr>
        <w:t>e</w:t>
      </w:r>
      <w:r w:rsidR="00B733EB" w:rsidRPr="00EC02CA">
        <w:rPr>
          <w:rFonts w:eastAsia="Aptos"/>
        </w:rPr>
        <w:t>’</w:t>
      </w:r>
      <w:r w:rsidR="008E614E" w:rsidRPr="00EC02CA">
        <w:rPr>
          <w:rFonts w:eastAsia="Aptos"/>
        </w:rPr>
        <w:t>re not trained investigators and you</w:t>
      </w:r>
      <w:r w:rsidR="00B733EB" w:rsidRPr="00EC02CA">
        <w:rPr>
          <w:rFonts w:eastAsia="Aptos"/>
        </w:rPr>
        <w:t>’</w:t>
      </w:r>
      <w:r w:rsidR="008E614E" w:rsidRPr="00EC02CA">
        <w:rPr>
          <w:rFonts w:eastAsia="Aptos"/>
        </w:rPr>
        <w:t xml:space="preserve">ve got three days from the moment of notification to begin an investigation. So I think schools are actually finding this really </w:t>
      </w:r>
      <w:r w:rsidR="008439CB" w:rsidRPr="00EC02CA">
        <w:rPr>
          <w:rFonts w:eastAsia="Aptos"/>
        </w:rPr>
        <w:t xml:space="preserve">difficult </w:t>
      </w:r>
      <w:r w:rsidR="008E614E" w:rsidRPr="00EC02CA">
        <w:rPr>
          <w:rFonts w:eastAsia="Aptos"/>
        </w:rPr>
        <w:t xml:space="preserve">and I know just talking to my colleagues </w:t>
      </w:r>
      <w:r w:rsidR="00F71CD8" w:rsidRPr="00EC02CA">
        <w:rPr>
          <w:rFonts w:eastAsia="Aptos"/>
        </w:rPr>
        <w:t>…</w:t>
      </w:r>
      <w:r w:rsidR="008E614E" w:rsidRPr="00EC02CA">
        <w:rPr>
          <w:rFonts w:eastAsia="Aptos"/>
        </w:rPr>
        <w:t xml:space="preserve"> we</w:t>
      </w:r>
      <w:r w:rsidR="00B733EB" w:rsidRPr="00EC02CA">
        <w:rPr>
          <w:rFonts w:eastAsia="Aptos"/>
        </w:rPr>
        <w:t>’</w:t>
      </w:r>
      <w:r w:rsidR="008E614E" w:rsidRPr="00EC02CA">
        <w:rPr>
          <w:rFonts w:eastAsia="Aptos"/>
        </w:rPr>
        <w:t>re all experiencing the same thing. And the other</w:t>
      </w:r>
      <w:r w:rsidR="00B733EB" w:rsidRPr="00EC02CA">
        <w:rPr>
          <w:rFonts w:eastAsia="Aptos"/>
        </w:rPr>
        <w:t xml:space="preserve"> … </w:t>
      </w:r>
      <w:r w:rsidR="008E614E" w:rsidRPr="00EC02CA">
        <w:rPr>
          <w:rFonts w:eastAsia="Aptos"/>
        </w:rPr>
        <w:t xml:space="preserve">big thing </w:t>
      </w:r>
      <w:r w:rsidR="00B733EB" w:rsidRPr="00EC02CA">
        <w:rPr>
          <w:rFonts w:eastAsia="Aptos"/>
        </w:rPr>
        <w:t xml:space="preserve">… </w:t>
      </w:r>
      <w:r w:rsidR="008E614E" w:rsidRPr="00EC02CA">
        <w:rPr>
          <w:rFonts w:eastAsia="Aptos"/>
        </w:rPr>
        <w:t>for schools is the whole</w:t>
      </w:r>
      <w:r w:rsidR="00B733EB" w:rsidRPr="00EC02CA">
        <w:rPr>
          <w:rFonts w:eastAsia="Aptos"/>
        </w:rPr>
        <w:t xml:space="preserve"> …</w:t>
      </w:r>
      <w:r w:rsidR="008E614E" w:rsidRPr="00EC02CA">
        <w:rPr>
          <w:rFonts w:eastAsia="Aptos"/>
        </w:rPr>
        <w:t xml:space="preserve"> documentation of everything now. I reckon I could spend a good hour a day documenting it</w:t>
      </w:r>
      <w:r w:rsidR="00F71CD8" w:rsidRPr="00EC02CA">
        <w:rPr>
          <w:rFonts w:eastAsia="Aptos"/>
        </w:rPr>
        <w:t>.</w:t>
      </w:r>
      <w:r w:rsidR="008E614E" w:rsidRPr="00EC02CA">
        <w:rPr>
          <w:rFonts w:eastAsia="Aptos"/>
        </w:rPr>
        <w:t xml:space="preserve"> Maybe about an hour and a half a day.</w:t>
      </w:r>
      <w:r w:rsidR="00982523" w:rsidRPr="00EC02CA">
        <w:rPr>
          <w:rStyle w:val="FootnoteReference"/>
          <w:rFonts w:eastAsia="Aptos"/>
        </w:rPr>
        <w:footnoteReference w:id="578"/>
      </w:r>
    </w:p>
    <w:p w14:paraId="3BAC1D77" w14:textId="43882A5F" w:rsidR="00D1694D" w:rsidRPr="00EC02CA" w:rsidRDefault="009745D7" w:rsidP="002F0007">
      <w:pPr>
        <w:pStyle w:val="NormalNumberedTextTLRI"/>
      </w:pPr>
      <w:r w:rsidRPr="00EC02CA">
        <w:t xml:space="preserve">Interviewees also commented on </w:t>
      </w:r>
      <w:r w:rsidR="00B80C69" w:rsidRPr="00EC02CA">
        <w:t xml:space="preserve">the </w:t>
      </w:r>
      <w:r w:rsidRPr="00EC02CA">
        <w:t>challenge</w:t>
      </w:r>
      <w:r w:rsidR="008E614E" w:rsidRPr="00EC02CA">
        <w:t>s</w:t>
      </w:r>
      <w:r w:rsidRPr="00EC02CA">
        <w:t xml:space="preserve"> for police</w:t>
      </w:r>
      <w:r w:rsidR="00B00296" w:rsidRPr="00EC02CA">
        <w:t xml:space="preserve"> that ar</w:t>
      </w:r>
      <w:r w:rsidR="00B80C69" w:rsidRPr="00EC02CA">
        <w:t>i</w:t>
      </w:r>
      <w:r w:rsidR="00B00296" w:rsidRPr="00EC02CA">
        <w:t>se from the mandatory reporting requirements</w:t>
      </w:r>
      <w:r w:rsidR="00CC3DBF" w:rsidRPr="00EC02CA">
        <w:t xml:space="preserve">, including </w:t>
      </w:r>
      <w:r w:rsidR="00B00296" w:rsidRPr="00EC02CA">
        <w:t>the reluctance of young people and their families to pursue a justice response</w:t>
      </w:r>
      <w:r w:rsidR="00B80C69" w:rsidRPr="00EC02CA">
        <w:t>,</w:t>
      </w:r>
      <w:r w:rsidR="00B00296" w:rsidRPr="00EC02CA">
        <w:t xml:space="preserve"> in some instances</w:t>
      </w:r>
      <w:r w:rsidR="00953084" w:rsidRPr="00EC02CA">
        <w:t xml:space="preserve">. </w:t>
      </w:r>
      <w:r w:rsidR="0030363B" w:rsidRPr="00EC02CA">
        <w:t xml:space="preserve">Comment was also made that police generally do not proceed with </w:t>
      </w:r>
      <w:r w:rsidR="00D1694D" w:rsidRPr="00EC02CA">
        <w:t>charges</w:t>
      </w:r>
      <w:r w:rsidR="00C47297" w:rsidRPr="00EC02CA">
        <w:t xml:space="preserve"> against young people: ‘I’ve never seen police follow up and charge any young person for a sexual offence. I’m sure there’s a </w:t>
      </w:r>
      <w:r w:rsidR="00D1694D" w:rsidRPr="00EC02CA">
        <w:t>cohort</w:t>
      </w:r>
      <w:r w:rsidR="00C73B99" w:rsidRPr="00EC02CA">
        <w:t>,</w:t>
      </w:r>
      <w:r w:rsidR="00C47297" w:rsidRPr="00EC02CA">
        <w:t xml:space="preserve"> but they’d be very</w:t>
      </w:r>
      <w:r w:rsidR="00B80C69" w:rsidRPr="00EC02CA">
        <w:t>,</w:t>
      </w:r>
      <w:r w:rsidR="00C47297" w:rsidRPr="00EC02CA">
        <w:t xml:space="preserve"> very small’.</w:t>
      </w:r>
      <w:r w:rsidR="00C47297" w:rsidRPr="00EC02CA">
        <w:rPr>
          <w:rStyle w:val="FootnoteReference"/>
        </w:rPr>
        <w:footnoteReference w:id="579"/>
      </w:r>
    </w:p>
    <w:p w14:paraId="4997F0F7" w14:textId="67C64A69" w:rsidR="00B409FA" w:rsidRPr="00EC02CA" w:rsidRDefault="00953084" w:rsidP="002F0007">
      <w:pPr>
        <w:pStyle w:val="NormalNumberedTextTLRI"/>
      </w:pPr>
      <w:r w:rsidRPr="00EC02CA">
        <w:t xml:space="preserve">Policing challenges </w:t>
      </w:r>
      <w:r w:rsidR="00B26AE2" w:rsidRPr="00EC02CA">
        <w:t xml:space="preserve">for Tasmania Police </w:t>
      </w:r>
      <w:r w:rsidRPr="00EC02CA">
        <w:t>were discussed in 3</w:t>
      </w:r>
      <w:r w:rsidR="001F3B74" w:rsidRPr="00EC02CA">
        <w:t>6</w:t>
      </w:r>
      <w:r w:rsidRPr="00EC02CA">
        <w:t xml:space="preserve"> interviews, with six main chall</w:t>
      </w:r>
      <w:r w:rsidR="00B409FA" w:rsidRPr="00EC02CA">
        <w:t>enges reported</w:t>
      </w:r>
      <w:r w:rsidR="00B80C69" w:rsidRPr="00EC02CA">
        <w:t>,</w:t>
      </w:r>
      <w:r w:rsidR="00FF4EBE" w:rsidRPr="00EC02CA">
        <w:t xml:space="preserve"> including the </w:t>
      </w:r>
      <w:r w:rsidR="00B26AE2" w:rsidRPr="00EC02CA">
        <w:t xml:space="preserve">high </w:t>
      </w:r>
      <w:r w:rsidR="00FF4EBE" w:rsidRPr="00EC02CA">
        <w:t>volume of reports</w:t>
      </w:r>
      <w:r w:rsidR="00D0507C" w:rsidRPr="00EC02CA">
        <w:t xml:space="preserve">, the lack of formal complaints to police by young people, </w:t>
      </w:r>
      <w:r w:rsidR="00B80C69" w:rsidRPr="00EC02CA">
        <w:t xml:space="preserve">the </w:t>
      </w:r>
      <w:r w:rsidR="00D0507C" w:rsidRPr="00EC02CA">
        <w:t xml:space="preserve">lack </w:t>
      </w:r>
      <w:r w:rsidR="00AB2BC9" w:rsidRPr="00EC02CA">
        <w:t>of</w:t>
      </w:r>
      <w:r w:rsidR="00D0507C" w:rsidRPr="00EC02CA">
        <w:t xml:space="preserve"> evidence provided to police, misunderstandings about the role and </w:t>
      </w:r>
      <w:r w:rsidR="00AB2BC9" w:rsidRPr="00EC02CA">
        <w:t>powers</w:t>
      </w:r>
      <w:r w:rsidR="00D0507C" w:rsidRPr="00EC02CA">
        <w:t xml:space="preserve"> of police, </w:t>
      </w:r>
      <w:r w:rsidR="00B80C69" w:rsidRPr="00EC02CA">
        <w:t xml:space="preserve">the </w:t>
      </w:r>
      <w:r w:rsidR="00D0507C" w:rsidRPr="00EC02CA">
        <w:t xml:space="preserve">lack </w:t>
      </w:r>
      <w:r w:rsidR="00AB2BC9" w:rsidRPr="00EC02CA">
        <w:t>of</w:t>
      </w:r>
      <w:r w:rsidR="00D0507C" w:rsidRPr="00EC02CA">
        <w:t xml:space="preserve"> </w:t>
      </w:r>
      <w:r w:rsidR="00AB2BC9" w:rsidRPr="00EC02CA">
        <w:t>understanding</w:t>
      </w:r>
      <w:r w:rsidR="00D0507C" w:rsidRPr="00EC02CA">
        <w:t xml:space="preserve"> by </w:t>
      </w:r>
      <w:r w:rsidR="00AB2BC9" w:rsidRPr="00EC02CA">
        <w:t xml:space="preserve">police about sexual offending and </w:t>
      </w:r>
      <w:r w:rsidR="00B80C69" w:rsidRPr="00EC02CA">
        <w:t xml:space="preserve">the </w:t>
      </w:r>
      <w:r w:rsidR="00AB2BC9" w:rsidRPr="00EC02CA">
        <w:t>lack of trust in police</w:t>
      </w:r>
      <w:r w:rsidR="00B409FA" w:rsidRPr="00EC02CA">
        <w:rPr>
          <w:rFonts w:ascii="Aptos" w:eastAsia="Aptos" w:hAnsi="Aptos"/>
          <w:szCs w:val="22"/>
          <w14:ligatures w14:val="standardContextual"/>
        </w:rPr>
        <w:t>:</w:t>
      </w:r>
    </w:p>
    <w:p w14:paraId="674C55EF" w14:textId="3A66DA1C" w:rsidR="00270BFE" w:rsidRPr="00EC02CA" w:rsidRDefault="00270BFE" w:rsidP="00A920EC">
      <w:pPr>
        <w:pStyle w:val="NumberlessNormalText"/>
        <w:numPr>
          <w:ilvl w:val="0"/>
          <w:numId w:val="213"/>
        </w:numPr>
      </w:pPr>
      <w:r w:rsidRPr="00EC02CA">
        <w:rPr>
          <w:b/>
          <w:bCs/>
        </w:rPr>
        <w:t>Volume of reports and organisational barriers</w:t>
      </w:r>
      <w:r w:rsidR="00C805DC" w:rsidRPr="00EC02CA">
        <w:rPr>
          <w:b/>
          <w:bCs/>
        </w:rPr>
        <w:t xml:space="preserve">, including </w:t>
      </w:r>
      <w:r w:rsidRPr="00EC02CA">
        <w:rPr>
          <w:b/>
          <w:bCs/>
        </w:rPr>
        <w:t>understaff</w:t>
      </w:r>
      <w:r w:rsidR="00C805DC" w:rsidRPr="00EC02CA">
        <w:rPr>
          <w:b/>
          <w:bCs/>
        </w:rPr>
        <w:t>ing</w:t>
      </w:r>
      <w:r w:rsidRPr="00EC02CA">
        <w:t xml:space="preserve"> </w:t>
      </w:r>
      <w:r w:rsidR="00C805DC" w:rsidRPr="00EC02CA">
        <w:t>(</w:t>
      </w:r>
      <w:r w:rsidRPr="00EC02CA">
        <w:t>1</w:t>
      </w:r>
      <w:r w:rsidR="00480BED" w:rsidRPr="00EC02CA">
        <w:t>7</w:t>
      </w:r>
      <w:r w:rsidRPr="00EC02CA">
        <w:t xml:space="preserve"> interviews)</w:t>
      </w:r>
      <w:r w:rsidR="00B409FA" w:rsidRPr="00EC02CA">
        <w:t>:</w:t>
      </w:r>
    </w:p>
    <w:p w14:paraId="170E7D66" w14:textId="041CD564" w:rsidR="00270BFE" w:rsidRPr="00EC02CA" w:rsidRDefault="00270BFE" w:rsidP="00A920EC">
      <w:pPr>
        <w:pStyle w:val="Indentedquote"/>
        <w:rPr>
          <w:rFonts w:eastAsia="Times"/>
        </w:rPr>
      </w:pPr>
      <w:r w:rsidRPr="00EC02CA">
        <w:rPr>
          <w:rFonts w:eastAsia="Times"/>
        </w:rPr>
        <w:t xml:space="preserve">I do know that the </w:t>
      </w:r>
      <w:r w:rsidR="005D11BF" w:rsidRPr="00EC02CA">
        <w:rPr>
          <w:rFonts w:eastAsia="Times"/>
        </w:rPr>
        <w:t>A</w:t>
      </w:r>
      <w:r w:rsidRPr="00EC02CA">
        <w:rPr>
          <w:rFonts w:eastAsia="Times"/>
        </w:rPr>
        <w:t xml:space="preserve">dvice and </w:t>
      </w:r>
      <w:r w:rsidR="005D11BF" w:rsidRPr="00EC02CA">
        <w:rPr>
          <w:rFonts w:eastAsia="Times"/>
        </w:rPr>
        <w:t>R</w:t>
      </w:r>
      <w:r w:rsidRPr="00EC02CA">
        <w:rPr>
          <w:rFonts w:eastAsia="Times"/>
        </w:rPr>
        <w:t xml:space="preserve">eferral </w:t>
      </w:r>
      <w:r w:rsidR="005D11BF" w:rsidRPr="00EC02CA">
        <w:rPr>
          <w:rFonts w:eastAsia="Times"/>
        </w:rPr>
        <w:t>L</w:t>
      </w:r>
      <w:r w:rsidRPr="00EC02CA">
        <w:rPr>
          <w:rFonts w:eastAsia="Times"/>
        </w:rPr>
        <w:t>ine that receive</w:t>
      </w:r>
      <w:r w:rsidR="00C805DC" w:rsidRPr="00EC02CA">
        <w:rPr>
          <w:rFonts w:eastAsia="Times"/>
        </w:rPr>
        <w:t>s</w:t>
      </w:r>
      <w:r w:rsidRPr="00EC02CA">
        <w:rPr>
          <w:rFonts w:eastAsia="Times"/>
        </w:rPr>
        <w:t xml:space="preserve"> the calls are very well under</w:t>
      </w:r>
      <w:r w:rsidR="00C805DC" w:rsidRPr="00EC02CA">
        <w:rPr>
          <w:rFonts w:eastAsia="Times"/>
        </w:rPr>
        <w:t>-</w:t>
      </w:r>
      <w:r w:rsidRPr="00EC02CA">
        <w:rPr>
          <w:rFonts w:eastAsia="Times"/>
        </w:rPr>
        <w:t>resourced as well. I think they get something like 24,000 calls a year.</w:t>
      </w:r>
      <w:r w:rsidR="008F10B9" w:rsidRPr="00EC02CA">
        <w:rPr>
          <w:rStyle w:val="FootnoteReference"/>
          <w:rFonts w:eastAsia="Times"/>
        </w:rPr>
        <w:footnoteReference w:id="580"/>
      </w:r>
    </w:p>
    <w:p w14:paraId="385D5FB8" w14:textId="6442531B" w:rsidR="00821497" w:rsidRPr="00EC02CA" w:rsidRDefault="00AE0BED" w:rsidP="00A920EC">
      <w:pPr>
        <w:pStyle w:val="Indentedquote"/>
        <w:rPr>
          <w:rFonts w:eastAsia="Times"/>
        </w:rPr>
      </w:pPr>
      <w:r w:rsidRPr="00EC02CA">
        <w:t>F</w:t>
      </w:r>
      <w:r w:rsidR="00821497" w:rsidRPr="00EC02CA">
        <w:t>or starters</w:t>
      </w:r>
      <w:r w:rsidR="00C805DC" w:rsidRPr="00EC02CA">
        <w:t>,</w:t>
      </w:r>
      <w:r w:rsidR="00821497" w:rsidRPr="00EC02CA">
        <w:t xml:space="preserve"> police are getting so many calls around online peer</w:t>
      </w:r>
      <w:r w:rsidR="00C805DC" w:rsidRPr="00EC02CA">
        <w:t>-</w:t>
      </w:r>
      <w:r w:rsidR="00821497" w:rsidRPr="00EC02CA">
        <w:t>to</w:t>
      </w:r>
      <w:r w:rsidR="00C805DC" w:rsidRPr="00EC02CA">
        <w:t>-</w:t>
      </w:r>
      <w:r w:rsidR="00821497" w:rsidRPr="00EC02CA">
        <w:t>peer sexual harm. And I think just purely the volume of reports they</w:t>
      </w:r>
      <w:r w:rsidR="00C805DC" w:rsidRPr="00EC02CA">
        <w:t>’</w:t>
      </w:r>
      <w:r w:rsidR="00821497" w:rsidRPr="00EC02CA">
        <w:t>re getting is probably inundating them a bit and it</w:t>
      </w:r>
      <w:r w:rsidR="00C805DC" w:rsidRPr="00EC02CA">
        <w:t>’</w:t>
      </w:r>
      <w:r w:rsidR="00821497" w:rsidRPr="00EC02CA">
        <w:t>s a bit hard to respond to each and every incident of online sexual harm.</w:t>
      </w:r>
      <w:r w:rsidR="00821497" w:rsidRPr="00EC02CA">
        <w:rPr>
          <w:rStyle w:val="FootnoteReference"/>
        </w:rPr>
        <w:footnoteReference w:id="581"/>
      </w:r>
      <w:r w:rsidR="00821497" w:rsidRPr="00EC02CA">
        <w:t xml:space="preserve"> </w:t>
      </w:r>
    </w:p>
    <w:p w14:paraId="56F134D7" w14:textId="3F7FEDE1" w:rsidR="00270BFE" w:rsidRPr="00EC02CA" w:rsidRDefault="00270BFE" w:rsidP="00A920EC">
      <w:pPr>
        <w:pStyle w:val="Indentedquote"/>
        <w:rPr>
          <w:rFonts w:eastAsia="Times"/>
        </w:rPr>
      </w:pPr>
      <w:r w:rsidRPr="00EC02CA">
        <w:rPr>
          <w:rFonts w:eastAsia="Times"/>
        </w:rPr>
        <w:t xml:space="preserve">You </w:t>
      </w:r>
      <w:r w:rsidRPr="00EC02CA">
        <w:t>know</w:t>
      </w:r>
      <w:r w:rsidRPr="00EC02CA">
        <w:rPr>
          <w:rFonts w:eastAsia="Times"/>
        </w:rPr>
        <w:t>, they’re not social workers. They’re under-resourced. Their ability to intervene early is really very limited. Anecdotally, I hear that they’re reaching out to organisations like SASS and Laurel House for help regularly, so I think it’s very difficult for them.</w:t>
      </w:r>
      <w:r w:rsidR="00821497" w:rsidRPr="00EC02CA">
        <w:rPr>
          <w:rStyle w:val="FootnoteReference"/>
          <w:rFonts w:eastAsia="Times"/>
        </w:rPr>
        <w:footnoteReference w:id="582"/>
      </w:r>
    </w:p>
    <w:p w14:paraId="72CB8D68" w14:textId="55EAED85" w:rsidR="00953084" w:rsidRPr="00EC02CA" w:rsidRDefault="00953084" w:rsidP="00A920EC">
      <w:pPr>
        <w:pStyle w:val="NumberlessNormalText"/>
      </w:pPr>
      <w:r w:rsidRPr="00EC02CA">
        <w:rPr>
          <w:b/>
          <w:bCs/>
        </w:rPr>
        <w:t>Lack of formal complaint</w:t>
      </w:r>
      <w:r w:rsidR="00B80C69" w:rsidRPr="00EC02CA">
        <w:rPr>
          <w:b/>
          <w:bCs/>
        </w:rPr>
        <w:t>s</w:t>
      </w:r>
      <w:r w:rsidRPr="00EC02CA">
        <w:rPr>
          <w:b/>
          <w:bCs/>
        </w:rPr>
        <w:t xml:space="preserve"> </w:t>
      </w:r>
      <w:r w:rsidR="00767492" w:rsidRPr="00EC02CA">
        <w:rPr>
          <w:b/>
          <w:bCs/>
        </w:rPr>
        <w:t>to police</w:t>
      </w:r>
      <w:r w:rsidR="00767492" w:rsidRPr="00EC02CA">
        <w:t xml:space="preserve"> </w:t>
      </w:r>
      <w:r w:rsidRPr="00EC02CA">
        <w:t>(1</w:t>
      </w:r>
      <w:r w:rsidR="00D00B7B" w:rsidRPr="00EC02CA">
        <w:t>6</w:t>
      </w:r>
      <w:r w:rsidRPr="00EC02CA">
        <w:t xml:space="preserve"> interviews)</w:t>
      </w:r>
      <w:r w:rsidR="00767492" w:rsidRPr="00EC02CA">
        <w:t xml:space="preserve">. As discussed at </w:t>
      </w:r>
      <w:r w:rsidR="008439CB" w:rsidRPr="00EC02CA">
        <w:t>[</w:t>
      </w:r>
      <w:r w:rsidR="00CA443E" w:rsidRPr="00EC02CA">
        <w:fldChar w:fldCharType="begin"/>
      </w:r>
      <w:r w:rsidR="00CA443E" w:rsidRPr="00EC02CA">
        <w:instrText xml:space="preserve"> REF _Ref218253438 \r \h </w:instrText>
      </w:r>
      <w:r w:rsidR="00CA443E" w:rsidRPr="00EC02CA">
        <w:fldChar w:fldCharType="separate"/>
      </w:r>
      <w:r w:rsidR="007D7830">
        <w:t>6.3.1</w:t>
      </w:r>
      <w:r w:rsidR="00CA443E" w:rsidRPr="00EC02CA">
        <w:fldChar w:fldCharType="end"/>
      </w:r>
      <w:r w:rsidR="008439CB" w:rsidRPr="00EC02CA">
        <w:t>]</w:t>
      </w:r>
      <w:r w:rsidR="00767492" w:rsidRPr="00EC02CA">
        <w:t xml:space="preserve">, participants identified the reluctance of young people to </w:t>
      </w:r>
      <w:r w:rsidR="00FC42B4" w:rsidRPr="00EC02CA">
        <w:t>m</w:t>
      </w:r>
      <w:r w:rsidR="00767492" w:rsidRPr="00EC02CA">
        <w:t>ake a complaint to police</w:t>
      </w:r>
      <w:r w:rsidR="00FC42B4" w:rsidRPr="00EC02CA">
        <w:t>:</w:t>
      </w:r>
    </w:p>
    <w:p w14:paraId="038DEE18" w14:textId="2A94A062" w:rsidR="00FC42B4" w:rsidRPr="00EC02CA" w:rsidRDefault="00FC42B4" w:rsidP="00A920EC">
      <w:pPr>
        <w:pStyle w:val="Indentedquote"/>
      </w:pPr>
      <w:r w:rsidRPr="00EC02CA">
        <w:rPr>
          <w:rFonts w:eastAsia="Aptos"/>
        </w:rPr>
        <w:t xml:space="preserve">I do think the smaller community size can be problematic for people in coming forward. You know, </w:t>
      </w:r>
      <w:r w:rsidRPr="00EC02CA">
        <w:t>everybody</w:t>
      </w:r>
      <w:r w:rsidRPr="00EC02CA">
        <w:rPr>
          <w:rFonts w:eastAsia="Aptos"/>
        </w:rPr>
        <w:t xml:space="preserve"> seems to know everybody. And so the</w:t>
      </w:r>
      <w:r w:rsidR="0088395B" w:rsidRPr="00EC02CA">
        <w:rPr>
          <w:rFonts w:eastAsia="Aptos"/>
        </w:rPr>
        <w:t>re</w:t>
      </w:r>
      <w:r w:rsidRPr="00EC02CA">
        <w:rPr>
          <w:rFonts w:eastAsia="Aptos"/>
        </w:rPr>
        <w:t xml:space="preserve"> can be a reluctance on the part of a young person to push forward with a complaint.</w:t>
      </w:r>
      <w:r w:rsidR="0088395B" w:rsidRPr="00EC02CA">
        <w:rPr>
          <w:rStyle w:val="FootnoteReference"/>
          <w:rFonts w:eastAsia="Aptos"/>
        </w:rPr>
        <w:footnoteReference w:id="583"/>
      </w:r>
    </w:p>
    <w:p w14:paraId="0AF9E1F9" w14:textId="43CE6FE7" w:rsidR="005C6597" w:rsidRPr="00EC02CA" w:rsidRDefault="00C805DC" w:rsidP="007D3C34">
      <w:pPr>
        <w:pStyle w:val="Indentedquote"/>
      </w:pPr>
      <w:r w:rsidRPr="00EC02CA">
        <w:rPr>
          <w:rFonts w:eastAsia="Aptos"/>
        </w:rPr>
        <w:t>[T]</w:t>
      </w:r>
      <w:r w:rsidR="00371542" w:rsidRPr="00EC02CA">
        <w:rPr>
          <w:rFonts w:eastAsia="Aptos"/>
        </w:rPr>
        <w:t>hat</w:t>
      </w:r>
      <w:r w:rsidRPr="00EC02CA">
        <w:rPr>
          <w:rFonts w:eastAsia="Aptos"/>
        </w:rPr>
        <w:t>’</w:t>
      </w:r>
      <w:r w:rsidR="00371542" w:rsidRPr="00EC02CA">
        <w:rPr>
          <w:rFonts w:eastAsia="Aptos"/>
        </w:rPr>
        <w:t>s actually very challenging to be trauma-informed with young people because their parents get very involved. So we have lots of cases where like we have a case where a young girl didn</w:t>
      </w:r>
      <w:r w:rsidRPr="00EC02CA">
        <w:rPr>
          <w:rFonts w:eastAsia="Aptos"/>
        </w:rPr>
        <w:t>’</w:t>
      </w:r>
      <w:r w:rsidR="00371542" w:rsidRPr="00EC02CA">
        <w:rPr>
          <w:rFonts w:eastAsia="Aptos"/>
        </w:rPr>
        <w:t>t want to do anything</w:t>
      </w:r>
      <w:r w:rsidR="00CF2B09">
        <w:rPr>
          <w:rFonts w:eastAsia="Aptos"/>
        </w:rPr>
        <w:t>,</w:t>
      </w:r>
      <w:r w:rsidR="00371542" w:rsidRPr="00EC02CA">
        <w:rPr>
          <w:rFonts w:eastAsia="Aptos"/>
        </w:rPr>
        <w:t xml:space="preserve"> but her parents did, and they were very pushy about what they wanted and when their parents were in the room she was like, </w:t>
      </w:r>
      <w:r w:rsidRPr="00EC02CA">
        <w:rPr>
          <w:rFonts w:eastAsia="Aptos"/>
        </w:rPr>
        <w:t>‘Y</w:t>
      </w:r>
      <w:r w:rsidR="00371542" w:rsidRPr="00EC02CA">
        <w:rPr>
          <w:rFonts w:eastAsia="Aptos"/>
        </w:rPr>
        <w:t>es, I'll do it</w:t>
      </w:r>
      <w:r w:rsidRPr="00EC02CA">
        <w:rPr>
          <w:rFonts w:eastAsia="Aptos"/>
        </w:rPr>
        <w:t>’,</w:t>
      </w:r>
      <w:r w:rsidR="00371542" w:rsidRPr="00EC02CA">
        <w:rPr>
          <w:rFonts w:eastAsia="Aptos"/>
        </w:rPr>
        <w:t xml:space="preserve"> and</w:t>
      </w:r>
      <w:r w:rsidRPr="00EC02CA">
        <w:rPr>
          <w:rFonts w:eastAsia="Aptos"/>
        </w:rPr>
        <w:t xml:space="preserve"> t</w:t>
      </w:r>
      <w:r w:rsidR="00371542" w:rsidRPr="00EC02CA">
        <w:rPr>
          <w:rFonts w:eastAsia="Aptos"/>
        </w:rPr>
        <w:t>hen, when she was spoken to alone,</w:t>
      </w:r>
      <w:r w:rsidR="007D3C34" w:rsidRPr="00EC02CA">
        <w:rPr>
          <w:rFonts w:eastAsia="Aptos"/>
        </w:rPr>
        <w:t xml:space="preserve"> </w:t>
      </w:r>
      <w:r w:rsidR="00371542" w:rsidRPr="00EC02CA">
        <w:rPr>
          <w:rFonts w:eastAsia="Aptos"/>
        </w:rPr>
        <w:t>she said she didn't want to do it.</w:t>
      </w:r>
      <w:r w:rsidR="00371542" w:rsidRPr="00EC02CA">
        <w:rPr>
          <w:rStyle w:val="FootnoteReference"/>
          <w:rFonts w:eastAsia="Aptos"/>
        </w:rPr>
        <w:footnoteReference w:id="584"/>
      </w:r>
    </w:p>
    <w:p w14:paraId="4A0C88FF" w14:textId="401F5AF5" w:rsidR="005C6597" w:rsidRPr="00EC02CA" w:rsidRDefault="005C6597" w:rsidP="00A920EC">
      <w:pPr>
        <w:pStyle w:val="Indentedquote"/>
      </w:pPr>
      <w:r w:rsidRPr="00EC02CA">
        <w:rPr>
          <w:rFonts w:eastAsia="Aptos"/>
        </w:rPr>
        <w:t>I do see there</w:t>
      </w:r>
      <w:r w:rsidR="00C805DC" w:rsidRPr="00EC02CA">
        <w:rPr>
          <w:rFonts w:eastAsia="Aptos"/>
        </w:rPr>
        <w:t>’</w:t>
      </w:r>
      <w:r w:rsidRPr="00EC02CA">
        <w:rPr>
          <w:rFonts w:eastAsia="Aptos"/>
        </w:rPr>
        <w:t>s situations at school, sometimes where children are labelled very quickly without any evidence, or victims are told that they are victims without first understanding the situation</w:t>
      </w:r>
      <w:r w:rsidR="00101E73" w:rsidRPr="00EC02CA">
        <w:rPr>
          <w:rFonts w:eastAsia="Aptos"/>
        </w:rPr>
        <w:t>.</w:t>
      </w:r>
      <w:r w:rsidR="00101E73" w:rsidRPr="00EC02CA">
        <w:rPr>
          <w:rStyle w:val="FootnoteReference"/>
          <w:rFonts w:eastAsia="Aptos"/>
        </w:rPr>
        <w:footnoteReference w:id="585"/>
      </w:r>
    </w:p>
    <w:p w14:paraId="359865A9" w14:textId="42D49175" w:rsidR="009745D7" w:rsidRPr="00EC02CA" w:rsidRDefault="00A47501" w:rsidP="00A920EC">
      <w:pPr>
        <w:pStyle w:val="Indentedquote"/>
      </w:pPr>
      <w:r w:rsidRPr="00EC02CA">
        <w:t>Y</w:t>
      </w:r>
      <w:r w:rsidR="009745D7" w:rsidRPr="00EC02CA">
        <w:t xml:space="preserve">oung </w:t>
      </w:r>
      <w:r w:rsidR="009745D7" w:rsidRPr="00EC02CA">
        <w:rPr>
          <w:rFonts w:eastAsia="Aptos"/>
        </w:rPr>
        <w:t>people</w:t>
      </w:r>
      <w:r w:rsidR="009745D7" w:rsidRPr="00EC02CA">
        <w:t xml:space="preserve"> </w:t>
      </w:r>
      <w:r w:rsidRPr="00EC02CA">
        <w:t xml:space="preserve">do </w:t>
      </w:r>
      <w:r w:rsidR="009745D7" w:rsidRPr="00EC02CA">
        <w:t>not wan</w:t>
      </w:r>
      <w:r w:rsidR="001647D3" w:rsidRPr="00EC02CA">
        <w:t>t</w:t>
      </w:r>
      <w:r w:rsidR="009745D7" w:rsidRPr="00EC02CA">
        <w:t xml:space="preserve"> to make statements to police.</w:t>
      </w:r>
      <w:r w:rsidR="009745D7" w:rsidRPr="00EC02CA">
        <w:rPr>
          <w:rStyle w:val="FootnoteReference"/>
        </w:rPr>
        <w:footnoteReference w:id="586"/>
      </w:r>
    </w:p>
    <w:p w14:paraId="7D3F755E" w14:textId="79D51EB3" w:rsidR="004469CF" w:rsidRPr="00EC02CA" w:rsidRDefault="00442D4A" w:rsidP="00AB59E8">
      <w:pPr>
        <w:pStyle w:val="Indentedquote"/>
      </w:pPr>
      <w:r w:rsidRPr="00EC02CA">
        <w:t>There</w:t>
      </w:r>
      <w:r w:rsidR="00C805DC" w:rsidRPr="00EC02CA">
        <w:t>’</w:t>
      </w:r>
      <w:r w:rsidRPr="00EC02CA">
        <w:t xml:space="preserve">s a lot of disincentive to making a police report and I think </w:t>
      </w:r>
      <w:r w:rsidR="00C805DC" w:rsidRPr="00EC02CA">
        <w:t xml:space="preserve">… </w:t>
      </w:r>
      <w:r w:rsidRPr="00EC02CA">
        <w:t>the kids know that</w:t>
      </w:r>
      <w:r w:rsidR="00C805DC" w:rsidRPr="00EC02CA">
        <w:t>,</w:t>
      </w:r>
      <w:r w:rsidRPr="00EC02CA">
        <w:t xml:space="preserve"> and they make reasonably informed decisions not to not to report often. They just don't want to report.</w:t>
      </w:r>
      <w:r w:rsidRPr="00EC02CA">
        <w:rPr>
          <w:rStyle w:val="FootnoteReference"/>
        </w:rPr>
        <w:footnoteReference w:id="587"/>
      </w:r>
    </w:p>
    <w:p w14:paraId="2CFFB1A4" w14:textId="5DE5492B" w:rsidR="00886BD1" w:rsidRPr="00EC02CA" w:rsidRDefault="00AE0BED" w:rsidP="00A920EC">
      <w:pPr>
        <w:pStyle w:val="Indentedquote"/>
      </w:pPr>
      <w:r w:rsidRPr="00EC02CA">
        <w:t>A</w:t>
      </w:r>
      <w:r w:rsidR="00886BD1" w:rsidRPr="00EC02CA">
        <w:t xml:space="preserve"> lot of young people </w:t>
      </w:r>
      <w:r w:rsidR="00C805DC" w:rsidRPr="00EC02CA">
        <w:t xml:space="preserve">… </w:t>
      </w:r>
      <w:r w:rsidR="00886BD1" w:rsidRPr="00EC02CA">
        <w:t>make disclosures but don</w:t>
      </w:r>
      <w:r w:rsidR="00C805DC" w:rsidRPr="00EC02CA">
        <w:t>’</w:t>
      </w:r>
      <w:r w:rsidR="00886BD1" w:rsidRPr="00EC02CA">
        <w:t xml:space="preserve">t want anything further to happen. </w:t>
      </w:r>
      <w:r w:rsidR="00C805DC" w:rsidRPr="00EC02CA">
        <w:t>B</w:t>
      </w:r>
      <w:r w:rsidR="00886BD1" w:rsidRPr="00EC02CA">
        <w:t>ut I</w:t>
      </w:r>
      <w:r w:rsidR="00C805DC" w:rsidRPr="00EC02CA">
        <w:t>’</w:t>
      </w:r>
      <w:r w:rsidR="00886BD1" w:rsidRPr="00EC02CA">
        <w:t xml:space="preserve">d be interested to know the numbers of young people who have reported </w:t>
      </w:r>
      <w:r w:rsidR="00C805DC" w:rsidRPr="00EC02CA">
        <w:t xml:space="preserve">[but] </w:t>
      </w:r>
      <w:r w:rsidR="00886BD1" w:rsidRPr="00EC02CA">
        <w:t>who have refused to participate in anything further because they don</w:t>
      </w:r>
      <w:r w:rsidR="00C805DC" w:rsidRPr="00EC02CA">
        <w:t>’</w:t>
      </w:r>
      <w:r w:rsidR="00886BD1" w:rsidRPr="00EC02CA">
        <w:t xml:space="preserve">t want </w:t>
      </w:r>
      <w:r w:rsidR="00C805DC" w:rsidRPr="00EC02CA">
        <w:t xml:space="preserve">[to] </w:t>
      </w:r>
      <w:r w:rsidR="00886BD1" w:rsidRPr="00EC02CA">
        <w:t>either</w:t>
      </w:r>
      <w:r w:rsidR="00C805DC" w:rsidRPr="00EC02CA">
        <w:t xml:space="preserve"> [because]</w:t>
      </w:r>
      <w:r w:rsidR="00886BD1" w:rsidRPr="00EC02CA">
        <w:t xml:space="preserve"> </w:t>
      </w:r>
      <w:r w:rsidR="00D67D94" w:rsidRPr="00EC02CA">
        <w:t>(</w:t>
      </w:r>
      <w:r w:rsidR="00886BD1" w:rsidRPr="00EC02CA">
        <w:t>a) it</w:t>
      </w:r>
      <w:r w:rsidR="00C805DC" w:rsidRPr="00EC02CA">
        <w:t>’</w:t>
      </w:r>
      <w:r w:rsidR="00886BD1" w:rsidRPr="00EC02CA">
        <w:t xml:space="preserve">s too traumatic for them, or </w:t>
      </w:r>
      <w:r w:rsidR="00D67D94" w:rsidRPr="00EC02CA">
        <w:t>(</w:t>
      </w:r>
      <w:r w:rsidR="00886BD1" w:rsidRPr="00EC02CA">
        <w:t xml:space="preserve">b) they </w:t>
      </w:r>
      <w:r w:rsidR="00C805DC" w:rsidRPr="00EC02CA">
        <w:t xml:space="preserve">… </w:t>
      </w:r>
      <w:r w:rsidR="00886BD1" w:rsidRPr="00EC02CA">
        <w:t>have little faith that anything of any significance is actually going to come of it</w:t>
      </w:r>
      <w:r w:rsidR="00D67D94" w:rsidRPr="00EC02CA">
        <w:t>. So</w:t>
      </w:r>
      <w:r w:rsidR="007A1DA3" w:rsidRPr="00EC02CA">
        <w:t xml:space="preserve">, </w:t>
      </w:r>
      <w:r w:rsidR="00886BD1" w:rsidRPr="00EC02CA">
        <w:t>certainly a lack of faith in in the system itself, but also the fear for safety, the re-traumatisation by going back over the same story again and again.</w:t>
      </w:r>
      <w:r w:rsidR="007A1DA3" w:rsidRPr="00EC02CA">
        <w:rPr>
          <w:rStyle w:val="FootnoteReference"/>
        </w:rPr>
        <w:footnoteReference w:id="588"/>
      </w:r>
    </w:p>
    <w:p w14:paraId="3428DC09" w14:textId="65E16819" w:rsidR="00362ACD" w:rsidRPr="00EC02CA" w:rsidRDefault="00362ACD" w:rsidP="00A920EC">
      <w:pPr>
        <w:pStyle w:val="Indentedquote"/>
      </w:pPr>
      <w:r w:rsidRPr="00EC02CA">
        <w:t xml:space="preserve">[The justice system] is </w:t>
      </w:r>
      <w:r w:rsidR="00886B70" w:rsidRPr="00EC02CA">
        <w:t>victim-survivor</w:t>
      </w:r>
      <w:r w:rsidRPr="00EC02CA">
        <w:t xml:space="preserve"> focused. If someone doesn</w:t>
      </w:r>
      <w:r w:rsidR="00C805DC" w:rsidRPr="00EC02CA">
        <w:t>’</w:t>
      </w:r>
      <w:r w:rsidRPr="00EC02CA">
        <w:t>t want to proceed, then we really just don</w:t>
      </w:r>
      <w:r w:rsidR="00C805DC" w:rsidRPr="00EC02CA">
        <w:t>’</w:t>
      </w:r>
      <w:r w:rsidRPr="00EC02CA">
        <w:t xml:space="preserve">t push them. And I think we probably have stopped seeing that as an issue, even though it probably is when you take a step back and look at the broader picture that the offender may need some intervention </w:t>
      </w:r>
      <w:r w:rsidR="00221370" w:rsidRPr="00EC02CA">
        <w:t>…</w:t>
      </w:r>
      <w:r w:rsidRPr="00EC02CA">
        <w:t xml:space="preserve"> we have our victim focus and focus</w:t>
      </w:r>
      <w:r w:rsidR="00B34CEB" w:rsidRPr="00EC02CA">
        <w:t>s</w:t>
      </w:r>
      <w:r w:rsidRPr="00EC02CA">
        <w:t>ing on that particular victim and making sure they</w:t>
      </w:r>
      <w:r w:rsidR="00C805DC" w:rsidRPr="00EC02CA">
        <w:t>’</w:t>
      </w:r>
      <w:r w:rsidRPr="00EC02CA">
        <w:t xml:space="preserve">re </w:t>
      </w:r>
      <w:r w:rsidR="00C805DC" w:rsidRPr="00EC02CA">
        <w:t>okay</w:t>
      </w:r>
      <w:r w:rsidRPr="00EC02CA">
        <w:t>.</w:t>
      </w:r>
      <w:r w:rsidRPr="00EC02CA">
        <w:rPr>
          <w:rStyle w:val="FootnoteReference"/>
        </w:rPr>
        <w:footnoteReference w:id="589"/>
      </w:r>
    </w:p>
    <w:p w14:paraId="3811C9BC" w14:textId="55CD5A89" w:rsidR="00A47501" w:rsidRPr="00EC02CA" w:rsidRDefault="00A47501" w:rsidP="00A920EC">
      <w:pPr>
        <w:pStyle w:val="NumberlessNormalText"/>
      </w:pPr>
      <w:r w:rsidRPr="00EC02CA">
        <w:rPr>
          <w:b/>
          <w:bCs/>
        </w:rPr>
        <w:t>Lack of evidence provided to police</w:t>
      </w:r>
      <w:r w:rsidRPr="00EC02CA">
        <w:t xml:space="preserve"> (16 interviews)</w:t>
      </w:r>
      <w:r w:rsidR="00E04661" w:rsidRPr="00EC02CA">
        <w:t>:</w:t>
      </w:r>
    </w:p>
    <w:p w14:paraId="71B847E7" w14:textId="322C8E04" w:rsidR="009606A8" w:rsidRPr="00EC02CA" w:rsidRDefault="0079180E" w:rsidP="00A920EC">
      <w:pPr>
        <w:pStyle w:val="Indentedquote"/>
        <w:rPr>
          <w:rFonts w:ascii="Aptos" w:eastAsia="Aptos" w:hAnsi="Aptos"/>
          <w:kern w:val="2"/>
          <w:szCs w:val="22"/>
          <w14:ligatures w14:val="standardContextual"/>
        </w:rPr>
      </w:pPr>
      <w:r w:rsidRPr="00EC02CA">
        <w:rPr>
          <w:rFonts w:eastAsia="Aptos"/>
        </w:rPr>
        <w:t xml:space="preserve">We need evidence. There needs to be </w:t>
      </w:r>
      <w:r w:rsidR="0077344A" w:rsidRPr="00EC02CA">
        <w:rPr>
          <w:rFonts w:eastAsia="Aptos"/>
        </w:rPr>
        <w:t>evidence</w:t>
      </w:r>
      <w:r w:rsidR="00A67198" w:rsidRPr="00EC02CA">
        <w:rPr>
          <w:rFonts w:eastAsia="Aptos"/>
        </w:rPr>
        <w:t xml:space="preserve"> for a </w:t>
      </w:r>
      <w:r w:rsidRPr="00EC02CA">
        <w:rPr>
          <w:rFonts w:eastAsia="Aptos"/>
        </w:rPr>
        <w:t xml:space="preserve">trial. We need a complainant. It needs to be a </w:t>
      </w:r>
      <w:r w:rsidRPr="00EC02CA">
        <w:t>reliable</w:t>
      </w:r>
      <w:r w:rsidRPr="00EC02CA">
        <w:rPr>
          <w:rFonts w:eastAsia="Aptos"/>
        </w:rPr>
        <w:t xml:space="preserve"> complainant to make it a reliable witness statement and then we will consider whether or not we</w:t>
      </w:r>
      <w:r w:rsidR="00C72D0E" w:rsidRPr="00EC02CA">
        <w:rPr>
          <w:rFonts w:eastAsia="Aptos"/>
        </w:rPr>
        <w:t>’</w:t>
      </w:r>
      <w:r w:rsidRPr="00EC02CA">
        <w:rPr>
          <w:rFonts w:eastAsia="Aptos"/>
        </w:rPr>
        <w:t xml:space="preserve">re going to </w:t>
      </w:r>
      <w:r w:rsidR="00154629" w:rsidRPr="00EC02CA">
        <w:rPr>
          <w:rFonts w:eastAsia="Aptos"/>
        </w:rPr>
        <w:t>proceed</w:t>
      </w:r>
      <w:r w:rsidRPr="00EC02CA">
        <w:rPr>
          <w:rFonts w:eastAsia="Aptos"/>
        </w:rPr>
        <w:t>. Without those things</w:t>
      </w:r>
      <w:r w:rsidR="00FE1D03" w:rsidRPr="00EC02CA">
        <w:rPr>
          <w:rFonts w:eastAsia="Aptos"/>
        </w:rPr>
        <w:t>,</w:t>
      </w:r>
      <w:r w:rsidRPr="00EC02CA">
        <w:rPr>
          <w:rFonts w:eastAsia="Aptos"/>
        </w:rPr>
        <w:t xml:space="preserve"> they</w:t>
      </w:r>
      <w:r w:rsidR="00C72D0E" w:rsidRPr="00EC02CA">
        <w:rPr>
          <w:rFonts w:eastAsia="Aptos"/>
        </w:rPr>
        <w:t>’</w:t>
      </w:r>
      <w:r w:rsidRPr="00EC02CA">
        <w:rPr>
          <w:rFonts w:eastAsia="Aptos"/>
        </w:rPr>
        <w:t>ll go there</w:t>
      </w:r>
      <w:r w:rsidR="00C72D0E" w:rsidRPr="00EC02CA">
        <w:rPr>
          <w:rFonts w:eastAsia="Aptos"/>
        </w:rPr>
        <w:t>’</w:t>
      </w:r>
      <w:r w:rsidRPr="00EC02CA">
        <w:rPr>
          <w:rFonts w:eastAsia="Aptos"/>
        </w:rPr>
        <w:t>s nothing we can do.</w:t>
      </w:r>
      <w:r w:rsidR="00A67198" w:rsidRPr="00EC02CA">
        <w:rPr>
          <w:rStyle w:val="FootnoteReference"/>
          <w:rFonts w:eastAsia="Aptos"/>
        </w:rPr>
        <w:footnoteReference w:id="590"/>
      </w:r>
      <w:r w:rsidRPr="00EC02CA">
        <w:rPr>
          <w:rFonts w:eastAsia="Aptos"/>
        </w:rPr>
        <w:t xml:space="preserve"> </w:t>
      </w:r>
    </w:p>
    <w:p w14:paraId="33F063B5" w14:textId="2AFC3705" w:rsidR="009606A8" w:rsidRPr="00EC02CA" w:rsidRDefault="0079180E" w:rsidP="00A920EC">
      <w:pPr>
        <w:pStyle w:val="Indentedquote"/>
        <w:rPr>
          <w:rFonts w:ascii="Aptos" w:eastAsia="Aptos" w:hAnsi="Aptos"/>
          <w:kern w:val="2"/>
          <w:szCs w:val="22"/>
          <w14:ligatures w14:val="standardContextual"/>
        </w:rPr>
      </w:pPr>
      <w:r w:rsidRPr="00EC02CA">
        <w:rPr>
          <w:rFonts w:eastAsia="Aptos"/>
        </w:rPr>
        <w:t xml:space="preserve">And unless we </w:t>
      </w:r>
      <w:r w:rsidR="000E41D8" w:rsidRPr="00EC02CA">
        <w:rPr>
          <w:rFonts w:eastAsia="Aptos"/>
        </w:rPr>
        <w:t xml:space="preserve">can </w:t>
      </w:r>
      <w:r w:rsidRPr="00EC02CA">
        <w:rPr>
          <w:rFonts w:eastAsia="Aptos"/>
        </w:rPr>
        <w:t>get a conviction</w:t>
      </w:r>
      <w:r w:rsidR="000E41D8" w:rsidRPr="00EC02CA">
        <w:rPr>
          <w:rFonts w:eastAsia="Aptos"/>
        </w:rPr>
        <w:t>, p</w:t>
      </w:r>
      <w:r w:rsidRPr="00EC02CA">
        <w:rPr>
          <w:rFonts w:eastAsia="Aptos"/>
        </w:rPr>
        <w:t>rosecution isn</w:t>
      </w:r>
      <w:r w:rsidR="00C72D0E" w:rsidRPr="00EC02CA">
        <w:rPr>
          <w:rFonts w:eastAsia="Aptos"/>
        </w:rPr>
        <w:t>’</w:t>
      </w:r>
      <w:r w:rsidRPr="00EC02CA">
        <w:rPr>
          <w:rFonts w:eastAsia="Aptos"/>
        </w:rPr>
        <w:t xml:space="preserve">t going to touch it. And if </w:t>
      </w:r>
      <w:r w:rsidR="000E41D8" w:rsidRPr="00EC02CA">
        <w:rPr>
          <w:rFonts w:eastAsia="Aptos"/>
        </w:rPr>
        <w:t>p</w:t>
      </w:r>
      <w:r w:rsidRPr="00EC02CA">
        <w:rPr>
          <w:rFonts w:eastAsia="Aptos"/>
        </w:rPr>
        <w:t>rosecution isn’t going to touch it then we</w:t>
      </w:r>
      <w:r w:rsidR="00C72D0E" w:rsidRPr="00EC02CA">
        <w:rPr>
          <w:rFonts w:eastAsia="Aptos"/>
        </w:rPr>
        <w:t>’</w:t>
      </w:r>
      <w:r w:rsidRPr="00EC02CA">
        <w:rPr>
          <w:rFonts w:eastAsia="Aptos"/>
        </w:rPr>
        <w:t>re not going to waste police time because we don</w:t>
      </w:r>
      <w:r w:rsidR="00C72D0E" w:rsidRPr="00EC02CA">
        <w:rPr>
          <w:rFonts w:eastAsia="Aptos"/>
        </w:rPr>
        <w:t>’</w:t>
      </w:r>
      <w:r w:rsidRPr="00EC02CA">
        <w:rPr>
          <w:rFonts w:eastAsia="Aptos"/>
        </w:rPr>
        <w:t>t have the resources. And then that</w:t>
      </w:r>
      <w:r w:rsidR="00C72D0E" w:rsidRPr="00EC02CA">
        <w:rPr>
          <w:rFonts w:eastAsia="Aptos"/>
        </w:rPr>
        <w:t>’</w:t>
      </w:r>
      <w:r w:rsidRPr="00EC02CA">
        <w:rPr>
          <w:rFonts w:eastAsia="Aptos"/>
        </w:rPr>
        <w:t>s the message that gets sent. And that</w:t>
      </w:r>
      <w:r w:rsidR="00C72D0E" w:rsidRPr="00EC02CA">
        <w:rPr>
          <w:rFonts w:eastAsia="Aptos"/>
        </w:rPr>
        <w:t>’</w:t>
      </w:r>
      <w:r w:rsidRPr="00EC02CA">
        <w:rPr>
          <w:rFonts w:eastAsia="Aptos"/>
        </w:rPr>
        <w:t>s the message that gets heard.</w:t>
      </w:r>
      <w:r w:rsidR="000E41D8" w:rsidRPr="00EC02CA">
        <w:rPr>
          <w:rStyle w:val="FootnoteReference"/>
          <w:rFonts w:eastAsia="Aptos"/>
        </w:rPr>
        <w:footnoteReference w:id="591"/>
      </w:r>
      <w:r w:rsidRPr="00EC02CA">
        <w:rPr>
          <w:rFonts w:eastAsia="Aptos"/>
        </w:rPr>
        <w:t xml:space="preserve"> </w:t>
      </w:r>
    </w:p>
    <w:p w14:paraId="30FA5875" w14:textId="6EA5E2C6" w:rsidR="00CB689F" w:rsidRPr="00EC02CA" w:rsidRDefault="009606A8" w:rsidP="00A920EC">
      <w:pPr>
        <w:pStyle w:val="Indentedquote"/>
        <w:rPr>
          <w:rFonts w:ascii="Aptos" w:eastAsia="Aptos" w:hAnsi="Aptos"/>
          <w:kern w:val="2"/>
          <w:szCs w:val="22"/>
          <w14:ligatures w14:val="standardContextual"/>
        </w:rPr>
      </w:pPr>
      <w:r w:rsidRPr="00EC02CA">
        <w:rPr>
          <w:lang w:eastAsia="en-AU"/>
        </w:rPr>
        <w:t>I</w:t>
      </w:r>
      <w:r w:rsidR="00793802" w:rsidRPr="00EC02CA">
        <w:rPr>
          <w:lang w:eastAsia="en-AU"/>
        </w:rPr>
        <w:t>t</w:t>
      </w:r>
      <w:r w:rsidR="00C72D0E" w:rsidRPr="00EC02CA">
        <w:rPr>
          <w:lang w:eastAsia="en-AU"/>
        </w:rPr>
        <w:t>’</w:t>
      </w:r>
      <w:r w:rsidR="00793802" w:rsidRPr="00EC02CA">
        <w:rPr>
          <w:lang w:eastAsia="en-AU"/>
        </w:rPr>
        <w:t>s very hard to prosecute anything if you have a victim that</w:t>
      </w:r>
      <w:r w:rsidR="00C72D0E" w:rsidRPr="00EC02CA">
        <w:rPr>
          <w:lang w:eastAsia="en-AU"/>
        </w:rPr>
        <w:t>’</w:t>
      </w:r>
      <w:r w:rsidR="00793802" w:rsidRPr="00EC02CA">
        <w:rPr>
          <w:lang w:eastAsia="en-AU"/>
        </w:rPr>
        <w:t>s not prepared to make a statement.</w:t>
      </w:r>
      <w:r w:rsidR="00793802" w:rsidRPr="00EC02CA">
        <w:rPr>
          <w:rStyle w:val="FootnoteReference"/>
          <w:lang w:eastAsia="en-AU"/>
        </w:rPr>
        <w:footnoteReference w:id="592"/>
      </w:r>
    </w:p>
    <w:p w14:paraId="2A49B1FD" w14:textId="6CF9B7E5" w:rsidR="0079180E" w:rsidRPr="00EC02CA" w:rsidRDefault="00CB689F" w:rsidP="00A920EC">
      <w:pPr>
        <w:pStyle w:val="NumberlessNormalText"/>
      </w:pPr>
      <w:r w:rsidRPr="00EC02CA">
        <w:rPr>
          <w:b/>
          <w:bCs/>
        </w:rPr>
        <w:t xml:space="preserve">Other issues raised in the interviews related to </w:t>
      </w:r>
      <w:r w:rsidR="004238A4" w:rsidRPr="00EC02CA">
        <w:rPr>
          <w:b/>
          <w:bCs/>
        </w:rPr>
        <w:t xml:space="preserve">police understanding of </w:t>
      </w:r>
      <w:r w:rsidR="00ED2DC8" w:rsidRPr="00EC02CA">
        <w:rPr>
          <w:b/>
          <w:bCs/>
        </w:rPr>
        <w:t>sexual offences</w:t>
      </w:r>
      <w:r w:rsidR="00913EAB" w:rsidRPr="00EC02CA">
        <w:t xml:space="preserve"> </w:t>
      </w:r>
      <w:r w:rsidR="0079180E" w:rsidRPr="00EC02CA">
        <w:t>(13 interviews)</w:t>
      </w:r>
      <w:r w:rsidR="0020783F" w:rsidRPr="00EC02CA">
        <w:t>:</w:t>
      </w:r>
    </w:p>
    <w:p w14:paraId="683DFCBE" w14:textId="7B846D7F" w:rsidR="0079180E" w:rsidRPr="00EC02CA" w:rsidRDefault="0079180E" w:rsidP="00A920EC">
      <w:pPr>
        <w:pStyle w:val="Indentedquote"/>
        <w:rPr>
          <w:rFonts w:eastAsia="Aptos"/>
        </w:rPr>
      </w:pPr>
      <w:r w:rsidRPr="00EC02CA">
        <w:rPr>
          <w:rFonts w:eastAsia="Aptos"/>
        </w:rPr>
        <w:t>The police didn</w:t>
      </w:r>
      <w:r w:rsidR="00C72D0E" w:rsidRPr="00EC02CA">
        <w:rPr>
          <w:rFonts w:eastAsia="Aptos"/>
        </w:rPr>
        <w:t>’</w:t>
      </w:r>
      <w:r w:rsidRPr="00EC02CA">
        <w:rPr>
          <w:rFonts w:eastAsia="Aptos"/>
        </w:rPr>
        <w:t>t see it as child sexual exploitation.</w:t>
      </w:r>
      <w:r w:rsidR="00460A0C" w:rsidRPr="00EC02CA">
        <w:rPr>
          <w:rFonts w:eastAsia="Aptos"/>
        </w:rPr>
        <w:t xml:space="preserve"> </w:t>
      </w:r>
      <w:r w:rsidRPr="00EC02CA">
        <w:rPr>
          <w:rFonts w:eastAsia="Aptos"/>
        </w:rPr>
        <w:t>They saw it as her choosing to be a sexual young</w:t>
      </w:r>
      <w:r w:rsidR="00385BA7" w:rsidRPr="00EC02CA">
        <w:rPr>
          <w:rFonts w:eastAsia="Aptos"/>
        </w:rPr>
        <w:t xml:space="preserve"> </w:t>
      </w:r>
      <w:r w:rsidRPr="00EC02CA">
        <w:rPr>
          <w:lang w:eastAsia="en-AU"/>
        </w:rPr>
        <w:t>adult</w:t>
      </w:r>
      <w:r w:rsidRPr="00EC02CA">
        <w:rPr>
          <w:rFonts w:eastAsia="Aptos"/>
        </w:rPr>
        <w:t>, I suppose.</w:t>
      </w:r>
      <w:r w:rsidR="00335B90" w:rsidRPr="00EC02CA">
        <w:rPr>
          <w:rFonts w:eastAsia="Aptos"/>
        </w:rPr>
        <w:t xml:space="preserve"> </w:t>
      </w:r>
      <w:r w:rsidRPr="00EC02CA">
        <w:rPr>
          <w:rFonts w:eastAsia="Aptos"/>
        </w:rPr>
        <w:t>And that they saw her as choosing</w:t>
      </w:r>
      <w:r w:rsidR="00C72D0E" w:rsidRPr="00EC02CA">
        <w:rPr>
          <w:rFonts w:eastAsia="Aptos"/>
        </w:rPr>
        <w:t>,</w:t>
      </w:r>
      <w:r w:rsidRPr="00EC02CA">
        <w:rPr>
          <w:rFonts w:eastAsia="Aptos"/>
        </w:rPr>
        <w:t xml:space="preserve"> whereas the school staff saw her </w:t>
      </w:r>
      <w:r w:rsidR="00C72D0E" w:rsidRPr="00EC02CA">
        <w:rPr>
          <w:rFonts w:eastAsia="Aptos"/>
        </w:rPr>
        <w:t xml:space="preserve">… </w:t>
      </w:r>
      <w:r w:rsidRPr="00EC02CA">
        <w:rPr>
          <w:rFonts w:eastAsia="Aptos"/>
        </w:rPr>
        <w:t>more as being exploited.</w:t>
      </w:r>
      <w:r w:rsidR="00460A0C" w:rsidRPr="00EC02CA">
        <w:rPr>
          <w:rStyle w:val="FootnoteReference"/>
          <w:rFonts w:eastAsia="Aptos"/>
        </w:rPr>
        <w:footnoteReference w:id="593"/>
      </w:r>
    </w:p>
    <w:p w14:paraId="3CBD02D1" w14:textId="5640CADC" w:rsidR="0079180E" w:rsidRPr="00EC02CA" w:rsidRDefault="002A13F2" w:rsidP="00A920EC">
      <w:pPr>
        <w:pStyle w:val="Indentedquote"/>
        <w:rPr>
          <w:rFonts w:eastAsia="Aptos"/>
        </w:rPr>
      </w:pPr>
      <w:r w:rsidRPr="00EC02CA">
        <w:rPr>
          <w:rFonts w:eastAsia="Aptos"/>
        </w:rPr>
        <w:t>T</w:t>
      </w:r>
      <w:r w:rsidR="0079180E" w:rsidRPr="00EC02CA">
        <w:rPr>
          <w:rFonts w:eastAsia="Aptos"/>
        </w:rPr>
        <w:t>he responses that police give either to victim</w:t>
      </w:r>
      <w:r w:rsidR="00FE1D03" w:rsidRPr="00EC02CA">
        <w:rPr>
          <w:rFonts w:eastAsia="Aptos"/>
        </w:rPr>
        <w:t>-</w:t>
      </w:r>
      <w:r w:rsidR="0079180E" w:rsidRPr="00EC02CA">
        <w:rPr>
          <w:rFonts w:eastAsia="Aptos"/>
        </w:rPr>
        <w:t>survivors and or to offenders have been pretty lacklustre. We</w:t>
      </w:r>
      <w:r w:rsidR="00C72D0E" w:rsidRPr="00EC02CA">
        <w:rPr>
          <w:rFonts w:eastAsia="Aptos"/>
        </w:rPr>
        <w:t>’</w:t>
      </w:r>
      <w:r w:rsidR="0079180E" w:rsidRPr="00EC02CA">
        <w:rPr>
          <w:rFonts w:eastAsia="Aptos"/>
        </w:rPr>
        <w:t xml:space="preserve">ve got multiple examples of </w:t>
      </w:r>
      <w:r w:rsidR="00C72D0E" w:rsidRPr="00EC02CA">
        <w:rPr>
          <w:rFonts w:eastAsia="Aptos"/>
        </w:rPr>
        <w:t>…</w:t>
      </w:r>
      <w:r w:rsidR="0079180E" w:rsidRPr="00EC02CA">
        <w:rPr>
          <w:rFonts w:eastAsia="Aptos"/>
        </w:rPr>
        <w:t xml:space="preserve"> people going to police around their experiences of being harmed, and either the police kind of being dismissive or</w:t>
      </w:r>
      <w:r w:rsidR="00B65F61" w:rsidRPr="00EC02CA">
        <w:rPr>
          <w:rFonts w:eastAsia="Aptos"/>
        </w:rPr>
        <w:t xml:space="preserve"> [engag</w:t>
      </w:r>
      <w:r w:rsidR="00C72D0E" w:rsidRPr="00EC02CA">
        <w:rPr>
          <w:rFonts w:eastAsia="Aptos"/>
        </w:rPr>
        <w:t>ing</w:t>
      </w:r>
      <w:r w:rsidR="00B65F61" w:rsidRPr="00EC02CA">
        <w:rPr>
          <w:rFonts w:eastAsia="Aptos"/>
        </w:rPr>
        <w:t xml:space="preserve"> in]</w:t>
      </w:r>
      <w:r w:rsidR="0079180E" w:rsidRPr="00EC02CA">
        <w:rPr>
          <w:rFonts w:eastAsia="Aptos"/>
        </w:rPr>
        <w:t xml:space="preserve"> victim blaming or</w:t>
      </w:r>
      <w:r w:rsidR="00C72D0E" w:rsidRPr="00EC02CA">
        <w:rPr>
          <w:rFonts w:eastAsia="Aptos"/>
        </w:rPr>
        <w:t>,</w:t>
      </w:r>
      <w:r w:rsidR="0079180E" w:rsidRPr="00EC02CA">
        <w:rPr>
          <w:rFonts w:eastAsia="Aptos"/>
        </w:rPr>
        <w:t xml:space="preserve"> you know</w:t>
      </w:r>
      <w:r w:rsidR="00C72D0E" w:rsidRPr="00EC02CA">
        <w:rPr>
          <w:rFonts w:eastAsia="Aptos"/>
        </w:rPr>
        <w:t>,</w:t>
      </w:r>
      <w:r w:rsidR="0079180E" w:rsidRPr="00EC02CA">
        <w:rPr>
          <w:rFonts w:eastAsia="Aptos"/>
        </w:rPr>
        <w:t xml:space="preserve"> there</w:t>
      </w:r>
      <w:r w:rsidR="00C72D0E" w:rsidRPr="00EC02CA">
        <w:rPr>
          <w:rFonts w:eastAsia="Aptos"/>
        </w:rPr>
        <w:t>’</w:t>
      </w:r>
      <w:r w:rsidR="0079180E" w:rsidRPr="00EC02CA">
        <w:rPr>
          <w:rFonts w:eastAsia="Aptos"/>
        </w:rPr>
        <w:t xml:space="preserve">s been many examples where particularly young women who are online </w:t>
      </w:r>
      <w:r w:rsidR="00C72D0E" w:rsidRPr="00EC02CA">
        <w:rPr>
          <w:rFonts w:eastAsia="Aptos"/>
        </w:rPr>
        <w:t>…</w:t>
      </w:r>
      <w:r w:rsidR="0079180E" w:rsidRPr="00EC02CA">
        <w:rPr>
          <w:rFonts w:eastAsia="Aptos"/>
        </w:rPr>
        <w:t xml:space="preserve"> who are told things like</w:t>
      </w:r>
      <w:r w:rsidR="00C72D0E" w:rsidRPr="00EC02CA">
        <w:rPr>
          <w:rFonts w:eastAsia="Aptos"/>
        </w:rPr>
        <w:t>,</w:t>
      </w:r>
      <w:r w:rsidR="0079180E" w:rsidRPr="00EC02CA">
        <w:rPr>
          <w:rFonts w:eastAsia="Aptos"/>
        </w:rPr>
        <w:t xml:space="preserve"> </w:t>
      </w:r>
      <w:r w:rsidR="006C7A14" w:rsidRPr="00EC02CA">
        <w:rPr>
          <w:rFonts w:eastAsia="Aptos"/>
        </w:rPr>
        <w:t>’</w:t>
      </w:r>
      <w:r w:rsidR="0079180E" w:rsidRPr="00EC02CA">
        <w:rPr>
          <w:rFonts w:eastAsia="Aptos"/>
        </w:rPr>
        <w:t>well, you shouldn't have taken a photo of yourself in the first place</w:t>
      </w:r>
      <w:r w:rsidR="00C72D0E" w:rsidRPr="00EC02CA">
        <w:rPr>
          <w:rFonts w:eastAsia="Aptos"/>
        </w:rPr>
        <w:t>’</w:t>
      </w:r>
      <w:r w:rsidR="0079180E" w:rsidRPr="00EC02CA">
        <w:rPr>
          <w:rFonts w:eastAsia="Aptos"/>
        </w:rPr>
        <w:t xml:space="preserve">. </w:t>
      </w:r>
      <w:r w:rsidR="00C72D0E" w:rsidRPr="00EC02CA">
        <w:rPr>
          <w:rFonts w:eastAsia="Aptos"/>
        </w:rPr>
        <w:t>…</w:t>
      </w:r>
      <w:r w:rsidR="0079180E" w:rsidRPr="00EC02CA">
        <w:rPr>
          <w:rFonts w:eastAsia="Aptos"/>
        </w:rPr>
        <w:t xml:space="preserve"> </w:t>
      </w:r>
      <w:r w:rsidR="00C72D0E" w:rsidRPr="00EC02CA">
        <w:rPr>
          <w:rFonts w:eastAsia="Aptos"/>
        </w:rPr>
        <w:t>[S]</w:t>
      </w:r>
      <w:r w:rsidR="0079180E" w:rsidRPr="00EC02CA">
        <w:rPr>
          <w:rFonts w:eastAsia="Aptos"/>
        </w:rPr>
        <w:t>o some real victim</w:t>
      </w:r>
      <w:r w:rsidR="00C72D0E" w:rsidRPr="00EC02CA">
        <w:rPr>
          <w:rFonts w:eastAsia="Aptos"/>
        </w:rPr>
        <w:t>-</w:t>
      </w:r>
      <w:r w:rsidR="0079180E" w:rsidRPr="00EC02CA">
        <w:rPr>
          <w:rFonts w:eastAsia="Aptos"/>
        </w:rPr>
        <w:t xml:space="preserve">blaming kind of attitudes that we </w:t>
      </w:r>
      <w:r w:rsidR="00C72D0E" w:rsidRPr="00EC02CA">
        <w:rPr>
          <w:rFonts w:eastAsia="Aptos"/>
        </w:rPr>
        <w:t xml:space="preserve">see. </w:t>
      </w:r>
      <w:r w:rsidR="0049662F" w:rsidRPr="00EC02CA">
        <w:rPr>
          <w:rFonts w:eastAsia="Aptos"/>
        </w:rPr>
        <w:t>[But] n</w:t>
      </w:r>
      <w:r w:rsidR="0079180E" w:rsidRPr="00EC02CA">
        <w:rPr>
          <w:rFonts w:eastAsia="Aptos"/>
        </w:rPr>
        <w:t>ow that experience is much better if people go to the right police, like if they go to Sex Crimes to start with</w:t>
      </w:r>
      <w:r w:rsidR="00C72D0E" w:rsidRPr="00EC02CA">
        <w:rPr>
          <w:rFonts w:eastAsia="Aptos"/>
        </w:rPr>
        <w:t>,</w:t>
      </w:r>
      <w:r w:rsidR="0079180E" w:rsidRPr="00EC02CA">
        <w:rPr>
          <w:rFonts w:eastAsia="Aptos"/>
        </w:rPr>
        <w:t xml:space="preserve"> or if they go to an </w:t>
      </w:r>
      <w:r w:rsidRPr="00EC02CA">
        <w:rPr>
          <w:rFonts w:eastAsia="Aptos"/>
        </w:rPr>
        <w:t>A</w:t>
      </w:r>
      <w:r w:rsidR="004238A4" w:rsidRPr="00EC02CA">
        <w:rPr>
          <w:rFonts w:eastAsia="Aptos"/>
        </w:rPr>
        <w:t>rch</w:t>
      </w:r>
      <w:r w:rsidR="0079180E" w:rsidRPr="00EC02CA">
        <w:rPr>
          <w:rFonts w:eastAsia="Aptos"/>
        </w:rPr>
        <w:t xml:space="preserve"> they</w:t>
      </w:r>
      <w:r w:rsidR="00C72D0E" w:rsidRPr="00EC02CA">
        <w:rPr>
          <w:rFonts w:eastAsia="Aptos"/>
        </w:rPr>
        <w:t>’</w:t>
      </w:r>
      <w:r w:rsidR="0079180E" w:rsidRPr="00EC02CA">
        <w:rPr>
          <w:rFonts w:eastAsia="Aptos"/>
        </w:rPr>
        <w:t>re not gonna get that response</w:t>
      </w:r>
      <w:r w:rsidR="00285D57" w:rsidRPr="00EC02CA">
        <w:rPr>
          <w:rFonts w:eastAsia="Aptos"/>
        </w:rPr>
        <w:t>.</w:t>
      </w:r>
      <w:r w:rsidR="00285D57" w:rsidRPr="00EC02CA">
        <w:rPr>
          <w:rStyle w:val="FootnoteReference"/>
          <w:rFonts w:eastAsia="Aptos"/>
        </w:rPr>
        <w:footnoteReference w:id="594"/>
      </w:r>
    </w:p>
    <w:p w14:paraId="41FC9BED" w14:textId="651E577D" w:rsidR="0079180E" w:rsidRPr="00EC02CA" w:rsidRDefault="0079180E" w:rsidP="00A920EC">
      <w:pPr>
        <w:pStyle w:val="NumberlessNormalText"/>
      </w:pPr>
      <w:r w:rsidRPr="00EC02CA">
        <w:rPr>
          <w:b/>
          <w:bCs/>
        </w:rPr>
        <w:t>Lack of trust in police</w:t>
      </w:r>
      <w:r w:rsidRPr="00EC02CA">
        <w:t xml:space="preserve"> (</w:t>
      </w:r>
      <w:r w:rsidR="0013249D" w:rsidRPr="00EC02CA">
        <w:t>10</w:t>
      </w:r>
      <w:r w:rsidRPr="00EC02CA">
        <w:t xml:space="preserve"> interviews)</w:t>
      </w:r>
      <w:r w:rsidR="0020783F" w:rsidRPr="00EC02CA">
        <w:t>:</w:t>
      </w:r>
    </w:p>
    <w:p w14:paraId="12F6AEBD" w14:textId="3A06CC64" w:rsidR="0079180E" w:rsidRPr="00EC02CA" w:rsidRDefault="0079180E" w:rsidP="00A920EC">
      <w:pPr>
        <w:pStyle w:val="Indentedquote"/>
        <w:rPr>
          <w:rFonts w:eastAsia="Aptos"/>
        </w:rPr>
      </w:pPr>
      <w:r w:rsidRPr="00EC02CA">
        <w:rPr>
          <w:rFonts w:eastAsia="Aptos"/>
        </w:rPr>
        <w:t>There</w:t>
      </w:r>
      <w:r w:rsidR="00C72D0E" w:rsidRPr="00EC02CA">
        <w:rPr>
          <w:rFonts w:eastAsia="Aptos"/>
        </w:rPr>
        <w:t>’</w:t>
      </w:r>
      <w:r w:rsidRPr="00EC02CA">
        <w:rPr>
          <w:rFonts w:eastAsia="Aptos"/>
        </w:rPr>
        <w:t>s the culture of the street</w:t>
      </w:r>
      <w:r w:rsidR="00086491" w:rsidRPr="00EC02CA">
        <w:rPr>
          <w:rFonts w:eastAsia="Aptos"/>
        </w:rPr>
        <w:t>. …</w:t>
      </w:r>
      <w:r w:rsidRPr="00EC02CA">
        <w:rPr>
          <w:rFonts w:eastAsia="Aptos"/>
        </w:rPr>
        <w:t xml:space="preserve"> </w:t>
      </w:r>
      <w:r w:rsidR="00086491" w:rsidRPr="00EC02CA">
        <w:rPr>
          <w:rFonts w:eastAsia="Aptos"/>
        </w:rPr>
        <w:t>Some young people</w:t>
      </w:r>
      <w:r w:rsidRPr="00EC02CA">
        <w:rPr>
          <w:rFonts w:eastAsia="Aptos"/>
        </w:rPr>
        <w:t xml:space="preserve"> suff</w:t>
      </w:r>
      <w:r w:rsidR="00F7334E" w:rsidRPr="00EC02CA">
        <w:rPr>
          <w:rFonts w:eastAsia="Aptos"/>
        </w:rPr>
        <w:t>er</w:t>
      </w:r>
      <w:r w:rsidRPr="00EC02CA">
        <w:rPr>
          <w:rFonts w:eastAsia="Aptos"/>
        </w:rPr>
        <w:t xml:space="preserve"> that generational neglect and abuse and having been imbued</w:t>
      </w:r>
      <w:r w:rsidR="00CF2B09">
        <w:rPr>
          <w:rFonts w:eastAsia="Aptos"/>
        </w:rPr>
        <w:t>;</w:t>
      </w:r>
      <w:r w:rsidRPr="00EC02CA">
        <w:rPr>
          <w:rFonts w:eastAsia="Aptos"/>
        </w:rPr>
        <w:t xml:space="preserve"> they</w:t>
      </w:r>
      <w:r w:rsidR="00C72D0E" w:rsidRPr="00EC02CA">
        <w:rPr>
          <w:rFonts w:eastAsia="Aptos"/>
        </w:rPr>
        <w:t>’</w:t>
      </w:r>
      <w:r w:rsidRPr="00EC02CA">
        <w:rPr>
          <w:rFonts w:eastAsia="Aptos"/>
        </w:rPr>
        <w:t>re imbued with that distrust. And dare I say it</w:t>
      </w:r>
      <w:r w:rsidR="00C72D0E" w:rsidRPr="00EC02CA">
        <w:rPr>
          <w:rFonts w:eastAsia="Aptos"/>
        </w:rPr>
        <w:t>,</w:t>
      </w:r>
      <w:r w:rsidRPr="00EC02CA">
        <w:rPr>
          <w:rFonts w:eastAsia="Aptos"/>
        </w:rPr>
        <w:t xml:space="preserve"> there is a hatred of authority figures. So police find it hard to crack that silence. </w:t>
      </w:r>
      <w:r w:rsidR="00086491" w:rsidRPr="00EC02CA">
        <w:rPr>
          <w:rFonts w:eastAsia="Aptos"/>
        </w:rPr>
        <w:t>[Those families]</w:t>
      </w:r>
      <w:r w:rsidRPr="00EC02CA">
        <w:rPr>
          <w:rFonts w:eastAsia="Aptos"/>
        </w:rPr>
        <w:t xml:space="preserve"> tend to deal with it in</w:t>
      </w:r>
      <w:r w:rsidR="00C72D0E" w:rsidRPr="00EC02CA">
        <w:rPr>
          <w:rFonts w:eastAsia="Aptos"/>
        </w:rPr>
        <w:t>-</w:t>
      </w:r>
      <w:r w:rsidRPr="00EC02CA">
        <w:rPr>
          <w:rFonts w:eastAsia="Aptos"/>
        </w:rPr>
        <w:t xml:space="preserve">house, </w:t>
      </w:r>
      <w:r w:rsidR="00086491" w:rsidRPr="00EC02CA">
        <w:rPr>
          <w:rFonts w:eastAsia="Aptos"/>
        </w:rPr>
        <w:t>and not involve</w:t>
      </w:r>
      <w:r w:rsidRPr="00EC02CA">
        <w:rPr>
          <w:rFonts w:eastAsia="Aptos"/>
        </w:rPr>
        <w:t xml:space="preserve"> the police.</w:t>
      </w:r>
      <w:r w:rsidR="007C1AF7" w:rsidRPr="00EC02CA">
        <w:rPr>
          <w:rStyle w:val="FootnoteReference"/>
          <w:rFonts w:eastAsia="Aptos"/>
        </w:rPr>
        <w:footnoteReference w:id="595"/>
      </w:r>
    </w:p>
    <w:p w14:paraId="1C9A41C2" w14:textId="6F45039B" w:rsidR="0079180E" w:rsidRPr="00EC02CA" w:rsidRDefault="00A773AF" w:rsidP="00A920EC">
      <w:pPr>
        <w:pStyle w:val="Indentedquote"/>
        <w:rPr>
          <w:rFonts w:eastAsia="Aptos"/>
        </w:rPr>
      </w:pPr>
      <w:r w:rsidRPr="00EC02CA">
        <w:rPr>
          <w:rFonts w:eastAsia="Aptos"/>
        </w:rPr>
        <w:t>They</w:t>
      </w:r>
      <w:r w:rsidR="0079180E" w:rsidRPr="00EC02CA">
        <w:rPr>
          <w:rFonts w:eastAsia="Aptos"/>
        </w:rPr>
        <w:t xml:space="preserve"> don</w:t>
      </w:r>
      <w:r w:rsidR="00C72D0E" w:rsidRPr="00EC02CA">
        <w:rPr>
          <w:rFonts w:eastAsia="Aptos"/>
        </w:rPr>
        <w:t>’</w:t>
      </w:r>
      <w:r w:rsidR="0079180E" w:rsidRPr="00EC02CA">
        <w:rPr>
          <w:rFonts w:eastAsia="Aptos"/>
        </w:rPr>
        <w:t>t believe there is a</w:t>
      </w:r>
      <w:r w:rsidRPr="00EC02CA">
        <w:rPr>
          <w:rFonts w:eastAsia="Aptos"/>
        </w:rPr>
        <w:t xml:space="preserve"> </w:t>
      </w:r>
      <w:r w:rsidR="0079180E" w:rsidRPr="00EC02CA">
        <w:rPr>
          <w:rFonts w:eastAsia="Aptos"/>
        </w:rPr>
        <w:t>chance of conviction. I think that that definitely is something that</w:t>
      </w:r>
      <w:r w:rsidRPr="00EC02CA">
        <w:rPr>
          <w:rFonts w:eastAsia="Aptos"/>
        </w:rPr>
        <w:t xml:space="preserve"> </w:t>
      </w:r>
      <w:r w:rsidR="0079180E" w:rsidRPr="00EC02CA">
        <w:rPr>
          <w:rFonts w:eastAsia="Aptos"/>
        </w:rPr>
        <w:t>will hamper trust of young people actually coming forward.</w:t>
      </w:r>
      <w:r w:rsidR="007C1AF7" w:rsidRPr="00EC02CA">
        <w:rPr>
          <w:rStyle w:val="FootnoteReference"/>
          <w:rFonts w:eastAsia="Aptos"/>
        </w:rPr>
        <w:footnoteReference w:id="596"/>
      </w:r>
    </w:p>
    <w:p w14:paraId="64D972AF" w14:textId="04DD3A06" w:rsidR="0079180E" w:rsidRPr="00EC02CA" w:rsidRDefault="00C805DC" w:rsidP="00A920EC">
      <w:pPr>
        <w:pStyle w:val="NumberlessNormalText"/>
      </w:pPr>
      <w:r w:rsidRPr="00EC02CA">
        <w:rPr>
          <w:b/>
          <w:bCs/>
        </w:rPr>
        <w:t>Issues r</w:t>
      </w:r>
      <w:r w:rsidR="000222DC" w:rsidRPr="00EC02CA">
        <w:rPr>
          <w:b/>
          <w:bCs/>
        </w:rPr>
        <w:t>elated</w:t>
      </w:r>
      <w:r w:rsidR="007B3C6E" w:rsidRPr="00EC02CA">
        <w:rPr>
          <w:b/>
          <w:bCs/>
        </w:rPr>
        <w:t xml:space="preserve"> to </w:t>
      </w:r>
      <w:r w:rsidR="000222DC" w:rsidRPr="00EC02CA">
        <w:rPr>
          <w:b/>
          <w:bCs/>
        </w:rPr>
        <w:t xml:space="preserve">misunderstandings about </w:t>
      </w:r>
      <w:r w:rsidR="007B3C6E" w:rsidRPr="00EC02CA">
        <w:rPr>
          <w:b/>
          <w:bCs/>
        </w:rPr>
        <w:t xml:space="preserve">the </w:t>
      </w:r>
      <w:r w:rsidR="000222DC" w:rsidRPr="00EC02CA">
        <w:rPr>
          <w:b/>
          <w:bCs/>
        </w:rPr>
        <w:t xml:space="preserve">role of police </w:t>
      </w:r>
      <w:r w:rsidR="004130CD" w:rsidRPr="00EC02CA">
        <w:rPr>
          <w:b/>
          <w:bCs/>
        </w:rPr>
        <w:t xml:space="preserve">and </w:t>
      </w:r>
      <w:r w:rsidR="000222DC" w:rsidRPr="00EC02CA">
        <w:rPr>
          <w:b/>
          <w:bCs/>
        </w:rPr>
        <w:t>m</w:t>
      </w:r>
      <w:r w:rsidR="0079180E" w:rsidRPr="00EC02CA">
        <w:rPr>
          <w:b/>
          <w:bCs/>
        </w:rPr>
        <w:t>anaging community expectations</w:t>
      </w:r>
      <w:r w:rsidR="000222DC" w:rsidRPr="00EC02CA">
        <w:t xml:space="preserve"> </w:t>
      </w:r>
      <w:r w:rsidR="0079180E" w:rsidRPr="00EC02CA">
        <w:t>(11 interviews)</w:t>
      </w:r>
      <w:r w:rsidR="000222DC" w:rsidRPr="00EC02CA">
        <w:t>:</w:t>
      </w:r>
    </w:p>
    <w:p w14:paraId="2A82CA32" w14:textId="76E4D74F" w:rsidR="000222DC" w:rsidRPr="00EC02CA" w:rsidRDefault="000222DC" w:rsidP="00A920EC">
      <w:pPr>
        <w:pStyle w:val="Indentedquote"/>
        <w:rPr>
          <w:rFonts w:eastAsia="Aptos"/>
        </w:rPr>
      </w:pPr>
      <w:r w:rsidRPr="00EC02CA">
        <w:rPr>
          <w:rFonts w:eastAsia="Aptos"/>
        </w:rPr>
        <w:t>I think parents are probably the worst because parents, especially when their son or daughter</w:t>
      </w:r>
      <w:r w:rsidR="00C72D0E" w:rsidRPr="00EC02CA">
        <w:rPr>
          <w:rFonts w:eastAsia="Aptos"/>
        </w:rPr>
        <w:t>’</w:t>
      </w:r>
      <w:r w:rsidRPr="00EC02CA">
        <w:rPr>
          <w:rFonts w:eastAsia="Aptos"/>
        </w:rPr>
        <w:t xml:space="preserve">s been sexually assaulted </w:t>
      </w:r>
      <w:r w:rsidR="00C72D0E" w:rsidRPr="00EC02CA">
        <w:rPr>
          <w:rFonts w:eastAsia="Aptos"/>
        </w:rPr>
        <w:t xml:space="preserve">… </w:t>
      </w:r>
      <w:r w:rsidRPr="00EC02CA">
        <w:rPr>
          <w:rFonts w:eastAsia="Aptos"/>
        </w:rPr>
        <w:t>they are of this belief that [police] just have this magic wand [they</w:t>
      </w:r>
      <w:r w:rsidR="00C72D0E" w:rsidRPr="00EC02CA">
        <w:rPr>
          <w:rFonts w:eastAsia="Aptos"/>
        </w:rPr>
        <w:t xml:space="preserve"> can</w:t>
      </w:r>
      <w:r w:rsidRPr="00EC02CA">
        <w:rPr>
          <w:rFonts w:eastAsia="Aptos"/>
        </w:rPr>
        <w:t>] wave and someone</w:t>
      </w:r>
      <w:r w:rsidR="00C72D0E" w:rsidRPr="00EC02CA">
        <w:rPr>
          <w:rFonts w:eastAsia="Aptos"/>
        </w:rPr>
        <w:t>’</w:t>
      </w:r>
      <w:r w:rsidRPr="00EC02CA">
        <w:rPr>
          <w:rFonts w:eastAsia="Aptos"/>
        </w:rPr>
        <w:t>s in jail the next day.</w:t>
      </w:r>
      <w:r w:rsidR="00335B90" w:rsidRPr="00EC02CA">
        <w:rPr>
          <w:rFonts w:eastAsia="Aptos"/>
        </w:rPr>
        <w:t xml:space="preserve"> </w:t>
      </w:r>
      <w:r w:rsidRPr="00EC02CA">
        <w:rPr>
          <w:rFonts w:eastAsia="Aptos"/>
        </w:rPr>
        <w:t xml:space="preserve">I think </w:t>
      </w:r>
      <w:r w:rsidR="00C72D0E" w:rsidRPr="00EC02CA">
        <w:rPr>
          <w:rFonts w:eastAsia="Aptos"/>
        </w:rPr>
        <w:t>…</w:t>
      </w:r>
      <w:r w:rsidRPr="00EC02CA">
        <w:rPr>
          <w:rFonts w:eastAsia="Aptos"/>
        </w:rPr>
        <w:t xml:space="preserve"> just trying to manage their expectations early on would help, I think </w:t>
      </w:r>
      <w:r w:rsidR="00C72D0E" w:rsidRPr="00EC02CA">
        <w:rPr>
          <w:rFonts w:eastAsia="Aptos"/>
        </w:rPr>
        <w:t xml:space="preserve">[explaining] </w:t>
      </w:r>
      <w:r w:rsidRPr="00EC02CA">
        <w:rPr>
          <w:rFonts w:eastAsia="Aptos"/>
        </w:rPr>
        <w:t>what [police] can and can</w:t>
      </w:r>
      <w:r w:rsidR="00C72D0E" w:rsidRPr="00EC02CA">
        <w:rPr>
          <w:rFonts w:eastAsia="Aptos"/>
        </w:rPr>
        <w:t>’</w:t>
      </w:r>
      <w:r w:rsidRPr="00EC02CA">
        <w:rPr>
          <w:rFonts w:eastAsia="Aptos"/>
        </w:rPr>
        <w:t>t do.</w:t>
      </w:r>
      <w:r w:rsidRPr="00EC02CA">
        <w:rPr>
          <w:rStyle w:val="FootnoteReference"/>
          <w:rFonts w:eastAsia="Aptos"/>
        </w:rPr>
        <w:footnoteReference w:id="597"/>
      </w:r>
    </w:p>
    <w:p w14:paraId="6FDBB7E8" w14:textId="1343A934" w:rsidR="00511134" w:rsidRPr="00EC02CA" w:rsidRDefault="00335B90" w:rsidP="00A920EC">
      <w:pPr>
        <w:pStyle w:val="Indentedquote"/>
        <w:rPr>
          <w:rFonts w:eastAsia="Aptos"/>
        </w:rPr>
      </w:pPr>
      <w:r w:rsidRPr="00EC02CA">
        <w:rPr>
          <w:rFonts w:eastAsia="Aptos"/>
        </w:rPr>
        <w:t>T</w:t>
      </w:r>
      <w:r w:rsidR="0079180E" w:rsidRPr="00EC02CA">
        <w:rPr>
          <w:rFonts w:eastAsia="Aptos"/>
        </w:rPr>
        <w:t>here</w:t>
      </w:r>
      <w:r w:rsidR="00C72D0E" w:rsidRPr="00EC02CA">
        <w:rPr>
          <w:rFonts w:eastAsia="Aptos"/>
        </w:rPr>
        <w:t>’</w:t>
      </w:r>
      <w:r w:rsidR="0079180E" w:rsidRPr="00EC02CA">
        <w:rPr>
          <w:rFonts w:eastAsia="Aptos"/>
        </w:rPr>
        <w:t>s a lot of harmful sexual behaviour that is happening that needs a more educative response</w:t>
      </w:r>
      <w:r w:rsidR="00CF2B09">
        <w:rPr>
          <w:rFonts w:eastAsia="Aptos"/>
        </w:rPr>
        <w:t>,</w:t>
      </w:r>
      <w:r w:rsidR="0079180E" w:rsidRPr="00EC02CA">
        <w:rPr>
          <w:rFonts w:eastAsia="Aptos"/>
        </w:rPr>
        <w:t xml:space="preserve"> and so police are kind of like, </w:t>
      </w:r>
      <w:r w:rsidR="000222DC" w:rsidRPr="00EC02CA">
        <w:rPr>
          <w:rFonts w:eastAsia="Aptos"/>
        </w:rPr>
        <w:t>‘</w:t>
      </w:r>
      <w:r w:rsidR="0079180E" w:rsidRPr="00EC02CA">
        <w:rPr>
          <w:rFonts w:eastAsia="Aptos"/>
        </w:rPr>
        <w:t>I don't know why you</w:t>
      </w:r>
      <w:r w:rsidR="00C72D0E" w:rsidRPr="00EC02CA">
        <w:rPr>
          <w:rFonts w:eastAsia="Aptos"/>
        </w:rPr>
        <w:t>’</w:t>
      </w:r>
      <w:r w:rsidR="0079180E" w:rsidRPr="00EC02CA">
        <w:rPr>
          <w:rFonts w:eastAsia="Aptos"/>
        </w:rPr>
        <w:t xml:space="preserve">re calling us about this because we are probably not the right people to address </w:t>
      </w:r>
      <w:r w:rsidR="000222DC" w:rsidRPr="00EC02CA">
        <w:rPr>
          <w:rFonts w:eastAsia="Aptos"/>
        </w:rPr>
        <w:t>it’.</w:t>
      </w:r>
      <w:r w:rsidR="000222DC" w:rsidRPr="00EC02CA">
        <w:rPr>
          <w:rStyle w:val="FootnoteReference"/>
          <w:rFonts w:eastAsia="Aptos"/>
        </w:rPr>
        <w:footnoteReference w:id="598"/>
      </w:r>
    </w:p>
    <w:p w14:paraId="56938DBF" w14:textId="2BA0BE12" w:rsidR="00AD2359" w:rsidRPr="00EC02CA" w:rsidRDefault="00AD2359" w:rsidP="00AD2359">
      <w:pPr>
        <w:pStyle w:val="NormalNumberedTextTLRI"/>
      </w:pPr>
      <w:r w:rsidRPr="00EC02CA">
        <w:t>In two interviews, comments were made that parents may not want to proceed, and there may be issues with parental consent to speak to the young people involved.</w:t>
      </w:r>
      <w:r w:rsidRPr="00EC02CA">
        <w:rPr>
          <w:rStyle w:val="FootnoteReference"/>
        </w:rPr>
        <w:footnoteReference w:id="599"/>
      </w:r>
    </w:p>
    <w:p w14:paraId="393ABABB" w14:textId="5EF5E0FA" w:rsidR="00354440" w:rsidRPr="00EC02CA" w:rsidRDefault="00354440" w:rsidP="00F35395">
      <w:pPr>
        <w:pStyle w:val="NumberedHeadingTLRI"/>
      </w:pPr>
      <w:bookmarkStart w:id="317" w:name="_Toc211849423"/>
      <w:bookmarkStart w:id="318" w:name="_Toc218157324"/>
      <w:bookmarkStart w:id="319" w:name="_Ref218240949"/>
      <w:r w:rsidRPr="00EC02CA">
        <w:t>Previous research</w:t>
      </w:r>
      <w:bookmarkEnd w:id="317"/>
      <w:bookmarkEnd w:id="318"/>
      <w:bookmarkEnd w:id="319"/>
    </w:p>
    <w:p w14:paraId="3B66F51D" w14:textId="5269452F" w:rsidR="006C7B61" w:rsidRPr="00EC02CA" w:rsidRDefault="006C7B61" w:rsidP="00A920EC">
      <w:pPr>
        <w:pStyle w:val="TLRISubheading"/>
      </w:pPr>
      <w:bookmarkStart w:id="320" w:name="_Toc211849424"/>
      <w:bookmarkStart w:id="321" w:name="_Toc218157325"/>
      <w:r w:rsidRPr="00EC02CA">
        <w:t>Barriers to reporting allegations of sexual offending</w:t>
      </w:r>
      <w:bookmarkEnd w:id="320"/>
      <w:bookmarkEnd w:id="321"/>
    </w:p>
    <w:p w14:paraId="77D625E2" w14:textId="6398F5B9" w:rsidR="006C7B61" w:rsidRPr="00EC02CA" w:rsidRDefault="004130CD" w:rsidP="002F0007">
      <w:pPr>
        <w:pStyle w:val="NormalNumberedTextTLRI"/>
      </w:pPr>
      <w:r w:rsidRPr="00EC02CA">
        <w:t>Well-recognised b</w:t>
      </w:r>
      <w:r w:rsidR="006C7B61" w:rsidRPr="00EC02CA">
        <w:t>arriers to reporting</w:t>
      </w:r>
      <w:r w:rsidR="001F17CE" w:rsidRPr="00EC02CA">
        <w:t>,</w:t>
      </w:r>
      <w:r w:rsidR="006C7B61" w:rsidRPr="00EC02CA">
        <w:t xml:space="preserve"> and attrition from the criminal justice system</w:t>
      </w:r>
      <w:r w:rsidR="001F17CE" w:rsidRPr="00EC02CA">
        <w:t>,</w:t>
      </w:r>
      <w:r w:rsidR="006C7B61" w:rsidRPr="00EC02CA">
        <w:t xml:space="preserve"> </w:t>
      </w:r>
      <w:r w:rsidR="001F17CE" w:rsidRPr="00EC02CA">
        <w:t>consequently</w:t>
      </w:r>
      <w:r w:rsidR="006C7B61" w:rsidRPr="00EC02CA">
        <w:t xml:space="preserve"> </w:t>
      </w:r>
      <w:r w:rsidRPr="00EC02CA">
        <w:t xml:space="preserve">mean that </w:t>
      </w:r>
      <w:r w:rsidR="006C7B61" w:rsidRPr="00EC02CA">
        <w:t xml:space="preserve">only a small proportion of </w:t>
      </w:r>
      <w:r w:rsidR="001F17CE" w:rsidRPr="00EC02CA">
        <w:t xml:space="preserve">alleged </w:t>
      </w:r>
      <w:r w:rsidR="006C7B61" w:rsidRPr="00EC02CA">
        <w:t>sexual offences are dealt with by courts.</w:t>
      </w:r>
      <w:r w:rsidR="006C7B61" w:rsidRPr="00EC02CA">
        <w:rPr>
          <w:rStyle w:val="FootnoteReference"/>
        </w:rPr>
        <w:footnoteReference w:id="600"/>
      </w:r>
      <w:r w:rsidR="006C7B61" w:rsidRPr="00EC02CA">
        <w:t xml:space="preserve"> In the context of physical offending, research has found that most people do not report sexual violence, with the Personal Safety Survey </w:t>
      </w:r>
      <w:r w:rsidRPr="00EC02CA">
        <w:t xml:space="preserve">– </w:t>
      </w:r>
      <w:r w:rsidR="006C7B61" w:rsidRPr="00EC02CA">
        <w:t xml:space="preserve">conducted in 2022 </w:t>
      </w:r>
      <w:r w:rsidRPr="00EC02CA">
        <w:t xml:space="preserve">– </w:t>
      </w:r>
      <w:r w:rsidR="006C7B61" w:rsidRPr="00EC02CA">
        <w:t>finding that 92% of women did not report their most recent experience of sexual assault to police.</w:t>
      </w:r>
      <w:r w:rsidR="006C7B61" w:rsidRPr="00EC02CA">
        <w:rPr>
          <w:rStyle w:val="FootnoteReference"/>
        </w:rPr>
        <w:footnoteReference w:id="601"/>
      </w:r>
      <w:r w:rsidR="006C7B61" w:rsidRPr="00EC02CA">
        <w:t xml:space="preserve"> As noted by the ALRC, ‘9 out of 10 women who have experienced sexual violence do not report to the police’</w:t>
      </w:r>
      <w:r w:rsidR="001F17CE" w:rsidRPr="00EC02CA">
        <w:t>,</w:t>
      </w:r>
      <w:r w:rsidR="006C7B61" w:rsidRPr="00EC02CA">
        <w:rPr>
          <w:rStyle w:val="FootnoteReference"/>
        </w:rPr>
        <w:footnoteReference w:id="602"/>
      </w:r>
      <w:r w:rsidR="006C7B61" w:rsidRPr="00EC02CA">
        <w:t xml:space="preserve"> and that ‘even though sexual violence is common in Australia, there are low reporting rates, low prosecution rates, and low conviction rates’.</w:t>
      </w:r>
      <w:r w:rsidR="006C7B61" w:rsidRPr="00EC02CA">
        <w:rPr>
          <w:rStyle w:val="FootnoteReference"/>
        </w:rPr>
        <w:footnoteReference w:id="603"/>
      </w:r>
      <w:r w:rsidR="006C7B61" w:rsidRPr="00EC02CA">
        <w:t xml:space="preserve"> This is supported by other Australian research in relation to sexual assault, including experiences of child sexual abuse.</w:t>
      </w:r>
      <w:r w:rsidR="006C7B61" w:rsidRPr="00EC02CA">
        <w:rPr>
          <w:rStyle w:val="FootnoteReference"/>
        </w:rPr>
        <w:footnoteReference w:id="604"/>
      </w:r>
      <w:r w:rsidR="006C7B61" w:rsidRPr="00EC02CA">
        <w:t xml:space="preserve"> Delay in reporting sexual abuse is also well</w:t>
      </w:r>
      <w:r w:rsidR="00256232" w:rsidRPr="00EC02CA">
        <w:t xml:space="preserve"> </w:t>
      </w:r>
      <w:r w:rsidR="006C7B61" w:rsidRPr="00EC02CA">
        <w:t>recognised,</w:t>
      </w:r>
      <w:r w:rsidR="006C7B61" w:rsidRPr="00EC02CA">
        <w:rPr>
          <w:rStyle w:val="FootnoteReference"/>
        </w:rPr>
        <w:footnoteReference w:id="605"/>
      </w:r>
      <w:r w:rsidR="006C7B61" w:rsidRPr="00EC02CA">
        <w:t xml:space="preserve"> and </w:t>
      </w:r>
      <w:r w:rsidRPr="00EC02CA">
        <w:t xml:space="preserve">is </w:t>
      </w:r>
      <w:r w:rsidR="006C7B61" w:rsidRPr="00EC02CA">
        <w:t>apparent from the Tasmanian data.</w:t>
      </w:r>
      <w:r w:rsidR="005D74EE" w:rsidRPr="00EC02CA">
        <w:rPr>
          <w:rStyle w:val="FootnoteReference"/>
        </w:rPr>
        <w:footnoteReference w:id="606"/>
      </w:r>
    </w:p>
    <w:p w14:paraId="6D7852D3" w14:textId="659077E8" w:rsidR="006C7B61" w:rsidRPr="00EC02CA" w:rsidRDefault="006C7B61" w:rsidP="002F0007">
      <w:pPr>
        <w:pStyle w:val="NormalNumberedTextTLRI"/>
      </w:pPr>
      <w:r w:rsidRPr="00EC02CA">
        <w:t>In relation to reporting child sexual abuse, research suggests that not only do people not report to police, but they may also not disclose to anyone. The ACMS found that almost half (45.2%) of people who had experienced CSA had never in their lifetime disclosed their experience.</w:t>
      </w:r>
      <w:bookmarkStart w:id="322" w:name="_Ref218003564"/>
      <w:r w:rsidRPr="00EC02CA">
        <w:rPr>
          <w:rStyle w:val="FootnoteReference"/>
        </w:rPr>
        <w:footnoteReference w:id="607"/>
      </w:r>
      <w:bookmarkEnd w:id="322"/>
      <w:r w:rsidRPr="00EC02CA">
        <w:t xml:space="preserve"> Lifetime disclosure of CSA by a known adolescent (current or former romantic partner) was 58.6%</w:t>
      </w:r>
      <w:r w:rsidR="004130CD" w:rsidRPr="00EC02CA">
        <w:t>,</w:t>
      </w:r>
      <w:r w:rsidRPr="00EC02CA">
        <w:t xml:space="preserve"> disclosure of CSA by other known adolescents (non-romantic) was 42.1%</w:t>
      </w:r>
      <w:r w:rsidR="004130CD" w:rsidRPr="00EC02CA">
        <w:t>,</w:t>
      </w:r>
      <w:r w:rsidRPr="00EC02CA">
        <w:t xml:space="preserve"> and CSA by unknown adolescents was 45.8%.</w:t>
      </w:r>
      <w:r w:rsidRPr="00EC02CA">
        <w:rPr>
          <w:rStyle w:val="FootnoteReference"/>
        </w:rPr>
        <w:footnoteReference w:id="608"/>
      </w:r>
      <w:r w:rsidRPr="00EC02CA">
        <w:t xml:space="preserve"> The ACMS, however, found higher levels of disclosure of online sexual victimi</w:t>
      </w:r>
      <w:r w:rsidR="00312EB5" w:rsidRPr="00EC02CA">
        <w:t>s</w:t>
      </w:r>
      <w:r w:rsidRPr="00EC02CA">
        <w:t>ation</w:t>
      </w:r>
      <w:r w:rsidR="004130CD" w:rsidRPr="00EC02CA">
        <w:t>,</w:t>
      </w:r>
      <w:r w:rsidRPr="00EC02CA">
        <w:t xml:space="preserve"> with two</w:t>
      </w:r>
      <w:r w:rsidR="002754A4" w:rsidRPr="00EC02CA">
        <w:t>-</w:t>
      </w:r>
      <w:r w:rsidRPr="00EC02CA">
        <w:t>thirds of those who experienced non</w:t>
      </w:r>
      <w:r w:rsidR="004130CD" w:rsidRPr="00EC02CA">
        <w:t>-</w:t>
      </w:r>
      <w:r w:rsidRPr="00EC02CA">
        <w:t>consensual sharing of sexual images disclosing (64.3%).</w:t>
      </w:r>
      <w:bookmarkStart w:id="323" w:name="_Ref218003951"/>
      <w:r w:rsidRPr="00EC02CA">
        <w:rPr>
          <w:rStyle w:val="FootnoteReference"/>
        </w:rPr>
        <w:footnoteReference w:id="609"/>
      </w:r>
      <w:bookmarkEnd w:id="323"/>
      <w:r w:rsidRPr="00EC02CA">
        <w:t xml:space="preserve"> For those people who disclosed, the most common person </w:t>
      </w:r>
      <w:r w:rsidR="004130CD" w:rsidRPr="00EC02CA">
        <w:t xml:space="preserve">they </w:t>
      </w:r>
      <w:r w:rsidRPr="00EC02CA">
        <w:t xml:space="preserve">told were friends (50.4%) followed by parents (20.7%) and </w:t>
      </w:r>
      <w:r w:rsidR="004130CD" w:rsidRPr="00EC02CA">
        <w:t xml:space="preserve">then </w:t>
      </w:r>
      <w:r w:rsidRPr="00EC02CA">
        <w:t xml:space="preserve">authority figures or agencies such as teachers, doctors, counsellors or psychologists, </w:t>
      </w:r>
      <w:r w:rsidR="004130CD" w:rsidRPr="00EC02CA">
        <w:t xml:space="preserve">or </w:t>
      </w:r>
      <w:r w:rsidRPr="00EC02CA">
        <w:t>police or online reporting portals (15.4%).</w:t>
      </w:r>
      <w:r w:rsidRPr="00EC02CA">
        <w:rPr>
          <w:rStyle w:val="FootnoteReference"/>
        </w:rPr>
        <w:footnoteReference w:id="610"/>
      </w:r>
      <w:r w:rsidRPr="00EC02CA">
        <w:t xml:space="preserve"> Other Australian research has similarly found that young people typically report non-consensual sharing of personal sexually explicit imagery to friends (63%) and parents (10%), with 93% making no official report and 94% reporting no consequences for </w:t>
      </w:r>
      <w:r w:rsidR="00200365" w:rsidRPr="00EC02CA">
        <w:t>offender</w:t>
      </w:r>
      <w:r w:rsidRPr="00EC02CA">
        <w:t>s.</w:t>
      </w:r>
      <w:r w:rsidRPr="00EC02CA">
        <w:rPr>
          <w:rStyle w:val="FootnoteReference"/>
        </w:rPr>
        <w:footnoteReference w:id="611"/>
      </w:r>
    </w:p>
    <w:p w14:paraId="3C0E4F14" w14:textId="1E826D58" w:rsidR="006C7B61" w:rsidRPr="00EC02CA" w:rsidRDefault="006C7B61" w:rsidP="002F0007">
      <w:pPr>
        <w:pStyle w:val="NormalNumberedTextTLRI"/>
      </w:pPr>
      <w:r w:rsidRPr="00EC02CA">
        <w:t xml:space="preserve">Barriers to reporting sexual violence are complex and include </w:t>
      </w:r>
      <w:r w:rsidR="00886B70" w:rsidRPr="00EC02CA">
        <w:t>victim-survivor</w:t>
      </w:r>
      <w:r w:rsidRPr="00EC02CA">
        <w:t>s: not recognising the behaviour as sexual abuse</w:t>
      </w:r>
      <w:r w:rsidR="004130CD" w:rsidRPr="00EC02CA">
        <w:t>;</w:t>
      </w:r>
      <w:r w:rsidRPr="00EC02CA">
        <w:t xml:space="preserve"> not thinking that it was serious enough to report</w:t>
      </w:r>
      <w:r w:rsidR="004130CD" w:rsidRPr="00EC02CA">
        <w:t>;</w:t>
      </w:r>
      <w:r w:rsidRPr="00EC02CA">
        <w:t xml:space="preserve"> blaming themselves for the behaviour</w:t>
      </w:r>
      <w:r w:rsidR="004130CD" w:rsidRPr="00EC02CA">
        <w:t>;</w:t>
      </w:r>
      <w:r w:rsidRPr="00EC02CA">
        <w:t xml:space="preserve"> being concerned about the consequences of reporting</w:t>
      </w:r>
      <w:r w:rsidR="004130CD" w:rsidRPr="00EC02CA">
        <w:t>;</w:t>
      </w:r>
      <w:r w:rsidRPr="00EC02CA">
        <w:t xml:space="preserve"> being fearful of not being believed</w:t>
      </w:r>
      <w:r w:rsidR="004130CD" w:rsidRPr="00EC02CA">
        <w:t>;</w:t>
      </w:r>
      <w:r w:rsidRPr="00EC02CA">
        <w:t xml:space="preserve"> and having concerns around the potential for publicity of criminal prosecutions.</w:t>
      </w:r>
      <w:r w:rsidRPr="00EC02CA">
        <w:rPr>
          <w:rStyle w:val="FootnoteReference"/>
        </w:rPr>
        <w:footnoteReference w:id="612"/>
      </w:r>
      <w:r w:rsidRPr="00EC02CA">
        <w:t xml:space="preserve"> Other factors include </w:t>
      </w:r>
      <w:r w:rsidR="004130CD" w:rsidRPr="00EC02CA">
        <w:t xml:space="preserve">victim-survivors: having </w:t>
      </w:r>
      <w:r w:rsidRPr="00EC02CA">
        <w:t>concerns about the criminal justice process</w:t>
      </w:r>
      <w:r w:rsidR="004130CD" w:rsidRPr="00EC02CA">
        <w:t>;</w:t>
      </w:r>
      <w:r w:rsidRPr="00EC02CA">
        <w:t xml:space="preserve"> not wanting a criminal justice outcome</w:t>
      </w:r>
      <w:r w:rsidR="004130CD" w:rsidRPr="00EC02CA">
        <w:t>;</w:t>
      </w:r>
      <w:r w:rsidRPr="00EC02CA">
        <w:t xml:space="preserve"> </w:t>
      </w:r>
      <w:r w:rsidR="004130CD" w:rsidRPr="00EC02CA">
        <w:t xml:space="preserve">and </w:t>
      </w:r>
      <w:r w:rsidRPr="00EC02CA">
        <w:t>feeling shame and embarrassment</w:t>
      </w:r>
      <w:r w:rsidR="004130CD" w:rsidRPr="00EC02CA">
        <w:t xml:space="preserve">. </w:t>
      </w:r>
      <w:r w:rsidR="00C73B99" w:rsidRPr="00EC02CA">
        <w:t>Another</w:t>
      </w:r>
      <w:r w:rsidR="004130CD" w:rsidRPr="00EC02CA">
        <w:t xml:space="preserve"> factor is the</w:t>
      </w:r>
      <w:r w:rsidRPr="00EC02CA">
        <w:t xml:space="preserve"> response of the person to whom they initially disclose.</w:t>
      </w:r>
      <w:r w:rsidRPr="00EC02CA">
        <w:rPr>
          <w:rStyle w:val="FootnoteReference"/>
        </w:rPr>
        <w:footnoteReference w:id="613"/>
      </w:r>
      <w:r w:rsidRPr="00EC02CA">
        <w:t xml:space="preserve"> Research that examined barriers to reporting </w:t>
      </w:r>
      <w:r w:rsidR="004130CD" w:rsidRPr="00EC02CA">
        <w:t xml:space="preserve">by </w:t>
      </w:r>
      <w:r w:rsidRPr="00EC02CA">
        <w:t xml:space="preserve">victims of child sexual assault found that victims </w:t>
      </w:r>
      <w:r w:rsidR="00A4512B" w:rsidRPr="00EC02CA">
        <w:t xml:space="preserve">were </w:t>
      </w:r>
      <w:r w:rsidRPr="00EC02CA">
        <w:t>‘not disclosing their abuse or delaying disclosure out of concerns of upsetting their parents, being blamed by their parents, or being fearful of the consequences of disclosing’.</w:t>
      </w:r>
      <w:bookmarkStart w:id="324" w:name="_Ref218004338"/>
      <w:r w:rsidRPr="00EC02CA">
        <w:rPr>
          <w:rStyle w:val="FootnoteReference"/>
        </w:rPr>
        <w:footnoteReference w:id="614"/>
      </w:r>
      <w:bookmarkEnd w:id="324"/>
      <w:r w:rsidRPr="00EC02CA">
        <w:t xml:space="preserve"> Mathews et al have summarised the research examining reasons for non-disclosure of CSA as being:</w:t>
      </w:r>
    </w:p>
    <w:p w14:paraId="0BFC97CC" w14:textId="0CA995A0" w:rsidR="006C7B61" w:rsidRPr="00EC02CA" w:rsidRDefault="006C7B61" w:rsidP="006C7B61">
      <w:pPr>
        <w:pStyle w:val="Indentedquote"/>
      </w:pPr>
      <w:r w:rsidRPr="00EC02CA">
        <w:t>influenced by multiple factors in a tripartite ecological model comprising: the child’s characteristics (including shame, self-blame, embarrassment, fear and self-protection, limited cognitive development to understand the true nature of the acts; and lack of skills enabling disclosure); the perpetrator’s characteristics (including relational power dynamics; threats of reprisals; and fear of the impact of disclosure on others); and societal level (e.g., taboos around sexuality; stigma attaching to victims; and lack of cultural consciousness</w:t>
      </w:r>
      <w:r w:rsidR="00A4512B" w:rsidRPr="00EC02CA">
        <w:t>)</w:t>
      </w:r>
      <w:r w:rsidRPr="00EC02CA">
        <w:t>.</w:t>
      </w:r>
      <w:r w:rsidRPr="00EC02CA">
        <w:rPr>
          <w:rStyle w:val="FootnoteReference"/>
        </w:rPr>
        <w:footnoteReference w:id="615"/>
      </w:r>
    </w:p>
    <w:p w14:paraId="7458254D" w14:textId="77777777" w:rsidR="006C7B61" w:rsidRPr="00EC02CA" w:rsidRDefault="006C7B61" w:rsidP="00A920EC">
      <w:pPr>
        <w:pStyle w:val="NormalNumberedTextTLRI"/>
      </w:pPr>
      <w:r w:rsidRPr="00EC02CA">
        <w:t>For online sexual victimisation of young people, reasons for not disclosing also included beliefs that the ‘experience was not serious enough, it happened all the time, they were too scared or embarrassed, or they feared internet privileges may be lost’.</w:t>
      </w:r>
      <w:r w:rsidRPr="00EC02CA">
        <w:rPr>
          <w:rStyle w:val="FootnoteReference"/>
        </w:rPr>
        <w:footnoteReference w:id="616"/>
      </w:r>
    </w:p>
    <w:p w14:paraId="31B8FD39" w14:textId="77777777" w:rsidR="00335C63" w:rsidRPr="00EC02CA" w:rsidRDefault="00335C63" w:rsidP="002F0007">
      <w:pPr>
        <w:pStyle w:val="NormalNumberedTextTLRI"/>
      </w:pPr>
      <w:r w:rsidRPr="00EC02CA">
        <w:t>In relation to the low reporting rates for sexual violence, the ALRC wrote that it:</w:t>
      </w:r>
    </w:p>
    <w:p w14:paraId="20D73A71" w14:textId="374067A5" w:rsidR="00335C63" w:rsidRPr="00EC02CA" w:rsidRDefault="00A4512B" w:rsidP="00335C63">
      <w:pPr>
        <w:pStyle w:val="Indentedquote"/>
      </w:pPr>
      <w:r w:rsidRPr="00EC02CA">
        <w:t>c</w:t>
      </w:r>
      <w:r w:rsidR="00335C63" w:rsidRPr="00EC02CA">
        <w:t>onsider[ed] this under-engagement with the justice system to be the most significant problem with the justice system’s response to sexual violence. The justice system is failing to meet the twin goals of access to justice and accountability: it is not supporting those who have experienced sexual violence to engage with the justice system, or holding those who use sexual violence to account.</w:t>
      </w:r>
      <w:r w:rsidR="00335C63" w:rsidRPr="00EC02CA">
        <w:rPr>
          <w:rStyle w:val="FootnoteReference"/>
        </w:rPr>
        <w:footnoteReference w:id="617"/>
      </w:r>
    </w:p>
    <w:p w14:paraId="1E0966E7" w14:textId="1B5BB31C" w:rsidR="007D04E9" w:rsidRPr="00EC02CA" w:rsidRDefault="00335C63" w:rsidP="00A920EC">
      <w:pPr>
        <w:pStyle w:val="NormalNumberedTextTLRI"/>
      </w:pPr>
      <w:r w:rsidRPr="00EC02CA">
        <w:t xml:space="preserve">Accordingly, in its recommendations, the ALRC identified the need for safe, informed and supported services (SIS services) </w:t>
      </w:r>
      <w:r w:rsidR="00C852E0" w:rsidRPr="00EC02CA">
        <w:t xml:space="preserve">– </w:t>
      </w:r>
      <w:r w:rsidRPr="00EC02CA">
        <w:t xml:space="preserve">to enable people who have </w:t>
      </w:r>
      <w:r w:rsidR="00C852E0" w:rsidRPr="00EC02CA">
        <w:t xml:space="preserve">experienced </w:t>
      </w:r>
      <w:r w:rsidRPr="00EC02CA">
        <w:t>sexual violence to be given a well-informed opportunity to decide if they want to engage in the justice system</w:t>
      </w:r>
      <w:r w:rsidR="00C852E0" w:rsidRPr="00EC02CA">
        <w:t xml:space="preserve"> –</w:t>
      </w:r>
      <w:r w:rsidRPr="00EC02CA">
        <w:t xml:space="preserve"> as </w:t>
      </w:r>
      <w:r w:rsidR="00C852E0" w:rsidRPr="00EC02CA">
        <w:t xml:space="preserve">a </w:t>
      </w:r>
      <w:r w:rsidRPr="00EC02CA">
        <w:t>requirement to improve reporting into the justice system. Independent legal services, justice system navigators and safe places to disclose were recommended as</w:t>
      </w:r>
      <w:r w:rsidR="00C852E0" w:rsidRPr="00EC02CA">
        <w:t xml:space="preserve"> part of</w:t>
      </w:r>
      <w:r w:rsidRPr="00EC02CA">
        <w:t xml:space="preserve"> SIS services, to supplement and increase reporting</w:t>
      </w:r>
      <w:r w:rsidR="00C852E0" w:rsidRPr="00EC02CA">
        <w:t>, and</w:t>
      </w:r>
      <w:r w:rsidRPr="00EC02CA">
        <w:t xml:space="preserve"> as an alternative to a reporting pathway through police.</w:t>
      </w:r>
      <w:r w:rsidRPr="00EC02CA">
        <w:rPr>
          <w:rStyle w:val="FootnoteReference"/>
        </w:rPr>
        <w:footnoteReference w:id="618"/>
      </w:r>
      <w:r w:rsidRPr="00EC02CA">
        <w:t xml:space="preserve"> However, these recommendations were not made specifically with young </w:t>
      </w:r>
      <w:r w:rsidR="00886B70" w:rsidRPr="00EC02CA">
        <w:t>victim-survivor</w:t>
      </w:r>
      <w:r w:rsidRPr="00EC02CA">
        <w:t>s in mind, and do not address the operation of mandatory reporting laws.</w:t>
      </w:r>
      <w:r w:rsidRPr="00EC02CA">
        <w:rPr>
          <w:rStyle w:val="FootnoteReference"/>
        </w:rPr>
        <w:footnoteReference w:id="619"/>
      </w:r>
      <w:r w:rsidRPr="00EC02CA">
        <w:t xml:space="preserve"> The ALRC did note, however, that some submissions from people who had experienced sexual violence described the mandatory reporting process as disempowering.</w:t>
      </w:r>
      <w:r w:rsidRPr="00EC02CA">
        <w:rPr>
          <w:rStyle w:val="FootnoteReference"/>
        </w:rPr>
        <w:footnoteReference w:id="620"/>
      </w:r>
    </w:p>
    <w:p w14:paraId="70B360E2" w14:textId="0E631E55" w:rsidR="004E04E8" w:rsidRPr="00EC02CA" w:rsidRDefault="006C7B61" w:rsidP="00A920EC">
      <w:pPr>
        <w:pStyle w:val="NormalNumberedTextTLRI"/>
      </w:pPr>
      <w:r w:rsidRPr="00EC02CA">
        <w:t xml:space="preserve">Mandatory reporting responses (as outlined at </w:t>
      </w:r>
      <w:r w:rsidR="00290033" w:rsidRPr="00EC02CA">
        <w:t>[</w:t>
      </w:r>
      <w:r w:rsidR="003C2C40" w:rsidRPr="00EC02CA">
        <w:fldChar w:fldCharType="begin"/>
      </w:r>
      <w:r w:rsidR="003C2C40" w:rsidRPr="00EC02CA">
        <w:instrText xml:space="preserve"> REF _Ref218241018 \r \h </w:instrText>
      </w:r>
      <w:r w:rsidR="003C2C40" w:rsidRPr="00EC02CA">
        <w:fldChar w:fldCharType="separate"/>
      </w:r>
      <w:r w:rsidR="007D7830">
        <w:t>6.2</w:t>
      </w:r>
      <w:r w:rsidR="003C2C40" w:rsidRPr="00EC02CA">
        <w:fldChar w:fldCharType="end"/>
      </w:r>
      <w:r w:rsidR="00290033" w:rsidRPr="00EC02CA">
        <w:t>]</w:t>
      </w:r>
      <w:r w:rsidRPr="00EC02CA">
        <w:t>)</w:t>
      </w:r>
      <w:r w:rsidR="00C852E0" w:rsidRPr="00EC02CA">
        <w:t>,</w:t>
      </w:r>
      <w:r w:rsidRPr="00EC02CA">
        <w:t xml:space="preserve"> and the creation of a criminal offence for failing to report</w:t>
      </w:r>
      <w:r w:rsidR="00C852E0" w:rsidRPr="00EC02CA">
        <w:t>,</w:t>
      </w:r>
      <w:r w:rsidRPr="00EC02CA">
        <w:t xml:space="preserve"> are aimed at increasing reports of sexual abuse experienced by young people to authorities. </w:t>
      </w:r>
      <w:r w:rsidR="00587A33" w:rsidRPr="00EC02CA">
        <w:t xml:space="preserve">As described, </w:t>
      </w:r>
      <w:r w:rsidR="00A65268" w:rsidRPr="00EC02CA">
        <w:t xml:space="preserve">the ‘criminal law </w:t>
      </w:r>
      <w:r w:rsidR="00A51634" w:rsidRPr="00EC02CA">
        <w:t>reporting</w:t>
      </w:r>
      <w:r w:rsidR="00A65268" w:rsidRPr="00EC02CA">
        <w:t xml:space="preserve"> duties can be understood as part of a wave of regulatory responses to a major social pr</w:t>
      </w:r>
      <w:r w:rsidR="00A51634" w:rsidRPr="00EC02CA">
        <w:t xml:space="preserve">oblem that for too long </w:t>
      </w:r>
      <w:r w:rsidR="00C25C96" w:rsidRPr="00EC02CA">
        <w:t xml:space="preserve">has lacked adequate legal </w:t>
      </w:r>
      <w:r w:rsidR="004A7CEB" w:rsidRPr="00EC02CA">
        <w:t>frameworks’.</w:t>
      </w:r>
      <w:r w:rsidR="004A7CEB" w:rsidRPr="00EC02CA">
        <w:rPr>
          <w:rStyle w:val="FootnoteReference"/>
        </w:rPr>
        <w:footnoteReference w:id="621"/>
      </w:r>
      <w:r w:rsidR="75249B23" w:rsidRPr="00EC02CA">
        <w:t xml:space="preserve"> </w:t>
      </w:r>
      <w:r w:rsidRPr="00EC02CA">
        <w:t>Introduced particularly in response to concerns about the underreporting of child sexual abuse perpetrated by adults, mandatory reporting of child sexual abuse is based on the normative argument that children’s right to bodily integrity should be protected</w:t>
      </w:r>
      <w:r w:rsidR="00C852E0" w:rsidRPr="00EC02CA">
        <w:t>,</w:t>
      </w:r>
      <w:r w:rsidRPr="00EC02CA">
        <w:t xml:space="preserve"> and that children are particularly vulnerable to sexual abuse.</w:t>
      </w:r>
      <w:r w:rsidRPr="00EC02CA">
        <w:rPr>
          <w:rStyle w:val="FootnoteReference"/>
        </w:rPr>
        <w:footnoteReference w:id="622"/>
      </w:r>
      <w:r w:rsidRPr="00EC02CA">
        <w:t xml:space="preserve"> There is also empirical evidence indicat</w:t>
      </w:r>
      <w:r w:rsidR="00C852E0" w:rsidRPr="00EC02CA">
        <w:t>ing</w:t>
      </w:r>
      <w:r w:rsidRPr="00EC02CA">
        <w:t xml:space="preserve"> that with only voluntary reporting obligations, professionals are less likely to report</w:t>
      </w:r>
      <w:r w:rsidR="00C852E0" w:rsidRPr="00EC02CA">
        <w:t>,</w:t>
      </w:r>
      <w:r w:rsidRPr="00EC02CA">
        <w:t xml:space="preserve"> and mandatory reporting has increased the detection of abuse.</w:t>
      </w:r>
      <w:r w:rsidRPr="00EC02CA">
        <w:rPr>
          <w:rStyle w:val="FootnoteReference"/>
        </w:rPr>
        <w:footnoteReference w:id="623"/>
      </w:r>
      <w:r w:rsidRPr="00EC02CA">
        <w:t xml:space="preserve"> </w:t>
      </w:r>
      <w:r w:rsidR="005258DC" w:rsidRPr="00EC02CA">
        <w:t xml:space="preserve">Benefits of mandatory reporting </w:t>
      </w:r>
      <w:r w:rsidR="00A901D4" w:rsidRPr="00EC02CA">
        <w:t xml:space="preserve">include an indication that society is </w:t>
      </w:r>
      <w:r w:rsidR="00244474" w:rsidRPr="00EC02CA">
        <w:t>‘</w:t>
      </w:r>
      <w:r w:rsidR="00A901D4" w:rsidRPr="00EC02CA">
        <w:t>willing to be informed of child abuse and to take steps to respond to it’,</w:t>
      </w:r>
      <w:r w:rsidR="00A901D4" w:rsidRPr="00EC02CA">
        <w:rPr>
          <w:rStyle w:val="FootnoteReference"/>
        </w:rPr>
        <w:footnoteReference w:id="624"/>
      </w:r>
      <w:r w:rsidR="005258DC" w:rsidRPr="00EC02CA">
        <w:t xml:space="preserve"> </w:t>
      </w:r>
      <w:r w:rsidR="00A901D4" w:rsidRPr="00EC02CA">
        <w:t xml:space="preserve">an increase in </w:t>
      </w:r>
      <w:r w:rsidR="00BA5645" w:rsidRPr="00EC02CA">
        <w:t xml:space="preserve">the identification of cases of child </w:t>
      </w:r>
      <w:r w:rsidR="00874ED7" w:rsidRPr="00EC02CA">
        <w:t>maltreatment</w:t>
      </w:r>
      <w:r w:rsidR="00C852E0" w:rsidRPr="00EC02CA">
        <w:t>,</w:t>
      </w:r>
      <w:r w:rsidR="00BA5645" w:rsidRPr="00EC02CA">
        <w:t xml:space="preserve"> and an increase in </w:t>
      </w:r>
      <w:r w:rsidR="00874ED7" w:rsidRPr="00EC02CA">
        <w:t>reporting</w:t>
      </w:r>
      <w:r w:rsidR="00BA5645" w:rsidRPr="00EC02CA">
        <w:t xml:space="preserve"> from groups who may have been reluctant reporter</w:t>
      </w:r>
      <w:r w:rsidR="00C852E0" w:rsidRPr="00EC02CA">
        <w:t>s</w:t>
      </w:r>
      <w:r w:rsidR="00BA5645" w:rsidRPr="00EC02CA">
        <w:t>.</w:t>
      </w:r>
      <w:r w:rsidR="00BA5645" w:rsidRPr="00EC02CA">
        <w:rPr>
          <w:rStyle w:val="FootnoteReference"/>
        </w:rPr>
        <w:footnoteReference w:id="625"/>
      </w:r>
      <w:r w:rsidR="003225BD" w:rsidRPr="00EC02CA">
        <w:t xml:space="preserve"> However, other research examining mandatory reporting for child maltreatment has indicated that ‘there are many potentially harmful experiences associated with mandatory reporting and that research on the effectiveness of this process is urgently needed’.</w:t>
      </w:r>
      <w:r w:rsidR="003225BD" w:rsidRPr="00EC02CA">
        <w:rPr>
          <w:rStyle w:val="FootnoteReference"/>
        </w:rPr>
        <w:footnoteReference w:id="626"/>
      </w:r>
      <w:r w:rsidR="00C852E0" w:rsidRPr="00EC02CA">
        <w:t xml:space="preserve"> </w:t>
      </w:r>
      <w:r w:rsidR="00642B72" w:rsidRPr="00EC02CA">
        <w:t>Negative</w:t>
      </w:r>
      <w:r w:rsidR="00874ED7" w:rsidRPr="00EC02CA">
        <w:t xml:space="preserve"> experiences in relation to mandatory </w:t>
      </w:r>
      <w:r w:rsidR="00642B72" w:rsidRPr="00EC02CA">
        <w:t>reporting ‘seem</w:t>
      </w:r>
      <w:r w:rsidR="00874ED7" w:rsidRPr="00EC02CA">
        <w:t xml:space="preserve"> to involve the </w:t>
      </w:r>
      <w:r w:rsidR="00642B72" w:rsidRPr="00EC02CA">
        <w:t>reporting</w:t>
      </w:r>
      <w:r w:rsidR="00874ED7" w:rsidRPr="00EC02CA">
        <w:t xml:space="preserve"> process itself and the associated </w:t>
      </w:r>
      <w:r w:rsidR="00642B72" w:rsidRPr="00EC02CA">
        <w:t>response</w:t>
      </w:r>
      <w:r w:rsidR="00874ED7" w:rsidRPr="00EC02CA">
        <w:t xml:space="preserve"> (or lack of response</w:t>
      </w:r>
      <w:r w:rsidR="00642B72" w:rsidRPr="00EC02CA">
        <w:t>)</w:t>
      </w:r>
      <w:r w:rsidR="001A1B71" w:rsidRPr="00EC02CA">
        <w:t>’</w:t>
      </w:r>
      <w:r w:rsidR="00344393" w:rsidRPr="00EC02CA">
        <w:t xml:space="preserve">, </w:t>
      </w:r>
      <w:r w:rsidR="001A1B71" w:rsidRPr="00EC02CA">
        <w:t>particularly</w:t>
      </w:r>
      <w:r w:rsidR="00344393" w:rsidRPr="00EC02CA">
        <w:t xml:space="preserve"> in relation to ‘mild’ </w:t>
      </w:r>
      <w:r w:rsidR="001A1B71" w:rsidRPr="00EC02CA">
        <w:t>child maltreatment</w:t>
      </w:r>
      <w:r w:rsidR="00642B72" w:rsidRPr="00EC02CA">
        <w:t>.</w:t>
      </w:r>
      <w:r w:rsidR="00642B72" w:rsidRPr="00EC02CA">
        <w:rPr>
          <w:rStyle w:val="FootnoteReference"/>
        </w:rPr>
        <w:footnoteReference w:id="627"/>
      </w:r>
      <w:r w:rsidR="004E04E8" w:rsidRPr="00EC02CA">
        <w:t xml:space="preserve"> </w:t>
      </w:r>
      <w:r w:rsidR="00AD2814" w:rsidRPr="00EC02CA">
        <w:t xml:space="preserve">This led the authors to suggest that </w:t>
      </w:r>
      <w:r w:rsidR="0066231F" w:rsidRPr="00EC02CA">
        <w:t xml:space="preserve">there may be ‘credence to the suggestion </w:t>
      </w:r>
      <w:r w:rsidR="007C5536" w:rsidRPr="00EC02CA">
        <w:t xml:space="preserve">that mandatory </w:t>
      </w:r>
      <w:r w:rsidR="00A26BC7" w:rsidRPr="00EC02CA">
        <w:t>reporting</w:t>
      </w:r>
      <w:r w:rsidR="007C5536" w:rsidRPr="00EC02CA">
        <w:t xml:space="preserve"> is most appropriate for cases of severe abuse and neglect’</w:t>
      </w:r>
      <w:r w:rsidR="00492834" w:rsidRPr="00EC02CA">
        <w:t>.</w:t>
      </w:r>
      <w:r w:rsidR="007C5536" w:rsidRPr="00EC02CA">
        <w:rPr>
          <w:rStyle w:val="FootnoteReference"/>
        </w:rPr>
        <w:footnoteReference w:id="628"/>
      </w:r>
      <w:r w:rsidR="004E04E8" w:rsidRPr="00EC02CA">
        <w:t xml:space="preserve"> Concerns about mandatory reporting outlined in other research include</w:t>
      </w:r>
      <w:r w:rsidR="0055633D" w:rsidRPr="00EC02CA">
        <w:t xml:space="preserve"> that</w:t>
      </w:r>
      <w:r w:rsidR="004E04E8" w:rsidRPr="00EC02CA">
        <w:t>:</w:t>
      </w:r>
    </w:p>
    <w:p w14:paraId="7A5F2CF1" w14:textId="2687A02C" w:rsidR="004E04E8" w:rsidRPr="00EC02CA" w:rsidRDefault="006D2A1A" w:rsidP="0055633D">
      <w:pPr>
        <w:pStyle w:val="Indentedquote"/>
      </w:pPr>
      <w:r w:rsidRPr="00EC02CA">
        <w:t>[I]</w:t>
      </w:r>
      <w:r w:rsidR="0055633D" w:rsidRPr="00EC02CA">
        <w:t>ncreased reporting depletes resources that are already spread thin and diverts attention away from children who need it the most. Reports of neglect disproportionately target low-income families, who may experience a Child Protective Services intervention as an additional hardship, both emotionally and sometimes financially</w:t>
      </w:r>
      <w:r w:rsidR="008B1996" w:rsidRPr="00EC02CA">
        <w:t>.</w:t>
      </w:r>
      <w:r w:rsidR="008B1996" w:rsidRPr="00EC02CA">
        <w:rPr>
          <w:rStyle w:val="FootnoteReference"/>
        </w:rPr>
        <w:footnoteReference w:id="629"/>
      </w:r>
    </w:p>
    <w:p w14:paraId="539526C9" w14:textId="079207A6" w:rsidR="000A2652" w:rsidRPr="00EC02CA" w:rsidRDefault="007E3892" w:rsidP="00A920EC">
      <w:pPr>
        <w:pStyle w:val="NormalNumberedTextTLRI"/>
      </w:pPr>
      <w:r w:rsidRPr="00EC02CA">
        <w:t xml:space="preserve">Concerns about the volume of reports </w:t>
      </w:r>
      <w:r w:rsidR="003E6EE8" w:rsidRPr="00EC02CA">
        <w:t>relative to</w:t>
      </w:r>
      <w:r w:rsidRPr="00EC02CA">
        <w:t xml:space="preserve"> the </w:t>
      </w:r>
      <w:r w:rsidR="003E6EE8" w:rsidRPr="00EC02CA">
        <w:t xml:space="preserve">proportion that are </w:t>
      </w:r>
      <w:r w:rsidR="00F1725F" w:rsidRPr="00EC02CA">
        <w:t>substantiat</w:t>
      </w:r>
      <w:r w:rsidR="003E6EE8" w:rsidRPr="00EC02CA">
        <w:t>ed</w:t>
      </w:r>
      <w:r w:rsidR="00F1725F" w:rsidRPr="00EC02CA">
        <w:t xml:space="preserve"> </w:t>
      </w:r>
      <w:r w:rsidR="003C1D5E" w:rsidRPr="00EC02CA">
        <w:t>ha</w:t>
      </w:r>
      <w:r w:rsidR="003E6EE8" w:rsidRPr="00EC02CA">
        <w:t>ve</w:t>
      </w:r>
      <w:r w:rsidR="003C1D5E" w:rsidRPr="00EC02CA">
        <w:t xml:space="preserve"> also been examined in </w:t>
      </w:r>
      <w:r w:rsidR="00176AD0" w:rsidRPr="00EC02CA">
        <w:t xml:space="preserve">a </w:t>
      </w:r>
      <w:r w:rsidR="003E6EE8" w:rsidRPr="00EC02CA">
        <w:t xml:space="preserve">2024 </w:t>
      </w:r>
      <w:r w:rsidR="00176AD0" w:rsidRPr="00EC02CA">
        <w:t>US study</w:t>
      </w:r>
      <w:r w:rsidR="003E6EE8" w:rsidRPr="00EC02CA">
        <w:t>. That</w:t>
      </w:r>
      <w:r w:rsidR="00DC51F1" w:rsidRPr="00EC02CA">
        <w:t xml:space="preserve"> </w:t>
      </w:r>
      <w:r w:rsidR="003E6EE8" w:rsidRPr="00EC02CA">
        <w:t xml:space="preserve">study </w:t>
      </w:r>
      <w:r w:rsidR="009D1538" w:rsidRPr="00EC02CA">
        <w:t>found that</w:t>
      </w:r>
      <w:r w:rsidR="006D2A1A" w:rsidRPr="00EC02CA">
        <w:t xml:space="preserve"> s</w:t>
      </w:r>
      <w:r w:rsidR="005041E9" w:rsidRPr="00EC02CA">
        <w:t>tate</w:t>
      </w:r>
      <w:r w:rsidR="006D2A1A" w:rsidRPr="00EC02CA">
        <w:t>-</w:t>
      </w:r>
      <w:r w:rsidR="000A2652" w:rsidRPr="00EC02CA">
        <w:t>mandated</w:t>
      </w:r>
      <w:r w:rsidR="005041E9" w:rsidRPr="00EC02CA">
        <w:t xml:space="preserve"> </w:t>
      </w:r>
      <w:r w:rsidR="000A2652" w:rsidRPr="00EC02CA">
        <w:t>reporting</w:t>
      </w:r>
      <w:r w:rsidR="005041E9" w:rsidRPr="00EC02CA">
        <w:t xml:space="preserve"> polic</w:t>
      </w:r>
      <w:r w:rsidR="000A2652" w:rsidRPr="00EC02CA">
        <w:t>i</w:t>
      </w:r>
      <w:r w:rsidR="005041E9" w:rsidRPr="00EC02CA">
        <w:t xml:space="preserve">es </w:t>
      </w:r>
      <w:r w:rsidR="005B7A9A" w:rsidRPr="00EC02CA">
        <w:t xml:space="preserve">(ie </w:t>
      </w:r>
      <w:r w:rsidR="000A2652" w:rsidRPr="00EC02CA">
        <w:t>definitions</w:t>
      </w:r>
      <w:r w:rsidR="005B7A9A" w:rsidRPr="00EC02CA">
        <w:t xml:space="preserve"> of </w:t>
      </w:r>
      <w:r w:rsidR="000A2652" w:rsidRPr="00EC02CA">
        <w:t>mandatory</w:t>
      </w:r>
      <w:r w:rsidR="005B7A9A" w:rsidRPr="00EC02CA">
        <w:t xml:space="preserve"> reporter</w:t>
      </w:r>
      <w:r w:rsidR="003E6EE8" w:rsidRPr="00EC02CA">
        <w:t>s</w:t>
      </w:r>
      <w:r w:rsidR="005B7A9A" w:rsidRPr="00EC02CA">
        <w:t xml:space="preserve">, training requirements, </w:t>
      </w:r>
      <w:r w:rsidR="000A2652" w:rsidRPr="00EC02CA">
        <w:t>penalties</w:t>
      </w:r>
      <w:r w:rsidR="005B7A9A" w:rsidRPr="00EC02CA">
        <w:t xml:space="preserve"> for </w:t>
      </w:r>
      <w:r w:rsidR="000A2652" w:rsidRPr="00EC02CA">
        <w:t>failure</w:t>
      </w:r>
      <w:r w:rsidR="005B7A9A" w:rsidRPr="00EC02CA">
        <w:t xml:space="preserve"> </w:t>
      </w:r>
      <w:r w:rsidR="000A2652" w:rsidRPr="00EC02CA">
        <w:t>to</w:t>
      </w:r>
      <w:r w:rsidR="005B7A9A" w:rsidRPr="00EC02CA">
        <w:t xml:space="preserve"> report, </w:t>
      </w:r>
      <w:r w:rsidR="003E6EE8" w:rsidRPr="00EC02CA">
        <w:t xml:space="preserve">and the </w:t>
      </w:r>
      <w:r w:rsidR="005B7A9A" w:rsidRPr="00EC02CA">
        <w:t>ability to report anonymously) are not associated with reporting r</w:t>
      </w:r>
      <w:r w:rsidR="000A2652" w:rsidRPr="00EC02CA">
        <w:t>ates</w:t>
      </w:r>
      <w:r w:rsidR="00B425A8" w:rsidRPr="00EC02CA">
        <w:t xml:space="preserve"> </w:t>
      </w:r>
      <w:r w:rsidR="006D2A1A" w:rsidRPr="00EC02CA">
        <w:t xml:space="preserve">or </w:t>
      </w:r>
      <w:r w:rsidR="00790F13" w:rsidRPr="00EC02CA">
        <w:t xml:space="preserve">the </w:t>
      </w:r>
      <w:r w:rsidR="00540B7A" w:rsidRPr="00EC02CA">
        <w:t>likelihood</w:t>
      </w:r>
      <w:r w:rsidR="00790F13" w:rsidRPr="00EC02CA">
        <w:t xml:space="preserve"> of </w:t>
      </w:r>
      <w:r w:rsidR="00540B7A" w:rsidRPr="00EC02CA">
        <w:t>substantiation</w:t>
      </w:r>
      <w:r w:rsidR="00992037" w:rsidRPr="00EC02CA">
        <w:t>.</w:t>
      </w:r>
      <w:r w:rsidR="00992037" w:rsidRPr="00EC02CA">
        <w:rPr>
          <w:rStyle w:val="FootnoteReference"/>
        </w:rPr>
        <w:footnoteReference w:id="630"/>
      </w:r>
    </w:p>
    <w:p w14:paraId="2052EFD6" w14:textId="34199FEE" w:rsidR="006C7B61" w:rsidRPr="00EC02CA" w:rsidRDefault="006C7B61" w:rsidP="00A920EC">
      <w:pPr>
        <w:pStyle w:val="TLRISubheading"/>
      </w:pPr>
      <w:bookmarkStart w:id="325" w:name="_Toc211849425"/>
      <w:bookmarkStart w:id="326" w:name="_Toc218157326"/>
      <w:r w:rsidRPr="00EC02CA">
        <w:t>Attrition in the criminal justice system</w:t>
      </w:r>
      <w:bookmarkEnd w:id="325"/>
      <w:bookmarkEnd w:id="326"/>
    </w:p>
    <w:p w14:paraId="48A2932C" w14:textId="50E34490" w:rsidR="00946A65" w:rsidRPr="00EC02CA" w:rsidRDefault="006C7B61" w:rsidP="002F0007">
      <w:pPr>
        <w:pStyle w:val="NormalNumberedTextTLRI"/>
      </w:pPr>
      <w:r w:rsidRPr="00EC02CA">
        <w:t>In cases where a person does report sexual offending to police, research shows that police may not charge anyone</w:t>
      </w:r>
      <w:r w:rsidR="00A242F9" w:rsidRPr="00EC02CA">
        <w:t>,</w:t>
      </w:r>
      <w:r w:rsidRPr="00EC02CA">
        <w:t xml:space="preserve"> or there may be no subsequent prosecution. This is described as ‘attrition’, which means that matters do not progress</w:t>
      </w:r>
      <w:r w:rsidR="00A242F9" w:rsidRPr="00EC02CA">
        <w:t>,</w:t>
      </w:r>
      <w:r w:rsidRPr="00EC02CA">
        <w:t xml:space="preserve"> or are discontinued between the initial report to police and trial.</w:t>
      </w:r>
      <w:r w:rsidRPr="00EC02CA">
        <w:rPr>
          <w:rStyle w:val="FootnoteReference"/>
        </w:rPr>
        <w:footnoteReference w:id="631"/>
      </w:r>
      <w:r w:rsidRPr="00EC02CA">
        <w:t xml:space="preserve"> </w:t>
      </w:r>
      <w:r w:rsidR="009E6E7D" w:rsidRPr="00EC02CA">
        <w:t xml:space="preserve">There are many factors that explain why a matter may not proceed. </w:t>
      </w:r>
      <w:r w:rsidR="00A242F9" w:rsidRPr="00EC02CA">
        <w:t>N</w:t>
      </w:r>
      <w:r w:rsidRPr="00EC02CA">
        <w:t xml:space="preserve">o charges </w:t>
      </w:r>
      <w:r w:rsidR="00A242F9" w:rsidRPr="00EC02CA">
        <w:t xml:space="preserve">may be </w:t>
      </w:r>
      <w:r w:rsidRPr="00EC02CA">
        <w:t>laid because ‘the complain</w:t>
      </w:r>
      <w:r w:rsidR="00B950A8" w:rsidRPr="00EC02CA">
        <w:t>an</w:t>
      </w:r>
      <w:r w:rsidRPr="00EC02CA">
        <w:t xml:space="preserve">t decides not proceed or the police decide not to </w:t>
      </w:r>
      <w:r w:rsidR="00A242F9" w:rsidRPr="00EC02CA">
        <w:t xml:space="preserve">[further] </w:t>
      </w:r>
      <w:r w:rsidRPr="00EC02CA">
        <w:t xml:space="preserve">investigate’ or </w:t>
      </w:r>
      <w:r w:rsidR="00BC0E52" w:rsidRPr="00EC02CA">
        <w:t xml:space="preserve">the matter </w:t>
      </w:r>
      <w:r w:rsidRPr="00EC02CA">
        <w:t>may be discontinued because ‘the police and prosecutor decide not to continue the changes or the complainant decides not to give evidence’.</w:t>
      </w:r>
      <w:r w:rsidRPr="00EC02CA">
        <w:rPr>
          <w:rStyle w:val="FootnoteReference"/>
        </w:rPr>
        <w:footnoteReference w:id="632"/>
      </w:r>
      <w:r w:rsidR="00BC0E52" w:rsidRPr="00EC02CA">
        <w:t xml:space="preserve"> </w:t>
      </w:r>
      <w:r w:rsidRPr="00EC02CA">
        <w:t xml:space="preserve">In 2025, the ALRC observed </w:t>
      </w:r>
      <w:r w:rsidR="00BC0E52" w:rsidRPr="00EC02CA">
        <w:t xml:space="preserve">that, </w:t>
      </w:r>
      <w:r w:rsidRPr="00EC02CA">
        <w:t xml:space="preserve">while </w:t>
      </w:r>
      <w:r w:rsidR="00BC0E52" w:rsidRPr="00EC02CA">
        <w:t xml:space="preserve">a </w:t>
      </w:r>
      <w:r w:rsidRPr="00EC02CA">
        <w:t xml:space="preserve">reasonable level of attrition should be expected for all reports of crime, research has found high attrition rates for sexual offences at </w:t>
      </w:r>
      <w:r w:rsidR="00BC0E52" w:rsidRPr="00EC02CA">
        <w:t xml:space="preserve">the </w:t>
      </w:r>
      <w:r w:rsidRPr="00EC02CA">
        <w:t>police investigation stage.</w:t>
      </w:r>
      <w:r w:rsidRPr="00EC02CA">
        <w:rPr>
          <w:rStyle w:val="FootnoteReference"/>
        </w:rPr>
        <w:footnoteReference w:id="633"/>
      </w:r>
      <w:r w:rsidRPr="00EC02CA">
        <w:t xml:space="preserve"> The ALRC wrote that</w:t>
      </w:r>
      <w:r w:rsidR="00BC0E52" w:rsidRPr="00EC02CA">
        <w:t>,</w:t>
      </w:r>
      <w:r w:rsidRPr="00EC02CA">
        <w:t xml:space="preserve"> ‘</w:t>
      </w:r>
      <w:r w:rsidR="00BC0E52" w:rsidRPr="00EC02CA">
        <w:t>I</w:t>
      </w:r>
      <w:r w:rsidRPr="00EC02CA">
        <w:t>n at least some Australian jurisdictions, between 75 to 85 per cent of reports [of sexual offending] to police do not proceed to charge’.</w:t>
      </w:r>
      <w:r w:rsidRPr="00EC02CA">
        <w:rPr>
          <w:rStyle w:val="FootnoteReference"/>
        </w:rPr>
        <w:footnoteReference w:id="634"/>
      </w:r>
      <w:r w:rsidRPr="00EC02CA">
        <w:t xml:space="preserve"> </w:t>
      </w:r>
    </w:p>
    <w:p w14:paraId="28C7AB40" w14:textId="6BAD0C06" w:rsidR="006C7B61" w:rsidRPr="00EC02CA" w:rsidRDefault="006C7B61" w:rsidP="002F0007">
      <w:pPr>
        <w:pStyle w:val="NormalNumberedTextTLRI"/>
      </w:pPr>
      <w:r w:rsidRPr="00EC02CA">
        <w:t xml:space="preserve">Information on Tasmanian attrition rates for child sexual offending is set out in data </w:t>
      </w:r>
      <w:r w:rsidR="0071575A" w:rsidRPr="00EC02CA">
        <w:t xml:space="preserve">for the period 2015–16 to 2022–23 </w:t>
      </w:r>
      <w:r w:rsidRPr="00EC02CA">
        <w:t>provided to the Commission of Inquiry by the Director of Public Prosecution</w:t>
      </w:r>
      <w:r w:rsidR="0071575A" w:rsidRPr="00EC02CA">
        <w:t>s. These data</w:t>
      </w:r>
      <w:r w:rsidRPr="00EC02CA">
        <w:t xml:space="preserve"> showed that in ‘some years many matters reported to police did not result in charges being laid, although in recent year</w:t>
      </w:r>
      <w:r w:rsidR="0071575A" w:rsidRPr="00EC02CA">
        <w:t>s</w:t>
      </w:r>
      <w:r w:rsidRPr="00EC02CA">
        <w:t xml:space="preserve"> the proportion of cases where charges are laid appears to be increasing’.</w:t>
      </w:r>
      <w:r w:rsidRPr="00EC02CA">
        <w:rPr>
          <w:rStyle w:val="FootnoteReference"/>
        </w:rPr>
        <w:footnoteReference w:id="635"/>
      </w:r>
      <w:r w:rsidRPr="00EC02CA">
        <w:t xml:space="preserve"> For the period 2022</w:t>
      </w:r>
      <w:r w:rsidR="0071575A" w:rsidRPr="00EC02CA">
        <w:t>–</w:t>
      </w:r>
      <w:r w:rsidRPr="00EC02CA">
        <w:t xml:space="preserve">23, </w:t>
      </w:r>
      <w:r w:rsidR="00A32EF9" w:rsidRPr="00EC02CA">
        <w:t>charge</w:t>
      </w:r>
      <w:r w:rsidR="00EA25E8" w:rsidRPr="00EC02CA">
        <w:t>s</w:t>
      </w:r>
      <w:r w:rsidR="00A32EF9" w:rsidRPr="00EC02CA">
        <w:t xml:space="preserve"> were laid in </w:t>
      </w:r>
      <w:r w:rsidRPr="00EC02CA">
        <w:t>43.8% of cases</w:t>
      </w:r>
      <w:r w:rsidR="0071575A" w:rsidRPr="00EC02CA">
        <w:t xml:space="preserve"> of sexual offending against a child</w:t>
      </w:r>
      <w:r w:rsidR="00B625BB" w:rsidRPr="00EC02CA">
        <w:t xml:space="preserve"> reported to police</w:t>
      </w:r>
      <w:r w:rsidR="0076406C" w:rsidRPr="00EC02CA">
        <w:t xml:space="preserve"> based on the </w:t>
      </w:r>
      <w:r w:rsidR="00954A8D" w:rsidRPr="00EC02CA">
        <w:t>pre-charge advice files of the Office of the DPP</w:t>
      </w:r>
      <w:r w:rsidR="00514778" w:rsidRPr="00EC02CA">
        <w:t>.</w:t>
      </w:r>
      <w:r w:rsidRPr="00EC02CA">
        <w:t xml:space="preserve"> This provides information about child sexual assault charges, but it does not indicate the number of matters that involved reports of sexual assault by a young person where charges were laid. </w:t>
      </w:r>
      <w:r w:rsidR="00514778" w:rsidRPr="00EC02CA">
        <w:t>The TLRI also does not have th</w:t>
      </w:r>
      <w:r w:rsidR="008C1561" w:rsidRPr="00EC02CA">
        <w:t>ose</w:t>
      </w:r>
      <w:r w:rsidR="00514778" w:rsidRPr="00EC02CA">
        <w:t xml:space="preserve"> data.</w:t>
      </w:r>
    </w:p>
    <w:p w14:paraId="0A9E9526" w14:textId="5A9E697E" w:rsidR="00231CC9" w:rsidRPr="00EC02CA" w:rsidRDefault="00807647" w:rsidP="002F0007">
      <w:pPr>
        <w:pStyle w:val="NormalNumberedTextTLRI"/>
      </w:pPr>
      <w:r w:rsidRPr="00EC02CA">
        <w:t>Th</w:t>
      </w:r>
      <w:r w:rsidR="00A32EF9" w:rsidRPr="00EC02CA">
        <w:t>e</w:t>
      </w:r>
      <w:r w:rsidRPr="00EC02CA">
        <w:t>r</w:t>
      </w:r>
      <w:r w:rsidR="00A32EF9" w:rsidRPr="00EC02CA">
        <w:t xml:space="preserve">e is some information about the </w:t>
      </w:r>
      <w:r w:rsidR="0071575A" w:rsidRPr="00EC02CA">
        <w:t xml:space="preserve">rate of </w:t>
      </w:r>
      <w:r w:rsidR="00B82D14" w:rsidRPr="00EC02CA">
        <w:t xml:space="preserve">attrition in sexual offence cases where a charge has been laid </w:t>
      </w:r>
      <w:r w:rsidR="00FA4BC3" w:rsidRPr="00EC02CA">
        <w:t>against a young person for a sexual offence</w:t>
      </w:r>
      <w:r w:rsidR="009E1FAE" w:rsidRPr="00EC02CA">
        <w:t xml:space="preserve"> in Tasmanian courts</w:t>
      </w:r>
      <w:r w:rsidR="00FA4BC3" w:rsidRPr="00EC02CA">
        <w:t xml:space="preserve">. </w:t>
      </w:r>
      <w:r w:rsidR="00231CC9" w:rsidRPr="00EC02CA">
        <w:t xml:space="preserve">Data </w:t>
      </w:r>
      <w:r w:rsidR="0071575A" w:rsidRPr="00EC02CA">
        <w:t xml:space="preserve">for the period 2013–14 to 2023–24 </w:t>
      </w:r>
      <w:r w:rsidR="00231CC9" w:rsidRPr="00EC02CA">
        <w:t xml:space="preserve">provided by the Department of Justice to the </w:t>
      </w:r>
      <w:r w:rsidR="00B572BF" w:rsidRPr="00EC02CA">
        <w:t xml:space="preserve">TLRI show that there </w:t>
      </w:r>
      <w:r w:rsidR="00025E1E" w:rsidRPr="00EC02CA">
        <w:t>were</w:t>
      </w:r>
      <w:r w:rsidR="00B572BF" w:rsidRPr="00EC02CA">
        <w:t xml:space="preserve"> </w:t>
      </w:r>
      <w:r w:rsidR="00636FCC" w:rsidRPr="00EC02CA">
        <w:t>586</w:t>
      </w:r>
      <w:r w:rsidR="005946D0" w:rsidRPr="00EC02CA">
        <w:t xml:space="preserve"> </w:t>
      </w:r>
      <w:r w:rsidR="00B572BF" w:rsidRPr="00EC02CA">
        <w:t xml:space="preserve">charges finalised </w:t>
      </w:r>
      <w:r w:rsidR="005946D0" w:rsidRPr="00EC02CA">
        <w:t xml:space="preserve">in Tasmanian courts </w:t>
      </w:r>
      <w:r w:rsidR="00FA4BC3" w:rsidRPr="00EC02CA">
        <w:t>where</w:t>
      </w:r>
      <w:r w:rsidR="00025E1E" w:rsidRPr="00EC02CA">
        <w:t xml:space="preserve"> young offenders </w:t>
      </w:r>
      <w:r w:rsidR="00FA4BC3" w:rsidRPr="00EC02CA">
        <w:t xml:space="preserve">were </w:t>
      </w:r>
      <w:r w:rsidR="00025E1E" w:rsidRPr="00EC02CA">
        <w:t xml:space="preserve">charged with a sexual offence. </w:t>
      </w:r>
      <w:r w:rsidR="00CC4662" w:rsidRPr="00EC02CA">
        <w:t>Of those,</w:t>
      </w:r>
      <w:r w:rsidR="008D0FA4" w:rsidRPr="00EC02CA">
        <w:t xml:space="preserve"> </w:t>
      </w:r>
      <w:r w:rsidR="00636FCC" w:rsidRPr="00EC02CA">
        <w:t>97</w:t>
      </w:r>
      <w:r w:rsidR="002C4605" w:rsidRPr="00EC02CA">
        <w:t xml:space="preserve"> charges</w:t>
      </w:r>
      <w:r w:rsidR="00CC4662" w:rsidRPr="00EC02CA">
        <w:t xml:space="preserve"> </w:t>
      </w:r>
      <w:r w:rsidR="00E5643E" w:rsidRPr="00EC02CA">
        <w:t>(</w:t>
      </w:r>
      <w:r w:rsidR="006C40BC" w:rsidRPr="00EC02CA">
        <w:t>16.5</w:t>
      </w:r>
      <w:r w:rsidR="00E5643E" w:rsidRPr="00EC02CA">
        <w:t xml:space="preserve">%) </w:t>
      </w:r>
      <w:r w:rsidR="00CC4662" w:rsidRPr="00EC02CA">
        <w:t>were withdrawn or dismissed</w:t>
      </w:r>
      <w:r w:rsidR="00E5643E" w:rsidRPr="00EC02CA">
        <w:t>.</w:t>
      </w:r>
      <w:r w:rsidR="009116E4" w:rsidRPr="00EC02CA">
        <w:t xml:space="preserve"> </w:t>
      </w:r>
      <w:r w:rsidR="006C40BC" w:rsidRPr="00EC02CA">
        <w:t xml:space="preserve">There were </w:t>
      </w:r>
      <w:r w:rsidR="00902C07" w:rsidRPr="00EC02CA">
        <w:t xml:space="preserve">350 charges finalised in the </w:t>
      </w:r>
      <w:r w:rsidR="00750F3B" w:rsidRPr="00EC02CA">
        <w:t>Supreme</w:t>
      </w:r>
      <w:r w:rsidR="00902C07" w:rsidRPr="00EC02CA">
        <w:t xml:space="preserve"> Court</w:t>
      </w:r>
      <w:r w:rsidR="0071575A" w:rsidRPr="00EC02CA">
        <w:t>,</w:t>
      </w:r>
      <w:r w:rsidR="00336CAA" w:rsidRPr="00EC02CA">
        <w:t xml:space="preserve">  </w:t>
      </w:r>
      <w:r w:rsidR="000200FD" w:rsidRPr="00EC02CA">
        <w:t>relating</w:t>
      </w:r>
      <w:r w:rsidR="00336CAA" w:rsidRPr="00EC02CA">
        <w:t xml:space="preserve"> to </w:t>
      </w:r>
      <w:r w:rsidR="000200FD" w:rsidRPr="00EC02CA">
        <w:t>53 defendants</w:t>
      </w:r>
      <w:r w:rsidR="00902C07" w:rsidRPr="00EC02CA">
        <w:t xml:space="preserve">, of which 36 were </w:t>
      </w:r>
      <w:r w:rsidR="00B36220" w:rsidRPr="00EC02CA">
        <w:t>withdrawn and dismissed</w:t>
      </w:r>
      <w:r w:rsidR="00902C07" w:rsidRPr="00EC02CA">
        <w:t xml:space="preserve"> (</w:t>
      </w:r>
      <w:r w:rsidR="00750F3B" w:rsidRPr="00EC02CA">
        <w:t xml:space="preserve">10.3%). </w:t>
      </w:r>
      <w:r w:rsidR="00B36220" w:rsidRPr="00EC02CA">
        <w:t>In</w:t>
      </w:r>
      <w:r w:rsidR="002C4605" w:rsidRPr="00EC02CA">
        <w:t xml:space="preserve"> the Youth Justice Division</w:t>
      </w:r>
      <w:r w:rsidR="00750F3B" w:rsidRPr="00EC02CA">
        <w:t xml:space="preserve">, of the </w:t>
      </w:r>
      <w:r w:rsidR="00B36220" w:rsidRPr="00EC02CA">
        <w:t>236 charges finalised</w:t>
      </w:r>
      <w:r w:rsidR="008A002A" w:rsidRPr="00EC02CA">
        <w:t xml:space="preserve"> in relation to 124 defendant</w:t>
      </w:r>
      <w:r w:rsidR="00D2180B" w:rsidRPr="00EC02CA">
        <w:t>s</w:t>
      </w:r>
      <w:r w:rsidR="00B36220" w:rsidRPr="00EC02CA">
        <w:t xml:space="preserve">, </w:t>
      </w:r>
      <w:r w:rsidR="00D2180B" w:rsidRPr="00EC02CA">
        <w:t>61 charges</w:t>
      </w:r>
      <w:r w:rsidR="00B36220" w:rsidRPr="00EC02CA">
        <w:t xml:space="preserve"> </w:t>
      </w:r>
      <w:r w:rsidR="00EF61D9" w:rsidRPr="00EC02CA">
        <w:t xml:space="preserve">were </w:t>
      </w:r>
      <w:r w:rsidR="00B36220" w:rsidRPr="00EC02CA">
        <w:t xml:space="preserve">withdrawn or dismissed </w:t>
      </w:r>
      <w:r w:rsidR="009E1FAE" w:rsidRPr="00EC02CA">
        <w:t>(25.8%).</w:t>
      </w:r>
    </w:p>
    <w:p w14:paraId="49917912" w14:textId="7CB441FF" w:rsidR="006C7B61" w:rsidRPr="00EC02CA" w:rsidRDefault="006C7B61" w:rsidP="002F0007">
      <w:pPr>
        <w:pStyle w:val="NormalNumberedTextTLRI"/>
      </w:pPr>
      <w:r w:rsidRPr="00EC02CA">
        <w:t>As noted, attrition may result from a range of factors including ‘people withdrawing their reports; unco-operative or unreliable witnesses; contradictory forensic evidence</w:t>
      </w:r>
      <w:r w:rsidR="00EF61D9" w:rsidRPr="00EC02CA">
        <w:t>;</w:t>
      </w:r>
      <w:r w:rsidRPr="00EC02CA">
        <w:t xml:space="preserve"> an inability to identify or locate the accused person; or insufficient evidence to prove the crime alleged’.</w:t>
      </w:r>
      <w:r w:rsidRPr="00EC02CA">
        <w:rPr>
          <w:rStyle w:val="FootnoteReference"/>
        </w:rPr>
        <w:footnoteReference w:id="636"/>
      </w:r>
      <w:r w:rsidRPr="00EC02CA">
        <w:t xml:space="preserve"> It </w:t>
      </w:r>
      <w:r w:rsidR="00EF61D9" w:rsidRPr="00EC02CA">
        <w:t xml:space="preserve">is </w:t>
      </w:r>
      <w:r w:rsidRPr="00EC02CA">
        <w:t>noted that ‘available data shows that up to 85% of sexual violence reports made to police do not progress to charge’</w:t>
      </w:r>
      <w:r w:rsidR="00EF61D9" w:rsidRPr="00EC02CA">
        <w:t>,</w:t>
      </w:r>
      <w:r w:rsidRPr="00EC02CA">
        <w:t xml:space="preserve"> with national data showing that ‘attrition levels for reports of sexual violence at the police investigation stage are higher than for other crimes’.</w:t>
      </w:r>
      <w:r w:rsidRPr="00EC02CA">
        <w:rPr>
          <w:rStyle w:val="FootnoteReference"/>
        </w:rPr>
        <w:footnoteReference w:id="637"/>
      </w:r>
      <w:r w:rsidRPr="00EC02CA">
        <w:t xml:space="preserve"> This may reflect </w:t>
      </w:r>
      <w:r w:rsidR="00EF61D9" w:rsidRPr="00EC02CA">
        <w:t>the</w:t>
      </w:r>
      <w:r w:rsidRPr="00EC02CA">
        <w:t xml:space="preserve"> choice</w:t>
      </w:r>
      <w:r w:rsidR="00EF61D9" w:rsidRPr="00EC02CA">
        <w:t>s</w:t>
      </w:r>
      <w:r w:rsidRPr="00EC02CA">
        <w:t xml:space="preserve"> of </w:t>
      </w:r>
      <w:r w:rsidR="00886B70" w:rsidRPr="00EC02CA">
        <w:t>victim-survivor</w:t>
      </w:r>
      <w:r w:rsidRPr="00EC02CA">
        <w:t>s,</w:t>
      </w:r>
      <w:r w:rsidRPr="00EC02CA">
        <w:rPr>
          <w:rStyle w:val="FootnoteReference"/>
        </w:rPr>
        <w:footnoteReference w:id="638"/>
      </w:r>
      <w:r w:rsidRPr="00EC02CA">
        <w:t xml:space="preserve"> however, research examining the views of adult </w:t>
      </w:r>
      <w:r w:rsidR="003C2332" w:rsidRPr="00EC02CA">
        <w:t>victim-survivors</w:t>
      </w:r>
      <w:r w:rsidRPr="00EC02CA">
        <w:t xml:space="preserve"> found that for most participants</w:t>
      </w:r>
      <w:r w:rsidR="00EF61D9" w:rsidRPr="00EC02CA">
        <w:t>,</w:t>
      </w:r>
      <w:r w:rsidRPr="00EC02CA">
        <w:t xml:space="preserve"> if they had taken the step of reporting to police, </w:t>
      </w:r>
      <w:r w:rsidR="00EF61D9" w:rsidRPr="00EC02CA">
        <w:t xml:space="preserve">they </w:t>
      </w:r>
      <w:r w:rsidRPr="00EC02CA">
        <w:t>then did want the matter to progress.</w:t>
      </w:r>
      <w:r w:rsidRPr="00EC02CA">
        <w:rPr>
          <w:rStyle w:val="FootnoteReference"/>
        </w:rPr>
        <w:footnoteReference w:id="639"/>
      </w:r>
      <w:r w:rsidRPr="00EC02CA">
        <w:t xml:space="preserve"> There are a number of reasons identified in </w:t>
      </w:r>
      <w:r w:rsidR="00EF61D9" w:rsidRPr="00EC02CA">
        <w:t xml:space="preserve">the </w:t>
      </w:r>
      <w:r w:rsidRPr="00EC02CA">
        <w:t xml:space="preserve">research about why matters may not proceed to trial, and in the context of sexual offending, research (in the context of adult complainants) has indicted that </w:t>
      </w:r>
      <w:r w:rsidR="00EF61D9" w:rsidRPr="00EC02CA">
        <w:t xml:space="preserve">attrition </w:t>
      </w:r>
      <w:r w:rsidRPr="00EC02CA">
        <w:t>is ‘largely as result of justice agencies determining that</w:t>
      </w:r>
      <w:r w:rsidR="00C60B49" w:rsidRPr="00EC02CA">
        <w:t xml:space="preserve"> the</w:t>
      </w:r>
      <w:r w:rsidRPr="00EC02CA">
        <w:t xml:space="preserve"> prosecution is unlikely to succeed’.</w:t>
      </w:r>
      <w:r w:rsidRPr="00EC02CA">
        <w:rPr>
          <w:rStyle w:val="FootnoteReference"/>
        </w:rPr>
        <w:footnoteReference w:id="640"/>
      </w:r>
      <w:r w:rsidRPr="00EC02CA">
        <w:t xml:space="preserve"> Research has also reported fewer guilty pleas and fewer convictions for physical sexual violence than other offences.</w:t>
      </w:r>
      <w:r w:rsidRPr="00EC02CA">
        <w:rPr>
          <w:rStyle w:val="FootnoteReference"/>
        </w:rPr>
        <w:footnoteReference w:id="641"/>
      </w:r>
      <w:r w:rsidRPr="00EC02CA">
        <w:t xml:space="preserve"> However, data provided to the Commission of Inquiry indicated </w:t>
      </w:r>
      <w:r w:rsidR="00EF61D9" w:rsidRPr="00EC02CA">
        <w:t xml:space="preserve">conviction rates for </w:t>
      </w:r>
      <w:r w:rsidR="0060564E" w:rsidRPr="00EC02CA">
        <w:t>physical</w:t>
      </w:r>
      <w:r w:rsidR="00EF61D9" w:rsidRPr="00EC02CA">
        <w:t xml:space="preserve"> sexual offences </w:t>
      </w:r>
      <w:r w:rsidRPr="00EC02CA">
        <w:t>w</w:t>
      </w:r>
      <w:r w:rsidR="00EF61D9" w:rsidRPr="00EC02CA">
        <w:t>ere</w:t>
      </w:r>
      <w:r w:rsidRPr="00EC02CA">
        <w:t xml:space="preserve"> high</w:t>
      </w:r>
      <w:r w:rsidR="00EF61D9" w:rsidRPr="00EC02CA">
        <w:t>er in Tasmania</w:t>
      </w:r>
      <w:r w:rsidRPr="00EC02CA">
        <w:t xml:space="preserve"> compared with other jurisdictions</w:t>
      </w:r>
      <w:r w:rsidR="00EF61D9" w:rsidRPr="00EC02CA">
        <w:t xml:space="preserve">, with a </w:t>
      </w:r>
      <w:r w:rsidRPr="00EC02CA">
        <w:t>67.53% conviction rate and a discharge rate of 23.3%.</w:t>
      </w:r>
      <w:r w:rsidRPr="00EC02CA">
        <w:rPr>
          <w:rStyle w:val="FootnoteReference"/>
        </w:rPr>
        <w:footnoteReference w:id="642"/>
      </w:r>
    </w:p>
    <w:p w14:paraId="1C5EC482" w14:textId="7FC6ECC2" w:rsidR="00760120" w:rsidRPr="00EC02CA" w:rsidRDefault="00760120" w:rsidP="002F0007">
      <w:pPr>
        <w:pStyle w:val="NormalNumberedTextTLRI"/>
        <w:numPr>
          <w:ilvl w:val="2"/>
          <w:numId w:val="22"/>
        </w:numPr>
      </w:pPr>
      <w:r w:rsidRPr="00EC02CA">
        <w:t xml:space="preserve">In Tasmania, </w:t>
      </w:r>
      <w:r w:rsidR="0015765C" w:rsidRPr="00EC02CA">
        <w:t>the Commission of Inquiry considered the police response to child sexual abuse</w:t>
      </w:r>
      <w:r w:rsidR="00EF61D9" w:rsidRPr="00EC02CA">
        <w:t>,</w:t>
      </w:r>
      <w:r w:rsidR="0015765C" w:rsidRPr="00EC02CA">
        <w:t xml:space="preserve"> given that police ‘are often the first point of contact with the criminal justice system for </w:t>
      </w:r>
      <w:r w:rsidR="00886B70" w:rsidRPr="00EC02CA">
        <w:t>victim-survivor</w:t>
      </w:r>
      <w:r w:rsidR="0015765C" w:rsidRPr="00EC02CA">
        <w:t>s’,</w:t>
      </w:r>
      <w:r w:rsidR="0015765C" w:rsidRPr="00EC02CA">
        <w:rPr>
          <w:rStyle w:val="FootnoteReference"/>
        </w:rPr>
        <w:footnoteReference w:id="643"/>
      </w:r>
      <w:r w:rsidR="0015765C" w:rsidRPr="00EC02CA">
        <w:t xml:space="preserve"> and the ‘criminal justice system only works if </w:t>
      </w:r>
      <w:r w:rsidR="00886B70" w:rsidRPr="00EC02CA">
        <w:t>victim-survivor</w:t>
      </w:r>
      <w:r w:rsidR="0015765C" w:rsidRPr="00EC02CA">
        <w:t>s feel comfortable coming forward and making a complaint to police’.</w:t>
      </w:r>
      <w:r w:rsidR="0015765C" w:rsidRPr="00EC02CA">
        <w:rPr>
          <w:rStyle w:val="FootnoteReference"/>
        </w:rPr>
        <w:footnoteReference w:id="644"/>
      </w:r>
      <w:r w:rsidR="0015765C" w:rsidRPr="00EC02CA">
        <w:t xml:space="preserve"> It was noted that Tasmania Police had introduced </w:t>
      </w:r>
      <w:r w:rsidR="00EF61D9" w:rsidRPr="00EC02CA">
        <w:t xml:space="preserve">several </w:t>
      </w:r>
      <w:r w:rsidR="0015765C" w:rsidRPr="00EC02CA">
        <w:t xml:space="preserve">reforms </w:t>
      </w:r>
      <w:r w:rsidR="0067607C" w:rsidRPr="00EC02CA">
        <w:t xml:space="preserve">to address the needs of </w:t>
      </w:r>
      <w:r w:rsidR="00886B70" w:rsidRPr="00EC02CA">
        <w:t>victim-survivor</w:t>
      </w:r>
      <w:r w:rsidR="00F3531C" w:rsidRPr="00EC02CA">
        <w:t xml:space="preserve">s, but </w:t>
      </w:r>
      <w:r w:rsidR="00EF61D9" w:rsidRPr="00EC02CA">
        <w:t xml:space="preserve">the Commission </w:t>
      </w:r>
      <w:r w:rsidR="00F3531C" w:rsidRPr="00EC02CA">
        <w:t>made recommendations for future reforms</w:t>
      </w:r>
      <w:r w:rsidR="004E33AE" w:rsidRPr="00EC02CA">
        <w:t xml:space="preserve">, </w:t>
      </w:r>
      <w:r w:rsidR="0015765C" w:rsidRPr="00EC02CA">
        <w:t>including:</w:t>
      </w:r>
    </w:p>
    <w:p w14:paraId="3176249F" w14:textId="2A54D33E" w:rsidR="00184BA1" w:rsidRPr="00EC02CA" w:rsidRDefault="001F58EF" w:rsidP="0015765C">
      <w:pPr>
        <w:pStyle w:val="DotPointTLRI"/>
      </w:pPr>
      <w:r w:rsidRPr="00EC02CA">
        <w:t>e</w:t>
      </w:r>
      <w:r w:rsidR="00CF7C33" w:rsidRPr="00EC02CA">
        <w:t>stablishing</w:t>
      </w:r>
      <w:r w:rsidR="00184BA1" w:rsidRPr="00EC02CA">
        <w:t xml:space="preserve"> </w:t>
      </w:r>
      <w:r w:rsidR="00616A17" w:rsidRPr="00EC02CA">
        <w:t xml:space="preserve">a </w:t>
      </w:r>
      <w:r w:rsidR="00184BA1" w:rsidRPr="00EC02CA">
        <w:t>specialist police unit</w:t>
      </w:r>
      <w:r w:rsidRPr="00EC02CA">
        <w:t>;</w:t>
      </w:r>
    </w:p>
    <w:p w14:paraId="0477ABF9" w14:textId="716E3F11" w:rsidR="00616A17" w:rsidRPr="00EC02CA" w:rsidRDefault="001F58EF" w:rsidP="0015765C">
      <w:pPr>
        <w:pStyle w:val="DotPointTLRI"/>
      </w:pPr>
      <w:r w:rsidRPr="00EC02CA">
        <w:t>i</w:t>
      </w:r>
      <w:r w:rsidR="004E33AE" w:rsidRPr="00EC02CA">
        <w:t>ntroducing s</w:t>
      </w:r>
      <w:r w:rsidR="00616A17" w:rsidRPr="00EC02CA">
        <w:t xml:space="preserve">pecialist training, </w:t>
      </w:r>
      <w:r w:rsidR="001D4572" w:rsidRPr="00EC02CA">
        <w:t>including</w:t>
      </w:r>
      <w:r w:rsidR="00616A17" w:rsidRPr="00EC02CA">
        <w:t xml:space="preserve"> </w:t>
      </w:r>
      <w:r w:rsidR="001D4572" w:rsidRPr="00EC02CA">
        <w:t>training</w:t>
      </w:r>
      <w:r w:rsidR="00616A17" w:rsidRPr="00EC02CA">
        <w:t xml:space="preserve"> on </w:t>
      </w:r>
      <w:r w:rsidR="001D4572" w:rsidRPr="00EC02CA">
        <w:t>interviewing</w:t>
      </w:r>
      <w:r w:rsidR="00616A17" w:rsidRPr="00EC02CA">
        <w:t xml:space="preserve"> child and </w:t>
      </w:r>
      <w:r w:rsidR="001D4572" w:rsidRPr="00EC02CA">
        <w:t>vulnerable</w:t>
      </w:r>
      <w:r w:rsidR="00616A17" w:rsidRPr="00EC02CA">
        <w:t xml:space="preserve"> </w:t>
      </w:r>
      <w:r w:rsidR="00E904FB" w:rsidRPr="00EC02CA">
        <w:t>witnesses</w:t>
      </w:r>
      <w:r w:rsidR="00EF61D9" w:rsidRPr="00EC02CA">
        <w:t>,</w:t>
      </w:r>
      <w:r w:rsidR="00E904FB" w:rsidRPr="00EC02CA">
        <w:t xml:space="preserve"> including</w:t>
      </w:r>
      <w:r w:rsidR="00FE312A" w:rsidRPr="00EC02CA">
        <w:t xml:space="preserve"> through improving professional </w:t>
      </w:r>
      <w:r w:rsidR="00E904FB" w:rsidRPr="00EC02CA">
        <w:t>development for all police</w:t>
      </w:r>
      <w:r w:rsidRPr="00EC02CA">
        <w:t>;</w:t>
      </w:r>
      <w:r w:rsidR="005D02CB" w:rsidRPr="00EC02CA">
        <w:rPr>
          <w:rStyle w:val="FootnoteReference"/>
        </w:rPr>
        <w:footnoteReference w:id="645"/>
      </w:r>
    </w:p>
    <w:p w14:paraId="55899F6D" w14:textId="3006C2B5" w:rsidR="005D02CB" w:rsidRPr="00EC02CA" w:rsidRDefault="001F58EF" w:rsidP="0015765C">
      <w:pPr>
        <w:pStyle w:val="DotPointTLRI"/>
      </w:pPr>
      <w:r w:rsidRPr="00EC02CA">
        <w:t>m</w:t>
      </w:r>
      <w:r w:rsidR="00985CB6" w:rsidRPr="00EC02CA">
        <w:t>aking</w:t>
      </w:r>
      <w:r w:rsidR="005D02CB" w:rsidRPr="00EC02CA">
        <w:t xml:space="preserve"> </w:t>
      </w:r>
      <w:r w:rsidR="00985CB6" w:rsidRPr="00EC02CA">
        <w:t>reporting</w:t>
      </w:r>
      <w:r w:rsidR="005D02CB" w:rsidRPr="00EC02CA">
        <w:t xml:space="preserve"> easier by </w:t>
      </w:r>
      <w:r w:rsidR="00985CB6" w:rsidRPr="00EC02CA">
        <w:t>establishing ways for people to report child sexual abuse online</w:t>
      </w:r>
      <w:r w:rsidRPr="00EC02CA">
        <w:t>; and</w:t>
      </w:r>
    </w:p>
    <w:p w14:paraId="18645BA4" w14:textId="0E685600" w:rsidR="00354440" w:rsidRPr="00EC02CA" w:rsidRDefault="001F58EF" w:rsidP="00164B9B">
      <w:pPr>
        <w:pStyle w:val="DotPointTLRI"/>
      </w:pPr>
      <w:r w:rsidRPr="00EC02CA">
        <w:t>d</w:t>
      </w:r>
      <w:r w:rsidR="004E33AE" w:rsidRPr="00EC02CA">
        <w:t>evel</w:t>
      </w:r>
      <w:r w:rsidR="00CA1DB8" w:rsidRPr="00EC02CA">
        <w:t xml:space="preserve">oping </w:t>
      </w:r>
      <w:r w:rsidR="00FE312A" w:rsidRPr="00EC02CA">
        <w:t>a strategy to engage with priority communities</w:t>
      </w:r>
      <w:r w:rsidR="00740884" w:rsidRPr="00EC02CA">
        <w:t>.</w:t>
      </w:r>
      <w:r w:rsidR="00740884" w:rsidRPr="00EC02CA">
        <w:rPr>
          <w:rStyle w:val="FootnoteReference"/>
        </w:rPr>
        <w:footnoteReference w:id="646"/>
      </w:r>
    </w:p>
    <w:p w14:paraId="2A579F36" w14:textId="2EF0870A" w:rsidR="00B277B2" w:rsidRPr="00EC02CA" w:rsidRDefault="00B277B2" w:rsidP="002F0007">
      <w:pPr>
        <w:pStyle w:val="NormalNumberedTextTLRI"/>
      </w:pPr>
      <w:r w:rsidRPr="00EC02CA">
        <w:t xml:space="preserve">The Commission of Inquiry also </w:t>
      </w:r>
      <w:r w:rsidR="00051510" w:rsidRPr="00EC02CA">
        <w:t xml:space="preserve">observed changes in the approach of the Office of the Director of Public Prosecutions </w:t>
      </w:r>
      <w:r w:rsidR="00EF61D9" w:rsidRPr="00EC02CA">
        <w:t xml:space="preserve">aimed at </w:t>
      </w:r>
      <w:r w:rsidR="002D1B0A" w:rsidRPr="00EC02CA">
        <w:t>improv</w:t>
      </w:r>
      <w:r w:rsidR="00EF61D9" w:rsidRPr="00EC02CA">
        <w:t>ing</w:t>
      </w:r>
      <w:r w:rsidR="002D1B0A" w:rsidRPr="00EC02CA">
        <w:t xml:space="preserve"> </w:t>
      </w:r>
      <w:r w:rsidR="00051510" w:rsidRPr="00EC02CA">
        <w:t xml:space="preserve">communication with </w:t>
      </w:r>
      <w:r w:rsidR="002D1B0A" w:rsidRPr="00EC02CA">
        <w:t xml:space="preserve">victims (complainants), and </w:t>
      </w:r>
      <w:r w:rsidRPr="00EC02CA">
        <w:t>made recommendation</w:t>
      </w:r>
      <w:r w:rsidR="00EF61D9" w:rsidRPr="00EC02CA">
        <w:t>s</w:t>
      </w:r>
      <w:r w:rsidRPr="00EC02CA">
        <w:t xml:space="preserve"> in relation to </w:t>
      </w:r>
      <w:r w:rsidR="00E73395" w:rsidRPr="00EC02CA">
        <w:t xml:space="preserve">the need to provide professional development to staff to better inform </w:t>
      </w:r>
      <w:r w:rsidRPr="00EC02CA">
        <w:t>prosecution responses.</w:t>
      </w:r>
      <w:r w:rsidR="00E73395" w:rsidRPr="00EC02CA">
        <w:rPr>
          <w:rStyle w:val="FootnoteReference"/>
        </w:rPr>
        <w:footnoteReference w:id="647"/>
      </w:r>
      <w:r w:rsidR="001C209B" w:rsidRPr="00EC02CA">
        <w:t xml:space="preserve"> Additional </w:t>
      </w:r>
      <w:r w:rsidR="00A2750A" w:rsidRPr="00EC02CA">
        <w:t>recommendations</w:t>
      </w:r>
      <w:r w:rsidR="001C209B" w:rsidRPr="00EC02CA">
        <w:t xml:space="preserve"> were made in relation to </w:t>
      </w:r>
      <w:r w:rsidR="00282778" w:rsidRPr="00EC02CA">
        <w:t>management of cases within the court system, the operation of the rules of evidence</w:t>
      </w:r>
      <w:r w:rsidR="00016C0E" w:rsidRPr="00EC02CA">
        <w:t xml:space="preserve">, </w:t>
      </w:r>
      <w:r w:rsidR="00EF61D9" w:rsidRPr="00EC02CA">
        <w:t xml:space="preserve">the reform of </w:t>
      </w:r>
      <w:r w:rsidR="00016C0E" w:rsidRPr="00EC02CA">
        <w:t>jury directions</w:t>
      </w:r>
      <w:r w:rsidR="00451490" w:rsidRPr="00EC02CA">
        <w:t xml:space="preserve">, and </w:t>
      </w:r>
      <w:r w:rsidR="00EF61D9" w:rsidRPr="00EC02CA">
        <w:t xml:space="preserve">the support of </w:t>
      </w:r>
      <w:r w:rsidR="00451490" w:rsidRPr="00EC02CA">
        <w:t>the professional development of judicial officers</w:t>
      </w:r>
      <w:r w:rsidR="00282778" w:rsidRPr="00EC02CA">
        <w:t>.</w:t>
      </w:r>
      <w:r w:rsidR="00282778" w:rsidRPr="00EC02CA">
        <w:rPr>
          <w:rStyle w:val="FootnoteReference"/>
        </w:rPr>
        <w:footnoteReference w:id="648"/>
      </w:r>
    </w:p>
    <w:p w14:paraId="26ACCBF0" w14:textId="5C795CAE" w:rsidR="00E85577" w:rsidRPr="00EC02CA" w:rsidRDefault="00E85577" w:rsidP="002F0007">
      <w:pPr>
        <w:pStyle w:val="NormalNumberedTextTLRI"/>
      </w:pPr>
      <w:r w:rsidRPr="00EC02CA">
        <w:t>The Commission of Inquiry also made recommendations</w:t>
      </w:r>
      <w:r w:rsidR="00805C60" w:rsidRPr="00EC02CA">
        <w:t xml:space="preserve"> relating to collecting and publishing key data about child sexual abuse</w:t>
      </w:r>
      <w:r w:rsidR="00556651" w:rsidRPr="00EC02CA">
        <w:t>,</w:t>
      </w:r>
      <w:r w:rsidR="00805C60" w:rsidRPr="00EC02CA">
        <w:t xml:space="preserve"> </w:t>
      </w:r>
      <w:r w:rsidR="00A57218" w:rsidRPr="00EC02CA">
        <w:t>including</w:t>
      </w:r>
      <w:r w:rsidR="00805C60" w:rsidRPr="00EC02CA">
        <w:t xml:space="preserve"> the number of reports </w:t>
      </w:r>
      <w:r w:rsidR="00A57218" w:rsidRPr="00EC02CA">
        <w:t>of child sexual abuse made to police, and basi</w:t>
      </w:r>
      <w:r w:rsidR="008C1561" w:rsidRPr="00EC02CA">
        <w:t>c</w:t>
      </w:r>
      <w:r w:rsidR="00A57218" w:rsidRPr="00EC02CA">
        <w:t xml:space="preserve"> demographics of </w:t>
      </w:r>
      <w:r w:rsidR="00886B70" w:rsidRPr="00EC02CA">
        <w:t>victim-survivor</w:t>
      </w:r>
      <w:r w:rsidR="00A57218" w:rsidRPr="00EC02CA">
        <w:t xml:space="preserve">s and alleged </w:t>
      </w:r>
      <w:r w:rsidR="00901E4A" w:rsidRPr="00EC02CA">
        <w:t>offender</w:t>
      </w:r>
      <w:r w:rsidR="00A57218" w:rsidRPr="00EC02CA">
        <w:t xml:space="preserve">s (eg age, gender </w:t>
      </w:r>
      <w:r w:rsidR="00556651" w:rsidRPr="00EC02CA">
        <w:t xml:space="preserve">and </w:t>
      </w:r>
      <w:r w:rsidR="00A57218" w:rsidRPr="00EC02CA">
        <w:t xml:space="preserve">Aboriginal </w:t>
      </w:r>
      <w:r w:rsidR="00F87D22" w:rsidRPr="00EC02CA">
        <w:t>s</w:t>
      </w:r>
      <w:r w:rsidR="00A57218" w:rsidRPr="00EC02CA">
        <w:t>tatus).</w:t>
      </w:r>
      <w:r w:rsidR="00A57218" w:rsidRPr="00EC02CA">
        <w:rPr>
          <w:rStyle w:val="FootnoteReference"/>
        </w:rPr>
        <w:footnoteReference w:id="649"/>
      </w:r>
    </w:p>
    <w:p w14:paraId="0775E663" w14:textId="0FFEB38C" w:rsidR="00F35395" w:rsidRPr="00EC02CA" w:rsidRDefault="00D10F84" w:rsidP="00F35395">
      <w:pPr>
        <w:pStyle w:val="NumberedHeadingTLRI"/>
      </w:pPr>
      <w:bookmarkStart w:id="327" w:name="_Toc211849426"/>
      <w:bookmarkStart w:id="328" w:name="_Toc218157327"/>
      <w:bookmarkStart w:id="329" w:name="_Ref218240380"/>
      <w:bookmarkStart w:id="330" w:name="_Ref218240404"/>
      <w:bookmarkStart w:id="331" w:name="_Ref218242119"/>
      <w:bookmarkStart w:id="332" w:name="_Ref218242155"/>
      <w:r w:rsidRPr="00EC02CA">
        <w:t>TLRI’s views and recommendations</w:t>
      </w:r>
      <w:bookmarkEnd w:id="327"/>
      <w:bookmarkEnd w:id="328"/>
      <w:bookmarkEnd w:id="329"/>
      <w:bookmarkEnd w:id="330"/>
      <w:bookmarkEnd w:id="331"/>
      <w:bookmarkEnd w:id="332"/>
    </w:p>
    <w:p w14:paraId="21B15987" w14:textId="6924861B" w:rsidR="00F86165" w:rsidRPr="00EC02CA" w:rsidRDefault="00691D8F" w:rsidP="002F0007">
      <w:pPr>
        <w:pStyle w:val="NormalNumberedTextTLRI"/>
      </w:pPr>
      <w:r w:rsidRPr="00EC02CA">
        <w:t xml:space="preserve">Although it is not clear </w:t>
      </w:r>
      <w:r w:rsidR="00561F93" w:rsidRPr="00EC02CA">
        <w:t xml:space="preserve">what </w:t>
      </w:r>
      <w:r w:rsidRPr="00EC02CA">
        <w:t xml:space="preserve">proportion of sexual abuse experienced by Tasmanian children and adults is committed by young people, </w:t>
      </w:r>
      <w:r w:rsidR="003D79B3" w:rsidRPr="00EC02CA">
        <w:t xml:space="preserve">the </w:t>
      </w:r>
      <w:r w:rsidRPr="00EC02CA">
        <w:t>available research shows that children</w:t>
      </w:r>
      <w:r w:rsidR="00561F93" w:rsidRPr="00EC02CA">
        <w:t xml:space="preserve"> </w:t>
      </w:r>
      <w:r w:rsidRPr="00EC02CA">
        <w:t xml:space="preserve">experience physical sexual abuse </w:t>
      </w:r>
      <w:r w:rsidR="00A851D6" w:rsidRPr="00EC02CA">
        <w:t>at the hands of</w:t>
      </w:r>
      <w:r w:rsidRPr="00EC02CA">
        <w:t xml:space="preserve"> </w:t>
      </w:r>
      <w:r w:rsidR="00561F93" w:rsidRPr="00EC02CA">
        <w:t>other</w:t>
      </w:r>
      <w:r w:rsidRPr="00EC02CA">
        <w:t xml:space="preserve"> young pe</w:t>
      </w:r>
      <w:r w:rsidR="00561F93" w:rsidRPr="00EC02CA">
        <w:t>ople</w:t>
      </w:r>
      <w:r w:rsidR="0066727C" w:rsidRPr="00EC02CA">
        <w:t>, not just adults</w:t>
      </w:r>
      <w:r w:rsidRPr="00EC02CA">
        <w:t xml:space="preserve">, and that there </w:t>
      </w:r>
      <w:r w:rsidR="003D79B3" w:rsidRPr="00EC02CA">
        <w:t xml:space="preserve">has also been </w:t>
      </w:r>
      <w:r w:rsidRPr="00EC02CA">
        <w:t>an increase in online sexual abuse committed by other young people.</w:t>
      </w:r>
      <w:r w:rsidRPr="00EC02CA">
        <w:rPr>
          <w:rStyle w:val="FootnoteReference"/>
        </w:rPr>
        <w:footnoteReference w:id="650"/>
      </w:r>
      <w:r w:rsidRPr="00EC02CA">
        <w:t xml:space="preserve"> </w:t>
      </w:r>
      <w:r w:rsidR="00F21ACA" w:rsidRPr="00EC02CA">
        <w:t xml:space="preserve">It is also not clear how many of those matters are reported to police. </w:t>
      </w:r>
      <w:r w:rsidRPr="00EC02CA">
        <w:t xml:space="preserve">However, available data indicate that </w:t>
      </w:r>
      <w:r w:rsidR="00C21FC5" w:rsidRPr="00EC02CA">
        <w:t xml:space="preserve">a proportion of mandatory reports relate to the conduct of young people. </w:t>
      </w:r>
      <w:r w:rsidR="00DE5FDD" w:rsidRPr="00EC02CA">
        <w:t>Dat</w:t>
      </w:r>
      <w:r w:rsidR="005C1C39" w:rsidRPr="00EC02CA">
        <w:t>a</w:t>
      </w:r>
      <w:r w:rsidR="00DE5FDD" w:rsidRPr="00EC02CA">
        <w:t xml:space="preserve"> does </w:t>
      </w:r>
      <w:r w:rsidR="00B80916" w:rsidRPr="00EC02CA">
        <w:t>show</w:t>
      </w:r>
      <w:r w:rsidR="00DE5FDD" w:rsidRPr="00EC02CA">
        <w:t xml:space="preserve"> that </w:t>
      </w:r>
      <w:r w:rsidRPr="00EC02CA">
        <w:t>very few young offenders are proceeded against by police for sexual offence</w:t>
      </w:r>
      <w:r w:rsidR="00C95741" w:rsidRPr="00EC02CA">
        <w:t>s</w:t>
      </w:r>
      <w:r w:rsidRPr="00EC02CA">
        <w:t>.</w:t>
      </w:r>
      <w:r w:rsidRPr="00EC02CA">
        <w:rPr>
          <w:rStyle w:val="FootnoteReference"/>
        </w:rPr>
        <w:footnoteReference w:id="651"/>
      </w:r>
      <w:r w:rsidR="009D6F6A" w:rsidRPr="00EC02CA">
        <w:t xml:space="preserve">This </w:t>
      </w:r>
      <w:r w:rsidR="00C95741" w:rsidRPr="00EC02CA">
        <w:t xml:space="preserve">finding </w:t>
      </w:r>
      <w:r w:rsidR="009D6F6A" w:rsidRPr="00EC02CA">
        <w:t xml:space="preserve">reflects the concerns expressed by the </w:t>
      </w:r>
      <w:r w:rsidR="00F86165" w:rsidRPr="00EC02CA">
        <w:t xml:space="preserve">ALRC </w:t>
      </w:r>
      <w:r w:rsidR="009D6F6A" w:rsidRPr="00EC02CA">
        <w:t>that</w:t>
      </w:r>
      <w:r w:rsidR="00F86165" w:rsidRPr="00EC02CA">
        <w:t xml:space="preserve">: </w:t>
      </w:r>
    </w:p>
    <w:p w14:paraId="2BC452A8" w14:textId="3939A6C1" w:rsidR="00F86165" w:rsidRPr="00EC02CA" w:rsidRDefault="00F86165" w:rsidP="00F86165">
      <w:pPr>
        <w:pStyle w:val="Indentedquote"/>
      </w:pPr>
      <w:r w:rsidRPr="00EC02CA">
        <w:t xml:space="preserve">The statistics are a striking illustration that this serious harm can frequently occur without leaving a trace on the justice system. People who have experienced sexual violence often shoulder the harm’s impacts without having the opportunity for a just outcome. People who commit it face no consequence for their actions. In society it remains invisible </w:t>
      </w:r>
      <w:r w:rsidR="00C95741" w:rsidRPr="00EC02CA">
        <w:t>–</w:t>
      </w:r>
      <w:r w:rsidRPr="00EC02CA">
        <w:t> ​it is not recorded, recognised, or renounced. Community safety is not enhanced.</w:t>
      </w:r>
      <w:r w:rsidRPr="00EC02CA">
        <w:rPr>
          <w:rStyle w:val="FootnoteReference"/>
        </w:rPr>
        <w:footnoteReference w:id="652"/>
      </w:r>
    </w:p>
    <w:p w14:paraId="22BFB808" w14:textId="10D79F57" w:rsidR="00B65E79" w:rsidRPr="00EC02CA" w:rsidRDefault="00C84B53" w:rsidP="002F0007">
      <w:pPr>
        <w:pStyle w:val="NormalNumberedTextTLRI"/>
      </w:pPr>
      <w:r w:rsidRPr="00EC02CA">
        <w:t>Based on the interviews</w:t>
      </w:r>
      <w:r w:rsidR="00D8365E" w:rsidRPr="00EC02CA">
        <w:t xml:space="preserve"> conducted by the TLRI</w:t>
      </w:r>
      <w:r w:rsidR="002F4041" w:rsidRPr="00EC02CA">
        <w:t xml:space="preserve">, </w:t>
      </w:r>
      <w:r w:rsidRPr="00EC02CA">
        <w:t xml:space="preserve">and </w:t>
      </w:r>
      <w:r w:rsidR="00C95741" w:rsidRPr="00EC02CA">
        <w:t xml:space="preserve">the </w:t>
      </w:r>
      <w:r w:rsidRPr="00EC02CA">
        <w:t xml:space="preserve">research literature, </w:t>
      </w:r>
      <w:r w:rsidR="00467E9C" w:rsidRPr="00EC02CA">
        <w:t>there</w:t>
      </w:r>
      <w:r w:rsidRPr="00EC02CA">
        <w:t xml:space="preserve"> is</w:t>
      </w:r>
      <w:r w:rsidR="00C95741" w:rsidRPr="00EC02CA">
        <w:t xml:space="preserve"> a</w:t>
      </w:r>
      <w:r w:rsidRPr="00EC02CA">
        <w:t xml:space="preserve"> significant gap between </w:t>
      </w:r>
      <w:r w:rsidR="00886B70" w:rsidRPr="00EC02CA">
        <w:t>victim-survivor</w:t>
      </w:r>
      <w:r w:rsidR="00A03D72" w:rsidRPr="00EC02CA">
        <w:t xml:space="preserve"> </w:t>
      </w:r>
      <w:r w:rsidR="00E90BEA" w:rsidRPr="00EC02CA">
        <w:t xml:space="preserve">experiences </w:t>
      </w:r>
      <w:r w:rsidR="00C95741" w:rsidRPr="00EC02CA">
        <w:t xml:space="preserve">– </w:t>
      </w:r>
      <w:r w:rsidR="00E90BEA" w:rsidRPr="00EC02CA">
        <w:t xml:space="preserve">describing conduct that would amount to sexual offending by young people </w:t>
      </w:r>
      <w:r w:rsidR="00C95741" w:rsidRPr="00EC02CA">
        <w:t xml:space="preserve">– </w:t>
      </w:r>
      <w:r w:rsidR="00E90BEA" w:rsidRPr="00EC02CA">
        <w:t xml:space="preserve">and </w:t>
      </w:r>
      <w:r w:rsidR="00977DD0" w:rsidRPr="00EC02CA">
        <w:t>matters where the police proceed to charge a young person</w:t>
      </w:r>
      <w:r w:rsidR="009D6F6A" w:rsidRPr="00EC02CA">
        <w:t xml:space="preserve">, and then either deal with the young person by diversion or proceedings </w:t>
      </w:r>
      <w:r w:rsidR="00C95741" w:rsidRPr="00EC02CA">
        <w:t xml:space="preserve">in </w:t>
      </w:r>
      <w:r w:rsidR="009D6F6A" w:rsidRPr="00EC02CA">
        <w:t>court</w:t>
      </w:r>
      <w:r w:rsidR="00977DD0" w:rsidRPr="00EC02CA">
        <w:t xml:space="preserve">. </w:t>
      </w:r>
      <w:r w:rsidR="002F4041" w:rsidRPr="00EC02CA">
        <w:t>An additional issue identified by the TLRI</w:t>
      </w:r>
      <w:r w:rsidR="00C95741" w:rsidRPr="00EC02CA">
        <w:t>,</w:t>
      </w:r>
      <w:r w:rsidR="002F4041" w:rsidRPr="00EC02CA">
        <w:t xml:space="preserve"> based on </w:t>
      </w:r>
      <w:r w:rsidR="00C95741" w:rsidRPr="00EC02CA">
        <w:t xml:space="preserve">the </w:t>
      </w:r>
      <w:r w:rsidR="00421E81" w:rsidRPr="00EC02CA">
        <w:t xml:space="preserve">interviews and supported by </w:t>
      </w:r>
      <w:r w:rsidR="00C95741" w:rsidRPr="00EC02CA">
        <w:t xml:space="preserve">the </w:t>
      </w:r>
      <w:r w:rsidR="00421E81" w:rsidRPr="00EC02CA">
        <w:t>available data</w:t>
      </w:r>
      <w:r w:rsidR="00C95741" w:rsidRPr="00EC02CA">
        <w:t>,</w:t>
      </w:r>
      <w:r w:rsidR="00421E81" w:rsidRPr="00EC02CA">
        <w:t xml:space="preserve"> is a</w:t>
      </w:r>
      <w:r w:rsidR="00DF3EB5" w:rsidRPr="00EC02CA">
        <w:t xml:space="preserve"> gap between the reporting requirements </w:t>
      </w:r>
      <w:r w:rsidR="00C95741" w:rsidRPr="00EC02CA">
        <w:t xml:space="preserve">for </w:t>
      </w:r>
      <w:r w:rsidR="00DF3EB5" w:rsidRPr="00EC02CA">
        <w:t xml:space="preserve">mandatory reporters and the evidentiary standard </w:t>
      </w:r>
      <w:r w:rsidR="00C95741" w:rsidRPr="00EC02CA">
        <w:t xml:space="preserve">required by </w:t>
      </w:r>
      <w:r w:rsidR="00DF3EB5" w:rsidRPr="00EC02CA">
        <w:t>police</w:t>
      </w:r>
      <w:r w:rsidR="00C95741" w:rsidRPr="00EC02CA">
        <w:t xml:space="preserve"> to proceed. This gap </w:t>
      </w:r>
      <w:r w:rsidR="00DF3EB5" w:rsidRPr="00EC02CA">
        <w:t>reflect</w:t>
      </w:r>
      <w:r w:rsidR="00C95741" w:rsidRPr="00EC02CA">
        <w:t>s</w:t>
      </w:r>
      <w:r w:rsidR="00DF3EB5" w:rsidRPr="00EC02CA">
        <w:t xml:space="preserve"> the principles of criminal responsibility under the criminal law</w:t>
      </w:r>
      <w:r w:rsidR="00421E81" w:rsidRPr="00EC02CA">
        <w:t xml:space="preserve">. Mandatory reports may lack sufficient detail for police to </w:t>
      </w:r>
      <w:r w:rsidR="00B43D1B" w:rsidRPr="00EC02CA">
        <w:t xml:space="preserve">proceed, the </w:t>
      </w:r>
      <w:r w:rsidR="00886B70" w:rsidRPr="00EC02CA">
        <w:t>victim-survivor</w:t>
      </w:r>
      <w:r w:rsidR="00B43D1B" w:rsidRPr="00EC02CA">
        <w:t xml:space="preserve"> may not want to proceed, and</w:t>
      </w:r>
      <w:r w:rsidR="00C15968" w:rsidRPr="00EC02CA">
        <w:t>/or there may be other concerns about the sufficiency of evidence</w:t>
      </w:r>
      <w:r w:rsidR="00FE0C37" w:rsidRPr="00EC02CA">
        <w:t xml:space="preserve">, </w:t>
      </w:r>
      <w:r w:rsidR="00B65E79" w:rsidRPr="00EC02CA">
        <w:t>including</w:t>
      </w:r>
      <w:r w:rsidR="00FE0C37" w:rsidRPr="00EC02CA">
        <w:t xml:space="preserve"> </w:t>
      </w:r>
      <w:r w:rsidR="00B65E79" w:rsidRPr="00EC02CA">
        <w:t>concerns</w:t>
      </w:r>
      <w:r w:rsidR="00FE0C37" w:rsidRPr="00EC02CA">
        <w:t xml:space="preserve"> </w:t>
      </w:r>
      <w:r w:rsidR="00B65E79" w:rsidRPr="00EC02CA">
        <w:t>about</w:t>
      </w:r>
      <w:r w:rsidR="00FE0C37" w:rsidRPr="00EC02CA">
        <w:t xml:space="preserve"> the</w:t>
      </w:r>
      <w:r w:rsidR="00B65E79" w:rsidRPr="00EC02CA">
        <w:t xml:space="preserve"> potential</w:t>
      </w:r>
      <w:r w:rsidR="00FE0C37" w:rsidRPr="00EC02CA">
        <w:t xml:space="preserve"> credibility or reliability of the </w:t>
      </w:r>
      <w:r w:rsidR="00886B70" w:rsidRPr="00EC02CA">
        <w:t>victim-survivor</w:t>
      </w:r>
      <w:r w:rsidR="00B65E79" w:rsidRPr="00EC02CA">
        <w:t xml:space="preserve"> as a witness</w:t>
      </w:r>
      <w:r w:rsidR="00FE0C37" w:rsidRPr="00EC02CA">
        <w:t xml:space="preserve">. </w:t>
      </w:r>
      <w:r w:rsidR="00F13DBA" w:rsidRPr="00EC02CA">
        <w:t xml:space="preserve">In addition, </w:t>
      </w:r>
      <w:r w:rsidR="009C6D54" w:rsidRPr="00EC02CA">
        <w:t xml:space="preserve">some </w:t>
      </w:r>
      <w:r w:rsidR="00F13DBA" w:rsidRPr="00EC02CA">
        <w:t>interviewees observed a degree of uncertainty in relation</w:t>
      </w:r>
      <w:r w:rsidR="00530FD9" w:rsidRPr="00EC02CA">
        <w:t xml:space="preserve"> to the responsibility of different agencies (</w:t>
      </w:r>
      <w:r w:rsidR="00C95741" w:rsidRPr="00EC02CA">
        <w:t xml:space="preserve">specifically, </w:t>
      </w:r>
      <w:r w:rsidR="00530FD9" w:rsidRPr="00EC02CA">
        <w:t xml:space="preserve">the ARL and Tasmania Police) because of the dual reporting obligations. </w:t>
      </w:r>
      <w:r w:rsidR="00B65E79" w:rsidRPr="00EC02CA">
        <w:t xml:space="preserve">This has implications for the </w:t>
      </w:r>
      <w:r w:rsidR="00886B70" w:rsidRPr="00EC02CA">
        <w:t>victim-survivor</w:t>
      </w:r>
      <w:r w:rsidR="00B65E79" w:rsidRPr="00EC02CA">
        <w:t xml:space="preserve"> and also for the young person </w:t>
      </w:r>
      <w:r w:rsidR="00C95741" w:rsidRPr="00EC02CA">
        <w:t xml:space="preserve">who engages in </w:t>
      </w:r>
      <w:r w:rsidR="00B65E79" w:rsidRPr="00EC02CA">
        <w:t>harmful sexual behaviour. In interviews, it was noted that there are possible benefits</w:t>
      </w:r>
      <w:r w:rsidR="00C95741" w:rsidRPr="00EC02CA">
        <w:t>,</w:t>
      </w:r>
      <w:r w:rsidR="00B65E79" w:rsidRPr="00EC02CA">
        <w:t xml:space="preserve"> even i</w:t>
      </w:r>
      <w:r w:rsidR="00C95741" w:rsidRPr="00EC02CA">
        <w:t>f</w:t>
      </w:r>
      <w:r w:rsidR="00B65E79" w:rsidRPr="00EC02CA">
        <w:t xml:space="preserve"> police only investigate</w:t>
      </w:r>
      <w:r w:rsidR="00C95741" w:rsidRPr="00EC02CA">
        <w:t>,</w:t>
      </w:r>
      <w:r w:rsidR="00B65E79" w:rsidRPr="00EC02CA">
        <w:t xml:space="preserve"> as the complainant feels listened to and the alleged offender has the seriousness of the conduct impressed upon them and communicated to their peers.</w:t>
      </w:r>
      <w:r w:rsidR="00B65E79" w:rsidRPr="00EC02CA">
        <w:rPr>
          <w:rStyle w:val="FootnoteReference"/>
        </w:rPr>
        <w:footnoteReference w:id="653"/>
      </w:r>
      <w:r w:rsidR="00C95741" w:rsidRPr="00EC02CA">
        <w:t xml:space="preserve"> </w:t>
      </w:r>
      <w:r w:rsidR="00B65E79" w:rsidRPr="00EC02CA">
        <w:t>The need to use contact with the justice system to impress upon young people the further consequences</w:t>
      </w:r>
      <w:r w:rsidR="00C95741" w:rsidRPr="00EC02CA">
        <w:t>,</w:t>
      </w:r>
      <w:r w:rsidR="00B65E79" w:rsidRPr="00EC02CA">
        <w:t xml:space="preserve"> if the behaviour continues</w:t>
      </w:r>
      <w:r w:rsidR="00C95741" w:rsidRPr="00EC02CA">
        <w:t>,</w:t>
      </w:r>
      <w:r w:rsidR="00B65E79" w:rsidRPr="00EC02CA">
        <w:t xml:space="preserve"> was identified:</w:t>
      </w:r>
    </w:p>
    <w:p w14:paraId="3003C31B" w14:textId="5436A35D" w:rsidR="00B65E79" w:rsidRPr="00EC02CA" w:rsidRDefault="00C95741" w:rsidP="00B65E79">
      <w:pPr>
        <w:pStyle w:val="Indentedquote"/>
      </w:pPr>
      <w:r w:rsidRPr="00EC02CA">
        <w:t>[T]</w:t>
      </w:r>
      <w:r w:rsidR="00B65E79" w:rsidRPr="00EC02CA">
        <w:t xml:space="preserve">here's some hypocrisy there, you know, we always laugh at our workplace about this idea that </w:t>
      </w:r>
      <w:r w:rsidRPr="00EC02CA">
        <w:t>…</w:t>
      </w:r>
      <w:r w:rsidR="00B65E79" w:rsidRPr="00EC02CA">
        <w:t xml:space="preserve"> if a child is 17, they</w:t>
      </w:r>
      <w:r w:rsidRPr="00EC02CA">
        <w:t>’</w:t>
      </w:r>
      <w:r w:rsidR="00B65E79" w:rsidRPr="00EC02CA">
        <w:t xml:space="preserve">re fit for treatment and assistance. </w:t>
      </w:r>
      <w:r w:rsidRPr="00EC02CA">
        <w:t>[But then]</w:t>
      </w:r>
      <w:r w:rsidR="00B65E79" w:rsidRPr="00EC02CA">
        <w:t xml:space="preserve"> </w:t>
      </w:r>
      <w:r w:rsidRPr="00EC02CA">
        <w:t>[t]</w:t>
      </w:r>
      <w:r w:rsidR="00B65E79" w:rsidRPr="00EC02CA">
        <w:t>hey turn 18 and suddenly they</w:t>
      </w:r>
      <w:r w:rsidRPr="00EC02CA">
        <w:t>’</w:t>
      </w:r>
      <w:r w:rsidR="00B65E79" w:rsidRPr="00EC02CA">
        <w:t>re a perpetrator.</w:t>
      </w:r>
      <w:r w:rsidR="00B65E79" w:rsidRPr="00EC02CA">
        <w:rPr>
          <w:rStyle w:val="FootnoteReference"/>
        </w:rPr>
        <w:footnoteReference w:id="654"/>
      </w:r>
    </w:p>
    <w:p w14:paraId="650441F1" w14:textId="373D0962" w:rsidR="00DF3EB5" w:rsidRPr="00EC02CA" w:rsidRDefault="00B65E79" w:rsidP="00A920EC">
      <w:pPr>
        <w:pStyle w:val="NormalNumberedTextTLRI"/>
      </w:pPr>
      <w:r w:rsidRPr="00EC02CA">
        <w:t>As noted by Blackley and Bartel</w:t>
      </w:r>
      <w:r w:rsidR="008F04AC" w:rsidRPr="00EC02CA">
        <w:t>s</w:t>
      </w:r>
      <w:r w:rsidRPr="00EC02CA">
        <w:t>, ‘attrition rates are exceptionally high for inciden</w:t>
      </w:r>
      <w:r w:rsidR="0056026C" w:rsidRPr="00EC02CA">
        <w:t>ces</w:t>
      </w:r>
      <w:r w:rsidRPr="00EC02CA">
        <w:t xml:space="preserve"> of adolescent sexual offending, meaning that young people with sexually abusive behaviours … may not get the treatment they need’.</w:t>
      </w:r>
      <w:r w:rsidRPr="00EC02CA">
        <w:rPr>
          <w:rStyle w:val="FootnoteReference"/>
        </w:rPr>
        <w:footnoteReference w:id="655"/>
      </w:r>
      <w:r w:rsidRPr="00EC02CA">
        <w:t xml:space="preserve"> Young people also may not get the warning that is required about the potential serious</w:t>
      </w:r>
      <w:r w:rsidR="006360E9" w:rsidRPr="00EC02CA">
        <w:t xml:space="preserve"> consequences</w:t>
      </w:r>
      <w:r w:rsidRPr="00EC02CA">
        <w:t xml:space="preserve"> of the behaviour if it continues when they are an adult.</w:t>
      </w:r>
      <w:r w:rsidR="00312257" w:rsidRPr="00EC02CA">
        <w:t xml:space="preserve"> In addition, </w:t>
      </w:r>
      <w:r w:rsidR="006360E9" w:rsidRPr="00EC02CA">
        <w:t xml:space="preserve">attrition </w:t>
      </w:r>
      <w:r w:rsidR="00DF3EB5" w:rsidRPr="00EC02CA">
        <w:t>creates a sense for some young people (both victims and alleged offenders) and their communities that nothing will be done and that there are no consequences.</w:t>
      </w:r>
    </w:p>
    <w:p w14:paraId="2AEF8CE5" w14:textId="7694AA28" w:rsidR="00E35C73" w:rsidRPr="00EC02CA" w:rsidRDefault="00AC5C39" w:rsidP="002F0007">
      <w:pPr>
        <w:pStyle w:val="NormalNumberedTextTLRI"/>
      </w:pPr>
      <w:r w:rsidRPr="00EC02CA">
        <w:t xml:space="preserve">Much has been written </w:t>
      </w:r>
      <w:r w:rsidR="00637DC1" w:rsidRPr="00EC02CA">
        <w:t xml:space="preserve">over time about </w:t>
      </w:r>
      <w:r w:rsidR="001E145E" w:rsidRPr="00EC02CA">
        <w:t xml:space="preserve">the experiences of </w:t>
      </w:r>
      <w:r w:rsidR="00886B70" w:rsidRPr="00EC02CA">
        <w:t>victim-survivor</w:t>
      </w:r>
      <w:r w:rsidR="002B3E11" w:rsidRPr="00EC02CA">
        <w:t>s</w:t>
      </w:r>
      <w:r w:rsidR="001E145E" w:rsidRPr="00EC02CA">
        <w:t xml:space="preserve"> in the criminal justice system, including </w:t>
      </w:r>
      <w:r w:rsidR="002B3E11" w:rsidRPr="00EC02CA">
        <w:t xml:space="preserve">police responses </w:t>
      </w:r>
      <w:r w:rsidR="00DA2115" w:rsidRPr="00EC02CA">
        <w:t xml:space="preserve">to reports of </w:t>
      </w:r>
      <w:r w:rsidR="008142FF" w:rsidRPr="00EC02CA">
        <w:t xml:space="preserve">sexual violence </w:t>
      </w:r>
      <w:r w:rsidR="002B3E11" w:rsidRPr="00EC02CA">
        <w:t xml:space="preserve">and the </w:t>
      </w:r>
      <w:r w:rsidR="008142FF" w:rsidRPr="00EC02CA">
        <w:t xml:space="preserve">operation of the </w:t>
      </w:r>
      <w:r w:rsidR="002B3E11" w:rsidRPr="00EC02CA">
        <w:t xml:space="preserve">trial process itself. </w:t>
      </w:r>
      <w:r w:rsidR="008142FF" w:rsidRPr="00EC02CA">
        <w:t>In response, there have been changes in law and policy. For example, t</w:t>
      </w:r>
      <w:r w:rsidR="002B3E11" w:rsidRPr="00EC02CA">
        <w:t>here have been legislative reforms that have</w:t>
      </w:r>
      <w:r w:rsidR="006654AD" w:rsidRPr="00EC02CA">
        <w:t>:</w:t>
      </w:r>
      <w:r w:rsidR="002B3E11" w:rsidRPr="00EC02CA">
        <w:t xml:space="preserve"> changed the rules of evidence </w:t>
      </w:r>
      <w:r w:rsidR="00FE601D" w:rsidRPr="00EC02CA">
        <w:t xml:space="preserve">and jury directions </w:t>
      </w:r>
      <w:r w:rsidR="002B3E11" w:rsidRPr="00EC02CA">
        <w:t>in relation to</w:t>
      </w:r>
      <w:r w:rsidR="008A7C24" w:rsidRPr="00EC02CA">
        <w:t xml:space="preserve"> the credibility of </w:t>
      </w:r>
      <w:r w:rsidR="00DA2115" w:rsidRPr="00EC02CA">
        <w:t>sexual assault complainants as well as child witnesses</w:t>
      </w:r>
      <w:r w:rsidR="006654AD" w:rsidRPr="00EC02CA">
        <w:t>;</w:t>
      </w:r>
      <w:r w:rsidR="007912AE" w:rsidRPr="00EC02CA">
        <w:t xml:space="preserve"> </w:t>
      </w:r>
      <w:r w:rsidR="003B2BBB" w:rsidRPr="00EC02CA">
        <w:t>chang</w:t>
      </w:r>
      <w:r w:rsidR="001702C8" w:rsidRPr="00EC02CA">
        <w:t>e</w:t>
      </w:r>
      <w:r w:rsidR="006654AD" w:rsidRPr="00EC02CA">
        <w:t>d</w:t>
      </w:r>
      <w:r w:rsidR="007912AE" w:rsidRPr="00EC02CA">
        <w:t xml:space="preserve"> the way in which evidence is given </w:t>
      </w:r>
      <w:r w:rsidR="000424FD" w:rsidRPr="00EC02CA">
        <w:t>by complainants</w:t>
      </w:r>
      <w:r w:rsidR="006654AD" w:rsidRPr="00EC02CA">
        <w:t>;</w:t>
      </w:r>
      <w:r w:rsidR="003B2BBB" w:rsidRPr="00EC02CA">
        <w:t xml:space="preserve"> </w:t>
      </w:r>
      <w:r w:rsidR="000424FD" w:rsidRPr="00EC02CA">
        <w:t xml:space="preserve">and </w:t>
      </w:r>
      <w:r w:rsidR="00992316" w:rsidRPr="00EC02CA">
        <w:t xml:space="preserve">made </w:t>
      </w:r>
      <w:r w:rsidR="000424FD" w:rsidRPr="00EC02CA">
        <w:t>provision for</w:t>
      </w:r>
      <w:r w:rsidR="003B2BBB" w:rsidRPr="00EC02CA">
        <w:t xml:space="preserve"> </w:t>
      </w:r>
      <w:r w:rsidR="001702C8" w:rsidRPr="00EC02CA">
        <w:t xml:space="preserve">the use of </w:t>
      </w:r>
      <w:r w:rsidR="003B2BBB" w:rsidRPr="00EC02CA">
        <w:t xml:space="preserve">witness intermediaries and </w:t>
      </w:r>
      <w:r w:rsidR="001702C8" w:rsidRPr="00EC02CA">
        <w:t>pre-</w:t>
      </w:r>
      <w:r w:rsidR="00FE601D" w:rsidRPr="00EC02CA">
        <w:t>recorded</w:t>
      </w:r>
      <w:r w:rsidR="001702C8" w:rsidRPr="00EC02CA">
        <w:t xml:space="preserve"> evidence schemes</w:t>
      </w:r>
      <w:r w:rsidR="00DA2115" w:rsidRPr="00EC02CA">
        <w:t>.</w:t>
      </w:r>
      <w:r w:rsidR="00DA2115" w:rsidRPr="00EC02CA">
        <w:rPr>
          <w:rStyle w:val="FootnoteReference"/>
        </w:rPr>
        <w:footnoteReference w:id="656"/>
      </w:r>
      <w:r w:rsidR="00DA2115" w:rsidRPr="00EC02CA">
        <w:t xml:space="preserve"> In addition, there have been significant changes in </w:t>
      </w:r>
      <w:r w:rsidR="006654AD" w:rsidRPr="00EC02CA">
        <w:t xml:space="preserve">the </w:t>
      </w:r>
      <w:r w:rsidR="00DA2115" w:rsidRPr="00EC02CA">
        <w:t>police response to reports of sexual violence</w:t>
      </w:r>
      <w:r w:rsidR="006654AD" w:rsidRPr="00EC02CA">
        <w:t>,</w:t>
      </w:r>
      <w:r w:rsidR="00DA2115" w:rsidRPr="00EC02CA">
        <w:t xml:space="preserve"> with the aim of better supporting the needs of </w:t>
      </w:r>
      <w:r w:rsidR="00886B70" w:rsidRPr="00EC02CA">
        <w:t>victim-survivor</w:t>
      </w:r>
      <w:r w:rsidR="00DA2115" w:rsidRPr="00EC02CA">
        <w:t xml:space="preserve">s </w:t>
      </w:r>
      <w:r w:rsidR="006654AD" w:rsidRPr="00EC02CA">
        <w:t xml:space="preserve">through </w:t>
      </w:r>
      <w:r w:rsidR="00C33B6E" w:rsidRPr="00EC02CA">
        <w:t xml:space="preserve">the </w:t>
      </w:r>
      <w:r w:rsidR="007912AE" w:rsidRPr="00EC02CA">
        <w:t>education and specialisation</w:t>
      </w:r>
      <w:r w:rsidR="00FE601D" w:rsidRPr="00EC02CA">
        <w:t xml:space="preserve"> of police</w:t>
      </w:r>
      <w:r w:rsidR="006654AD" w:rsidRPr="00EC02CA">
        <w:t>. These reforms</w:t>
      </w:r>
      <w:r w:rsidR="00FE601D" w:rsidRPr="00EC02CA">
        <w:t xml:space="preserve"> includ</w:t>
      </w:r>
      <w:r w:rsidR="006654AD" w:rsidRPr="00EC02CA">
        <w:t>e:</w:t>
      </w:r>
      <w:r w:rsidR="00FE601D" w:rsidRPr="00EC02CA">
        <w:t xml:space="preserve"> </w:t>
      </w:r>
      <w:r w:rsidR="00DA2115" w:rsidRPr="00EC02CA">
        <w:t xml:space="preserve">the creation of a multidisciplinary and cross-agency service </w:t>
      </w:r>
      <w:r w:rsidR="00C33B6E" w:rsidRPr="00EC02CA">
        <w:t xml:space="preserve">(Arch) </w:t>
      </w:r>
      <w:r w:rsidR="006654AD" w:rsidRPr="00EC02CA">
        <w:t>which</w:t>
      </w:r>
      <w:r w:rsidR="00DA2115" w:rsidRPr="00EC02CA">
        <w:t xml:space="preserve"> </w:t>
      </w:r>
      <w:r w:rsidR="006654AD" w:rsidRPr="00EC02CA">
        <w:t>co-locates</w:t>
      </w:r>
      <w:r w:rsidR="00DA2115" w:rsidRPr="00EC02CA">
        <w:t xml:space="preserve"> specialist investigators from Tasmania Police Sex Crime Unit, sexual assault counselling</w:t>
      </w:r>
      <w:r w:rsidR="006654AD" w:rsidRPr="00EC02CA">
        <w:t>,</w:t>
      </w:r>
      <w:r w:rsidR="00DA2115" w:rsidRPr="00EC02CA">
        <w:t xml:space="preserve"> and support services</w:t>
      </w:r>
      <w:r w:rsidR="006654AD" w:rsidRPr="00EC02CA">
        <w:t>;</w:t>
      </w:r>
      <w:r w:rsidR="00DA2115" w:rsidRPr="00EC02CA">
        <w:t xml:space="preserve"> Strong Families Safe Kids Advice and Referral Line</w:t>
      </w:r>
      <w:r w:rsidR="006654AD" w:rsidRPr="00EC02CA">
        <w:t>;</w:t>
      </w:r>
      <w:r w:rsidR="00DA2115" w:rsidRPr="00EC02CA">
        <w:t xml:space="preserve"> Child Safety</w:t>
      </w:r>
      <w:r w:rsidR="006654AD" w:rsidRPr="00EC02CA">
        <w:t>;</w:t>
      </w:r>
      <w:r w:rsidR="00DA2115" w:rsidRPr="00EC02CA">
        <w:t xml:space="preserve"> and family violence counselling.</w:t>
      </w:r>
      <w:r w:rsidR="00DA2115" w:rsidRPr="00EC02CA">
        <w:rPr>
          <w:rStyle w:val="FootnoteReference"/>
        </w:rPr>
        <w:footnoteReference w:id="657"/>
      </w:r>
      <w:r w:rsidR="008A1E6B" w:rsidRPr="00EC02CA">
        <w:t xml:space="preserve"> </w:t>
      </w:r>
      <w:r w:rsidR="0074083E" w:rsidRPr="00EC02CA">
        <w:t xml:space="preserve">In sentencing, </w:t>
      </w:r>
      <w:r w:rsidR="006654AD" w:rsidRPr="00EC02CA">
        <w:t xml:space="preserve">there has been greater explicit </w:t>
      </w:r>
      <w:r w:rsidR="003B39FD" w:rsidRPr="00EC02CA">
        <w:t>recogni</w:t>
      </w:r>
      <w:r w:rsidR="006654AD" w:rsidRPr="00EC02CA">
        <w:t>tion by the courts of</w:t>
      </w:r>
      <w:r w:rsidR="0074083E" w:rsidRPr="00EC02CA">
        <w:t xml:space="preserve"> the seriousness of sexual violence and the harm cause</w:t>
      </w:r>
      <w:r w:rsidR="003B39FD" w:rsidRPr="00EC02CA">
        <w:t>d to victim-survivors.</w:t>
      </w:r>
      <w:r w:rsidR="003B39FD" w:rsidRPr="00EC02CA">
        <w:rPr>
          <w:rStyle w:val="FootnoteReference"/>
        </w:rPr>
        <w:footnoteReference w:id="658"/>
      </w:r>
      <w:r w:rsidR="006654AD" w:rsidRPr="00EC02CA">
        <w:t xml:space="preserve"> </w:t>
      </w:r>
      <w:r w:rsidR="00F51C4F" w:rsidRPr="00EC02CA">
        <w:t>These</w:t>
      </w:r>
      <w:r w:rsidR="008A1E6B" w:rsidRPr="00EC02CA">
        <w:t xml:space="preserve"> are </w:t>
      </w:r>
      <w:r w:rsidR="00F51C4F" w:rsidRPr="00EC02CA">
        <w:t>very</w:t>
      </w:r>
      <w:r w:rsidR="008A1E6B" w:rsidRPr="00EC02CA">
        <w:t xml:space="preserve"> positive reforms.</w:t>
      </w:r>
    </w:p>
    <w:p w14:paraId="54B7F97F" w14:textId="0FE8546F" w:rsidR="00206DC6" w:rsidRPr="00EC02CA" w:rsidRDefault="00C42C01" w:rsidP="002F0007">
      <w:pPr>
        <w:pStyle w:val="NormalNumberedTextTLRI"/>
      </w:pPr>
      <w:r w:rsidRPr="00EC02CA">
        <w:t xml:space="preserve">Aligned with ongoing reforms and </w:t>
      </w:r>
      <w:r w:rsidR="00F33497" w:rsidRPr="00EC02CA">
        <w:t xml:space="preserve">the </w:t>
      </w:r>
      <w:r w:rsidR="000F62EF" w:rsidRPr="00EC02CA">
        <w:t>monitoring</w:t>
      </w:r>
      <w:r w:rsidRPr="00EC02CA">
        <w:t xml:space="preserve"> of response to sexual offending </w:t>
      </w:r>
      <w:r w:rsidR="000F62EF" w:rsidRPr="00EC02CA">
        <w:t>(including child sexual abuse), t</w:t>
      </w:r>
      <w:r w:rsidR="00206DC6" w:rsidRPr="00EC02CA">
        <w:t xml:space="preserve">he TLRI’s view is that there needs to be a focus on improving </w:t>
      </w:r>
      <w:r w:rsidR="00BC206E" w:rsidRPr="00EC02CA">
        <w:t xml:space="preserve">the </w:t>
      </w:r>
      <w:r w:rsidR="00206DC6" w:rsidRPr="00EC02CA">
        <w:t xml:space="preserve">systematic </w:t>
      </w:r>
      <w:r w:rsidR="00BC206E" w:rsidRPr="00EC02CA">
        <w:t xml:space="preserve">release of </w:t>
      </w:r>
      <w:r w:rsidR="00206DC6" w:rsidRPr="00EC02CA">
        <w:t>data collect</w:t>
      </w:r>
      <w:r w:rsidR="00BC206E" w:rsidRPr="00EC02CA">
        <w:t>ed</w:t>
      </w:r>
      <w:r w:rsidR="00206DC6" w:rsidRPr="00EC02CA">
        <w:t xml:space="preserve"> </w:t>
      </w:r>
      <w:r w:rsidR="00F33497" w:rsidRPr="00EC02CA">
        <w:t xml:space="preserve">across agencies in order </w:t>
      </w:r>
      <w:r w:rsidR="00206DC6" w:rsidRPr="00EC02CA">
        <w:t>to build a</w:t>
      </w:r>
      <w:r w:rsidR="00F33497" w:rsidRPr="00EC02CA">
        <w:t xml:space="preserve"> better</w:t>
      </w:r>
      <w:r w:rsidR="00206DC6" w:rsidRPr="00EC02CA">
        <w:t xml:space="preserve"> understanding of criminal justice responses to young people </w:t>
      </w:r>
      <w:r w:rsidR="00F33497" w:rsidRPr="00EC02CA">
        <w:t xml:space="preserve">who engage in </w:t>
      </w:r>
      <w:r w:rsidR="00206DC6" w:rsidRPr="00EC02CA">
        <w:t>harmful sexual behaviour</w:t>
      </w:r>
      <w:r w:rsidR="00C92F3C" w:rsidRPr="00EC02CA">
        <w:t>. This should</w:t>
      </w:r>
      <w:r w:rsidR="00206DC6" w:rsidRPr="00EC02CA">
        <w:t xml:space="preserve"> includ</w:t>
      </w:r>
      <w:r w:rsidR="00C92F3C" w:rsidRPr="00EC02CA">
        <w:t>e</w:t>
      </w:r>
      <w:r w:rsidR="00206DC6" w:rsidRPr="00EC02CA">
        <w:t xml:space="preserve"> the number of reports made to police where the allegations relate to a young person</w:t>
      </w:r>
      <w:r w:rsidR="00F33497" w:rsidRPr="00EC02CA">
        <w:t>,</w:t>
      </w:r>
      <w:r w:rsidR="00206DC6" w:rsidRPr="00EC02CA">
        <w:t xml:space="preserve"> and the reason why matters do not proceed</w:t>
      </w:r>
      <w:r w:rsidR="00C92F3C" w:rsidRPr="00EC02CA">
        <w:t>, for example, the reasons why a victim-survivor may not want to participate in a justice response and reasons why the police may not proceed.</w:t>
      </w:r>
      <w:r w:rsidR="00206DC6" w:rsidRPr="00EC02CA">
        <w:t xml:space="preserve"> </w:t>
      </w:r>
      <w:r w:rsidR="005E3508" w:rsidRPr="00EC02CA">
        <w:t xml:space="preserve">These data </w:t>
      </w:r>
      <w:r w:rsidR="00206DC6" w:rsidRPr="00EC02CA">
        <w:t xml:space="preserve">would assist in </w:t>
      </w:r>
      <w:r w:rsidR="00FA18A3" w:rsidRPr="00EC02CA">
        <w:t xml:space="preserve">quantifying, </w:t>
      </w:r>
      <w:r w:rsidR="00206DC6" w:rsidRPr="00EC02CA">
        <w:t xml:space="preserve">understanding and responding </w:t>
      </w:r>
      <w:r w:rsidR="00FA18A3" w:rsidRPr="00EC02CA">
        <w:t>(</w:t>
      </w:r>
      <w:r w:rsidR="00206DC6" w:rsidRPr="00EC02CA">
        <w:t>if necessary</w:t>
      </w:r>
      <w:r w:rsidR="00FA18A3" w:rsidRPr="00EC02CA">
        <w:t>)</w:t>
      </w:r>
      <w:r w:rsidR="00206DC6" w:rsidRPr="00EC02CA">
        <w:t xml:space="preserve"> </w:t>
      </w:r>
      <w:r w:rsidR="006A4DFA" w:rsidRPr="00EC02CA">
        <w:t xml:space="preserve">to </w:t>
      </w:r>
      <w:r w:rsidR="00FA18A3" w:rsidRPr="00EC02CA">
        <w:t>the ga</w:t>
      </w:r>
      <w:r w:rsidR="001D1DC6" w:rsidRPr="00EC02CA">
        <w:t>p</w:t>
      </w:r>
      <w:r w:rsidR="00206DC6" w:rsidRPr="00EC02CA">
        <w:t xml:space="preserve"> between </w:t>
      </w:r>
      <w:r w:rsidR="001D1DC6" w:rsidRPr="00EC02CA">
        <w:t>reporting</w:t>
      </w:r>
      <w:r w:rsidR="00C92F3C" w:rsidRPr="00EC02CA">
        <w:t xml:space="preserve"> –</w:t>
      </w:r>
      <w:r w:rsidR="001D1DC6" w:rsidRPr="00EC02CA">
        <w:t xml:space="preserve"> including </w:t>
      </w:r>
      <w:r w:rsidR="00206DC6" w:rsidRPr="00EC02CA">
        <w:t>mandatory reporting where the person of interest is a young person</w:t>
      </w:r>
      <w:r w:rsidR="00C92F3C" w:rsidRPr="00EC02CA">
        <w:t xml:space="preserve"> –</w:t>
      </w:r>
      <w:r w:rsidR="00206DC6" w:rsidRPr="00EC02CA">
        <w:t xml:space="preserve"> and</w:t>
      </w:r>
      <w:r w:rsidR="006A4DFA" w:rsidRPr="00EC02CA">
        <w:t xml:space="preserve"> criminal justice response</w:t>
      </w:r>
      <w:r w:rsidR="005E3508" w:rsidRPr="00EC02CA">
        <w:t>s</w:t>
      </w:r>
      <w:r w:rsidR="006A4DFA" w:rsidRPr="00EC02CA">
        <w:t xml:space="preserve">. </w:t>
      </w:r>
      <w:r w:rsidR="005E3508" w:rsidRPr="00EC02CA">
        <w:t>This</w:t>
      </w:r>
      <w:r w:rsidR="00206DC6" w:rsidRPr="00EC02CA">
        <w:t xml:space="preserve"> would also allow for consideration of how </w:t>
      </w:r>
      <w:r w:rsidR="005E3508" w:rsidRPr="00EC02CA">
        <w:t xml:space="preserve">the </w:t>
      </w:r>
      <w:r w:rsidR="0060564E" w:rsidRPr="00EC02CA">
        <w:t>justice</w:t>
      </w:r>
      <w:r w:rsidR="005E3508" w:rsidRPr="00EC02CA">
        <w:t xml:space="preserve"> system could </w:t>
      </w:r>
      <w:r w:rsidR="00206DC6" w:rsidRPr="00EC02CA">
        <w:t>better support those who experience sexual assault from a peer</w:t>
      </w:r>
      <w:r w:rsidR="0033347B" w:rsidRPr="00EC02CA">
        <w:t xml:space="preserve">. In addition, it can </w:t>
      </w:r>
      <w:r w:rsidR="00206DC6" w:rsidRPr="00EC02CA">
        <w:t>assist in the development of better education about the nature of the criminal justice process for young people, schools, parents and carers</w:t>
      </w:r>
      <w:r w:rsidR="00C92F3C" w:rsidRPr="00EC02CA">
        <w:t>,</w:t>
      </w:r>
      <w:r w:rsidR="00206DC6" w:rsidRPr="00EC02CA">
        <w:t xml:space="preserve"> and other service providers who support young people</w:t>
      </w:r>
      <w:r w:rsidR="00C92F3C" w:rsidRPr="00EC02CA">
        <w:t>. Information might include</w:t>
      </w:r>
      <w:r w:rsidR="00206DC6" w:rsidRPr="00EC02CA">
        <w:t xml:space="preserve"> what police need </w:t>
      </w:r>
      <w:r w:rsidR="005E3508" w:rsidRPr="00EC02CA">
        <w:t xml:space="preserve">in order </w:t>
      </w:r>
      <w:r w:rsidR="00206DC6" w:rsidRPr="00EC02CA">
        <w:t>to charge, the standard of evidence required for prosecution, and the like</w:t>
      </w:r>
      <w:r w:rsidR="00C92F3C" w:rsidRPr="00EC02CA">
        <w:t>,</w:t>
      </w:r>
      <w:r w:rsidR="00206DC6" w:rsidRPr="00EC02CA">
        <w:t xml:space="preserve"> so that realistic expectations about the justice system</w:t>
      </w:r>
      <w:r w:rsidR="005E3508" w:rsidRPr="00EC02CA">
        <w:t xml:space="preserve"> can be created</w:t>
      </w:r>
      <w:r w:rsidR="00206DC6" w:rsidRPr="00EC02CA">
        <w:t xml:space="preserve">. </w:t>
      </w:r>
      <w:r w:rsidR="0033347B" w:rsidRPr="00EC02CA">
        <w:t>It also allows for the</w:t>
      </w:r>
      <w:r w:rsidR="00E17BB2" w:rsidRPr="00EC02CA">
        <w:t xml:space="preserve"> identif</w:t>
      </w:r>
      <w:r w:rsidR="0033347B" w:rsidRPr="00EC02CA">
        <w:t>ication of</w:t>
      </w:r>
      <w:r w:rsidR="00E17BB2" w:rsidRPr="00EC02CA">
        <w:t xml:space="preserve"> any barriers</w:t>
      </w:r>
      <w:r w:rsidR="005E3508" w:rsidRPr="00EC02CA">
        <w:t>,</w:t>
      </w:r>
      <w:r w:rsidR="00E17BB2" w:rsidRPr="00EC02CA">
        <w:t xml:space="preserve"> from a police perspective</w:t>
      </w:r>
      <w:r w:rsidR="005E3508" w:rsidRPr="00EC02CA">
        <w:t>,</w:t>
      </w:r>
      <w:r w:rsidR="00E17BB2" w:rsidRPr="00EC02CA">
        <w:t xml:space="preserve"> that may exist</w:t>
      </w:r>
      <w:r w:rsidR="0033347B" w:rsidRPr="00EC02CA">
        <w:t xml:space="preserve"> to investigating and proceeding </w:t>
      </w:r>
      <w:r w:rsidR="005E3508" w:rsidRPr="00EC02CA">
        <w:t xml:space="preserve">and, </w:t>
      </w:r>
      <w:r w:rsidR="0033347B" w:rsidRPr="00EC02CA">
        <w:t>where appropriate</w:t>
      </w:r>
      <w:r w:rsidR="005E3508" w:rsidRPr="00EC02CA">
        <w:t>,</w:t>
      </w:r>
      <w:r w:rsidR="00BC206E" w:rsidRPr="00EC02CA">
        <w:t xml:space="preserve"> to inform </w:t>
      </w:r>
      <w:r w:rsidR="00BC7FB1" w:rsidRPr="00EC02CA">
        <w:t>reforms</w:t>
      </w:r>
      <w:r w:rsidR="001E145E" w:rsidRPr="00EC02CA">
        <w:t>.</w:t>
      </w:r>
    </w:p>
    <w:p w14:paraId="6AD8260A" w14:textId="576F72F2" w:rsidR="00852EAE" w:rsidRPr="00EC02CA" w:rsidRDefault="00977DD0" w:rsidP="002F0007">
      <w:pPr>
        <w:pStyle w:val="NormalNumberedTextTLRI"/>
      </w:pPr>
      <w:r w:rsidRPr="00EC02CA">
        <w:t>A</w:t>
      </w:r>
      <w:r w:rsidR="00AD3022" w:rsidRPr="00EC02CA">
        <w:t xml:space="preserve">n additional </w:t>
      </w:r>
      <w:r w:rsidR="00A43DCA" w:rsidRPr="00EC02CA">
        <w:t xml:space="preserve">limitation of </w:t>
      </w:r>
      <w:r w:rsidR="00611FF8" w:rsidRPr="00EC02CA">
        <w:t>the</w:t>
      </w:r>
      <w:r w:rsidR="00A43DCA" w:rsidRPr="00EC02CA">
        <w:t xml:space="preserve"> criminal justice response </w:t>
      </w:r>
      <w:r w:rsidR="002E1F90" w:rsidRPr="00EC02CA">
        <w:t xml:space="preserve">to harmful sexual behaviour </w:t>
      </w:r>
      <w:r w:rsidR="00AD3022" w:rsidRPr="00EC02CA">
        <w:t>that has been identified in the literature</w:t>
      </w:r>
      <w:r w:rsidR="00611FF8" w:rsidRPr="00EC02CA">
        <w:t>,</w:t>
      </w:r>
      <w:r w:rsidR="00AD3022" w:rsidRPr="00EC02CA">
        <w:t xml:space="preserve"> and</w:t>
      </w:r>
      <w:r w:rsidR="008C1E48" w:rsidRPr="00EC02CA">
        <w:t xml:space="preserve"> which</w:t>
      </w:r>
      <w:r w:rsidR="00AD3022" w:rsidRPr="00EC02CA">
        <w:t xml:space="preserve"> </w:t>
      </w:r>
      <w:r w:rsidR="00611FF8" w:rsidRPr="00EC02CA">
        <w:t xml:space="preserve">was </w:t>
      </w:r>
      <w:r w:rsidR="00835CAC" w:rsidRPr="00EC02CA">
        <w:t xml:space="preserve">also </w:t>
      </w:r>
      <w:r w:rsidR="00F069E0" w:rsidRPr="00EC02CA">
        <w:t xml:space="preserve">raised </w:t>
      </w:r>
      <w:r w:rsidR="00AD3022" w:rsidRPr="00EC02CA">
        <w:t>in the interviews</w:t>
      </w:r>
      <w:r w:rsidR="00611FF8" w:rsidRPr="00EC02CA">
        <w:t>,</w:t>
      </w:r>
      <w:r w:rsidR="00AD3022" w:rsidRPr="00EC02CA">
        <w:t xml:space="preserve"> </w:t>
      </w:r>
      <w:r w:rsidR="00BC2789" w:rsidRPr="00EC02CA">
        <w:t xml:space="preserve">is that </w:t>
      </w:r>
      <w:r w:rsidR="00C448C2" w:rsidRPr="00EC02CA">
        <w:t xml:space="preserve">any appropriate treatment </w:t>
      </w:r>
      <w:r w:rsidR="00A43DCA" w:rsidRPr="00EC02CA">
        <w:t xml:space="preserve">intervention </w:t>
      </w:r>
      <w:r w:rsidR="00F069E0" w:rsidRPr="00EC02CA">
        <w:t>is</w:t>
      </w:r>
      <w:r w:rsidR="00C448C2" w:rsidRPr="00EC02CA">
        <w:t xml:space="preserve"> </w:t>
      </w:r>
      <w:r w:rsidR="00BC2789" w:rsidRPr="00EC02CA">
        <w:t>often contingent o</w:t>
      </w:r>
      <w:r w:rsidR="00611FF8" w:rsidRPr="00EC02CA">
        <w:t>n</w:t>
      </w:r>
      <w:r w:rsidR="00BC2789" w:rsidRPr="00EC02CA">
        <w:t xml:space="preserve"> a finding of guilt or a plea of guilty.</w:t>
      </w:r>
      <w:r w:rsidR="00B324EE" w:rsidRPr="00EC02CA">
        <w:t xml:space="preserve"> </w:t>
      </w:r>
      <w:r w:rsidR="006F1A42" w:rsidRPr="00EC02CA">
        <w:t xml:space="preserve">As noted, there are </w:t>
      </w:r>
      <w:r w:rsidR="00D02289" w:rsidRPr="00EC02CA">
        <w:t xml:space="preserve">multiple reasons why </w:t>
      </w:r>
      <w:r w:rsidR="008E20BE" w:rsidRPr="00EC02CA">
        <w:t>matters</w:t>
      </w:r>
      <w:r w:rsidR="00D02289" w:rsidRPr="00EC02CA">
        <w:t xml:space="preserve"> may not proceed</w:t>
      </w:r>
      <w:r w:rsidR="00F069E0" w:rsidRPr="00EC02CA">
        <w:t>, and very few matters result in a court outcome</w:t>
      </w:r>
      <w:r w:rsidR="00D02289" w:rsidRPr="00EC02CA">
        <w:t xml:space="preserve">. In </w:t>
      </w:r>
      <w:r w:rsidR="00FE7551" w:rsidRPr="00EC02CA">
        <w:t>addition,</w:t>
      </w:r>
      <w:r w:rsidR="00F069E0" w:rsidRPr="00EC02CA">
        <w:t xml:space="preserve"> it has been noted that</w:t>
      </w:r>
      <w:r w:rsidR="00D02289" w:rsidRPr="00EC02CA">
        <w:t xml:space="preserve"> there is very little that can be done </w:t>
      </w:r>
      <w:r w:rsidR="00C94BC6" w:rsidRPr="00EC02CA">
        <w:t xml:space="preserve">from a justice perspective </w:t>
      </w:r>
      <w:r w:rsidR="00D02289" w:rsidRPr="00EC02CA">
        <w:t xml:space="preserve">in response to </w:t>
      </w:r>
      <w:r w:rsidR="00C94BC6" w:rsidRPr="00EC02CA">
        <w:t>a person under the age of criminal</w:t>
      </w:r>
      <w:r w:rsidR="008C5D44" w:rsidRPr="00EC02CA">
        <w:t xml:space="preserve"> </w:t>
      </w:r>
      <w:r w:rsidR="00670D0C" w:rsidRPr="00EC02CA">
        <w:t>responsibility.</w:t>
      </w:r>
      <w:r w:rsidR="00670D0C" w:rsidRPr="00EC02CA">
        <w:rPr>
          <w:rStyle w:val="FootnoteReference"/>
        </w:rPr>
        <w:footnoteReference w:id="659"/>
      </w:r>
      <w:r w:rsidR="00670D0C" w:rsidRPr="00EC02CA">
        <w:t xml:space="preserve"> </w:t>
      </w:r>
      <w:r w:rsidR="00F069E0" w:rsidRPr="00EC02CA">
        <w:t>In interviews, it was stated</w:t>
      </w:r>
      <w:r w:rsidR="007E26BC" w:rsidRPr="00EC02CA">
        <w:t xml:space="preserve"> that</w:t>
      </w:r>
      <w:r w:rsidR="008C1E48" w:rsidRPr="00EC02CA">
        <w:t>,</w:t>
      </w:r>
      <w:r w:rsidR="007E26BC" w:rsidRPr="00EC02CA">
        <w:t xml:space="preserve"> </w:t>
      </w:r>
      <w:r w:rsidR="00611FF8" w:rsidRPr="00EC02CA">
        <w:t xml:space="preserve">in these circumstances, </w:t>
      </w:r>
      <w:r w:rsidR="007E26BC" w:rsidRPr="00EC02CA">
        <w:t xml:space="preserve">police and schools may refer young people </w:t>
      </w:r>
      <w:r w:rsidR="00611FF8" w:rsidRPr="00EC02CA">
        <w:t xml:space="preserve">who engage in </w:t>
      </w:r>
      <w:r w:rsidR="006D4BB2" w:rsidRPr="00EC02CA">
        <w:t>harmful</w:t>
      </w:r>
      <w:r w:rsidR="007E26BC" w:rsidRPr="00EC02CA">
        <w:t xml:space="preserve"> sexual </w:t>
      </w:r>
      <w:r w:rsidR="00611FF8" w:rsidRPr="00EC02CA">
        <w:t xml:space="preserve">behaviour </w:t>
      </w:r>
      <w:r w:rsidR="007E26BC" w:rsidRPr="00EC02CA">
        <w:t>to the PAST pr</w:t>
      </w:r>
      <w:r w:rsidR="006D4BB2" w:rsidRPr="00EC02CA">
        <w:t>o</w:t>
      </w:r>
      <w:r w:rsidR="007E26BC" w:rsidRPr="00EC02CA">
        <w:t>gram</w:t>
      </w:r>
      <w:r w:rsidR="006D4BB2" w:rsidRPr="00EC02CA">
        <w:t xml:space="preserve">, but there is no power to compel a young person to attend if they or their family do not want to participate. </w:t>
      </w:r>
      <w:r w:rsidR="00EA46EC" w:rsidRPr="00EC02CA">
        <w:t xml:space="preserve">This was seen </w:t>
      </w:r>
      <w:r w:rsidR="008C1E48" w:rsidRPr="00EC02CA">
        <w:t>as</w:t>
      </w:r>
      <w:r w:rsidR="00EA46EC" w:rsidRPr="00EC02CA">
        <w:t xml:space="preserve"> a barrier to responding</w:t>
      </w:r>
      <w:r w:rsidR="008C1E48" w:rsidRPr="00EC02CA">
        <w:t>,</w:t>
      </w:r>
      <w:r w:rsidR="00EA46EC" w:rsidRPr="00EC02CA">
        <w:t xml:space="preserve"> where </w:t>
      </w:r>
      <w:r w:rsidR="009F79DA" w:rsidRPr="00EC02CA">
        <w:t xml:space="preserve">it may be </w:t>
      </w:r>
      <w:r w:rsidR="00EA46EC" w:rsidRPr="00EC02CA">
        <w:t>appropriate</w:t>
      </w:r>
      <w:r w:rsidR="008C1E48" w:rsidRPr="00EC02CA">
        <w:t>,</w:t>
      </w:r>
      <w:r w:rsidR="00EA46EC" w:rsidRPr="00EC02CA">
        <w:t xml:space="preserve"> with therapeutic interventions</w:t>
      </w:r>
      <w:r w:rsidR="00DE4DD7" w:rsidRPr="00EC02CA">
        <w:t>.</w:t>
      </w:r>
    </w:p>
    <w:p w14:paraId="134581B0" w14:textId="58F6BF4C" w:rsidR="00CE7794" w:rsidRPr="00EC02CA" w:rsidRDefault="00B961C5" w:rsidP="002F0007">
      <w:pPr>
        <w:pStyle w:val="NormalNumberedTextTLRI"/>
      </w:pPr>
      <w:r w:rsidRPr="00EC02CA">
        <w:t xml:space="preserve">A model for reform that </w:t>
      </w:r>
      <w:r w:rsidR="001A3C9C" w:rsidRPr="00EC02CA">
        <w:t>was r</w:t>
      </w:r>
      <w:r w:rsidR="00636AEA" w:rsidRPr="00EC02CA">
        <w:t xml:space="preserve">ecommended by the Commission </w:t>
      </w:r>
      <w:r w:rsidR="003C45E1" w:rsidRPr="00EC02CA">
        <w:t xml:space="preserve">of Inquiry </w:t>
      </w:r>
      <w:r w:rsidR="00DE4DD7" w:rsidRPr="00EC02CA">
        <w:t>is found in Victoria</w:t>
      </w:r>
      <w:r w:rsidR="00636AEA" w:rsidRPr="00EC02CA">
        <w:t>.</w:t>
      </w:r>
      <w:r w:rsidR="00636AEA" w:rsidRPr="00EC02CA">
        <w:rPr>
          <w:rStyle w:val="FootnoteReference"/>
        </w:rPr>
        <w:footnoteReference w:id="660"/>
      </w:r>
      <w:r w:rsidR="1367BB37" w:rsidRPr="00EC02CA">
        <w:t xml:space="preserve"> </w:t>
      </w:r>
      <w:r w:rsidR="00FF4170" w:rsidRPr="00EC02CA">
        <w:t>Separate from any criminal proceedings against a young perso</w:t>
      </w:r>
      <w:r w:rsidR="0041381F" w:rsidRPr="00EC02CA">
        <w:t xml:space="preserve">n, </w:t>
      </w:r>
      <w:r w:rsidR="00DB6412" w:rsidRPr="00EC02CA">
        <w:t>u</w:t>
      </w:r>
      <w:r w:rsidR="00BD7D65" w:rsidRPr="00EC02CA">
        <w:t xml:space="preserve">nder the </w:t>
      </w:r>
      <w:r w:rsidR="00B91D56" w:rsidRPr="00EC02CA">
        <w:rPr>
          <w:i/>
          <w:iCs/>
        </w:rPr>
        <w:t>Children</w:t>
      </w:r>
      <w:r w:rsidR="003A6FDF" w:rsidRPr="00EC02CA">
        <w:rPr>
          <w:i/>
          <w:iCs/>
        </w:rPr>
        <w:t>,</w:t>
      </w:r>
      <w:r w:rsidR="00235F85" w:rsidRPr="00EC02CA">
        <w:rPr>
          <w:i/>
          <w:iCs/>
        </w:rPr>
        <w:t xml:space="preserve"> </w:t>
      </w:r>
      <w:r w:rsidR="00B91D56" w:rsidRPr="00EC02CA">
        <w:rPr>
          <w:i/>
          <w:iCs/>
        </w:rPr>
        <w:t>Y</w:t>
      </w:r>
      <w:r w:rsidR="003A6FDF" w:rsidRPr="00EC02CA">
        <w:rPr>
          <w:i/>
          <w:iCs/>
        </w:rPr>
        <w:t>outh</w:t>
      </w:r>
      <w:r w:rsidR="00235F85" w:rsidRPr="00EC02CA">
        <w:rPr>
          <w:i/>
          <w:iCs/>
        </w:rPr>
        <w:t xml:space="preserve"> and Families Ac</w:t>
      </w:r>
      <w:r w:rsidR="002F3B0A" w:rsidRPr="00EC02CA">
        <w:rPr>
          <w:i/>
          <w:iCs/>
        </w:rPr>
        <w:t>t</w:t>
      </w:r>
      <w:r w:rsidR="00235F85" w:rsidRPr="00EC02CA">
        <w:rPr>
          <w:i/>
          <w:iCs/>
        </w:rPr>
        <w:t xml:space="preserve"> </w:t>
      </w:r>
      <w:r w:rsidR="003A6FDF" w:rsidRPr="00EC02CA">
        <w:rPr>
          <w:i/>
          <w:iCs/>
        </w:rPr>
        <w:t>2005</w:t>
      </w:r>
      <w:r w:rsidR="00235F85" w:rsidRPr="00EC02CA">
        <w:rPr>
          <w:i/>
          <w:iCs/>
        </w:rPr>
        <w:t xml:space="preserve"> </w:t>
      </w:r>
      <w:r w:rsidR="00235F85" w:rsidRPr="00EC02CA">
        <w:t xml:space="preserve">(Vic), the Family Division </w:t>
      </w:r>
      <w:r w:rsidR="002C3B76" w:rsidRPr="00EC02CA">
        <w:t xml:space="preserve">of the Children’s Court is able to </w:t>
      </w:r>
      <w:r w:rsidR="00B91D56" w:rsidRPr="00EC02CA">
        <w:t>make</w:t>
      </w:r>
      <w:r w:rsidR="002C3B76" w:rsidRPr="00EC02CA">
        <w:t xml:space="preserve"> a </w:t>
      </w:r>
      <w:r w:rsidR="00B91D56" w:rsidRPr="00EC02CA">
        <w:t>therapeutic</w:t>
      </w:r>
      <w:r w:rsidR="002C3B76" w:rsidRPr="00EC02CA">
        <w:t xml:space="preserve"> </w:t>
      </w:r>
      <w:r w:rsidR="002F3B0A" w:rsidRPr="00EC02CA">
        <w:t>treatment</w:t>
      </w:r>
      <w:r w:rsidR="002C3B76" w:rsidRPr="00EC02CA">
        <w:t xml:space="preserve"> order </w:t>
      </w:r>
      <w:r w:rsidR="005920A1" w:rsidRPr="00EC02CA">
        <w:t xml:space="preserve">(TTO) </w:t>
      </w:r>
      <w:r w:rsidR="002C3B76" w:rsidRPr="00EC02CA">
        <w:t>in respect of a child aged 10</w:t>
      </w:r>
      <w:r w:rsidR="007F333B" w:rsidRPr="00EC02CA">
        <w:t>–</w:t>
      </w:r>
      <w:r w:rsidR="002C3B76" w:rsidRPr="00EC02CA">
        <w:t xml:space="preserve">17 if the Court is </w:t>
      </w:r>
      <w:r w:rsidR="002F3B0A" w:rsidRPr="00EC02CA">
        <w:t>satisfied</w:t>
      </w:r>
      <w:r w:rsidR="002C3B76" w:rsidRPr="00EC02CA">
        <w:t xml:space="preserve"> that the child has </w:t>
      </w:r>
      <w:r w:rsidR="005B4A84" w:rsidRPr="00EC02CA">
        <w:t xml:space="preserve">exhibited sexually </w:t>
      </w:r>
      <w:r w:rsidR="002F3B0A" w:rsidRPr="00EC02CA">
        <w:t>abusive</w:t>
      </w:r>
      <w:r w:rsidR="005B4A84" w:rsidRPr="00EC02CA">
        <w:t xml:space="preserve"> behaviour and the order is necessary to ensure the child’s access to</w:t>
      </w:r>
      <w:r w:rsidR="007F333B" w:rsidRPr="00EC02CA">
        <w:t>,</w:t>
      </w:r>
      <w:r w:rsidR="005B4A84" w:rsidRPr="00EC02CA">
        <w:t xml:space="preserve"> or </w:t>
      </w:r>
      <w:r w:rsidR="002F3B0A" w:rsidRPr="00EC02CA">
        <w:t>attendance</w:t>
      </w:r>
      <w:r w:rsidR="005B4A84" w:rsidRPr="00EC02CA">
        <w:t xml:space="preserve"> at</w:t>
      </w:r>
      <w:r w:rsidR="007F333B" w:rsidRPr="00EC02CA">
        <w:t>,</w:t>
      </w:r>
      <w:r w:rsidR="005B4A84" w:rsidRPr="00EC02CA">
        <w:t xml:space="preserve"> a </w:t>
      </w:r>
      <w:r w:rsidR="002F3B0A" w:rsidRPr="00EC02CA">
        <w:t>therapeutic</w:t>
      </w:r>
      <w:r w:rsidR="005B4A84" w:rsidRPr="00EC02CA">
        <w:t xml:space="preserve"> treatment program.</w:t>
      </w:r>
      <w:r w:rsidR="005B4A84" w:rsidRPr="00EC02CA">
        <w:rPr>
          <w:rStyle w:val="FootnoteReference"/>
        </w:rPr>
        <w:footnoteReference w:id="661"/>
      </w:r>
      <w:r w:rsidR="00514C9E" w:rsidRPr="00EC02CA">
        <w:t xml:space="preserve"> </w:t>
      </w:r>
      <w:r w:rsidR="006E0F7B" w:rsidRPr="00EC02CA">
        <w:t>Reports are made to Child Protection and a</w:t>
      </w:r>
      <w:r w:rsidR="00D04D18" w:rsidRPr="00EC02CA">
        <w:t xml:space="preserve"> therapeutic treatment report is considered by the </w:t>
      </w:r>
      <w:r w:rsidR="00242586" w:rsidRPr="00EC02CA">
        <w:t>Therapeutic</w:t>
      </w:r>
      <w:r w:rsidR="00D04D18" w:rsidRPr="00EC02CA">
        <w:t xml:space="preserve"> Tre</w:t>
      </w:r>
      <w:r w:rsidR="00242586" w:rsidRPr="00EC02CA">
        <w:t>atment</w:t>
      </w:r>
      <w:r w:rsidR="00D04D18" w:rsidRPr="00EC02CA">
        <w:t xml:space="preserve"> Board</w:t>
      </w:r>
      <w:r w:rsidR="007F333B" w:rsidRPr="00EC02CA">
        <w:t>, which then provides</w:t>
      </w:r>
      <w:r w:rsidR="00D04D18" w:rsidRPr="00EC02CA">
        <w:t xml:space="preserve"> </w:t>
      </w:r>
      <w:r w:rsidR="00242586" w:rsidRPr="00EC02CA">
        <w:t>advice</w:t>
      </w:r>
      <w:r w:rsidR="00777ED7" w:rsidRPr="00EC02CA">
        <w:t>. If</w:t>
      </w:r>
      <w:r w:rsidR="00726600" w:rsidRPr="00EC02CA">
        <w:t xml:space="preserve"> Child </w:t>
      </w:r>
      <w:r w:rsidR="00242586" w:rsidRPr="00EC02CA">
        <w:t>Protection</w:t>
      </w:r>
      <w:r w:rsidR="00726600" w:rsidRPr="00EC02CA">
        <w:t xml:space="preserve"> is </w:t>
      </w:r>
      <w:r w:rsidR="00242586" w:rsidRPr="00EC02CA">
        <w:t>satisfied</w:t>
      </w:r>
      <w:r w:rsidR="00726600" w:rsidRPr="00EC02CA">
        <w:t xml:space="preserve"> on reasonable grounds (and after advice from the </w:t>
      </w:r>
      <w:r w:rsidR="00242586" w:rsidRPr="00EC02CA">
        <w:t>Therapeutic Treatment</w:t>
      </w:r>
      <w:r w:rsidR="00726600" w:rsidRPr="00EC02CA">
        <w:t xml:space="preserve"> Board) that sexually </w:t>
      </w:r>
      <w:r w:rsidR="00242586" w:rsidRPr="00EC02CA">
        <w:t>abusive</w:t>
      </w:r>
      <w:r w:rsidR="00726600" w:rsidRPr="00EC02CA">
        <w:t xml:space="preserve"> </w:t>
      </w:r>
      <w:r w:rsidR="00242586" w:rsidRPr="00EC02CA">
        <w:t>behaviour</w:t>
      </w:r>
      <w:r w:rsidR="00726600" w:rsidRPr="00EC02CA">
        <w:t xml:space="preserve"> has occurred</w:t>
      </w:r>
      <w:r w:rsidR="007F333B" w:rsidRPr="00EC02CA">
        <w:t>,</w:t>
      </w:r>
      <w:r w:rsidR="00726600" w:rsidRPr="00EC02CA">
        <w:t xml:space="preserve"> and that a young person’s access </w:t>
      </w:r>
      <w:r w:rsidR="00242586" w:rsidRPr="00EC02CA">
        <w:t>to</w:t>
      </w:r>
      <w:r w:rsidR="00726600" w:rsidRPr="00EC02CA">
        <w:t xml:space="preserve"> </w:t>
      </w:r>
      <w:r w:rsidR="00242586" w:rsidRPr="00EC02CA">
        <w:t>treatment</w:t>
      </w:r>
      <w:r w:rsidR="00726600" w:rsidRPr="00EC02CA">
        <w:t xml:space="preserve"> is best </w:t>
      </w:r>
      <w:r w:rsidR="00242586" w:rsidRPr="00EC02CA">
        <w:t>supported</w:t>
      </w:r>
      <w:r w:rsidR="00726600" w:rsidRPr="00EC02CA">
        <w:t xml:space="preserve"> </w:t>
      </w:r>
      <w:r w:rsidR="00242586" w:rsidRPr="00EC02CA">
        <w:t xml:space="preserve">by a TTO, then </w:t>
      </w:r>
      <w:r w:rsidR="007F333B" w:rsidRPr="00EC02CA">
        <w:t xml:space="preserve">an </w:t>
      </w:r>
      <w:r w:rsidR="00242586" w:rsidRPr="00EC02CA">
        <w:t>application can be made to the Family Division of the Children’s</w:t>
      </w:r>
      <w:r w:rsidR="007A1494" w:rsidRPr="00EC02CA">
        <w:t xml:space="preserve"> </w:t>
      </w:r>
      <w:r w:rsidR="00242586" w:rsidRPr="00EC02CA">
        <w:t>Court.</w:t>
      </w:r>
      <w:bookmarkStart w:id="333" w:name="_Ref218004833"/>
      <w:r w:rsidR="00242586" w:rsidRPr="00EC02CA">
        <w:rPr>
          <w:rStyle w:val="FootnoteReference"/>
        </w:rPr>
        <w:footnoteReference w:id="662"/>
      </w:r>
      <w:bookmarkEnd w:id="333"/>
      <w:r w:rsidR="00242586" w:rsidRPr="00EC02CA">
        <w:t xml:space="preserve"> </w:t>
      </w:r>
      <w:r w:rsidR="00766C29" w:rsidRPr="00EC02CA">
        <w:t xml:space="preserve">A young </w:t>
      </w:r>
      <w:r w:rsidR="00F264DA" w:rsidRPr="00EC02CA">
        <w:t>person</w:t>
      </w:r>
      <w:r w:rsidR="00766C29" w:rsidRPr="00EC02CA">
        <w:t xml:space="preserve"> may attend a treatment program </w:t>
      </w:r>
      <w:r w:rsidR="00F264DA" w:rsidRPr="00EC02CA">
        <w:t>voluntarily</w:t>
      </w:r>
      <w:r w:rsidR="00C21132" w:rsidRPr="00EC02CA">
        <w:t xml:space="preserve"> </w:t>
      </w:r>
      <w:r w:rsidR="007F333B" w:rsidRPr="00EC02CA">
        <w:t xml:space="preserve"> – </w:t>
      </w:r>
      <w:r w:rsidR="00C21132" w:rsidRPr="00EC02CA">
        <w:t>wh</w:t>
      </w:r>
      <w:r w:rsidR="00401B24" w:rsidRPr="00EC02CA">
        <w:t>ich</w:t>
      </w:r>
      <w:r w:rsidR="00C21132" w:rsidRPr="00EC02CA">
        <w:t xml:space="preserve"> is </w:t>
      </w:r>
      <w:r w:rsidR="00525819" w:rsidRPr="00EC02CA">
        <w:t>how most children in Victoria receive therapeutic intervention</w:t>
      </w:r>
      <w:r w:rsidR="00525819" w:rsidRPr="00EC02CA">
        <w:rPr>
          <w:rStyle w:val="FootnoteReference"/>
        </w:rPr>
        <w:footnoteReference w:id="663"/>
      </w:r>
      <w:r w:rsidR="00766C29" w:rsidRPr="00EC02CA">
        <w:t xml:space="preserve"> </w:t>
      </w:r>
      <w:r w:rsidR="007F333B" w:rsidRPr="00EC02CA">
        <w:t xml:space="preserve">– </w:t>
      </w:r>
      <w:r w:rsidR="00766C29" w:rsidRPr="00EC02CA">
        <w:t>but i</w:t>
      </w:r>
      <w:r w:rsidR="00F264DA" w:rsidRPr="00EC02CA">
        <w:t xml:space="preserve">f they do not want to and/or they are not supported by their parents or carers, the </w:t>
      </w:r>
      <w:r w:rsidR="007F333B" w:rsidRPr="00EC02CA">
        <w:t xml:space="preserve">Court has a </w:t>
      </w:r>
      <w:r w:rsidR="00F264DA" w:rsidRPr="00EC02CA">
        <w:t xml:space="preserve">power to require </w:t>
      </w:r>
      <w:r w:rsidR="007F333B" w:rsidRPr="00EC02CA">
        <w:t>the</w:t>
      </w:r>
      <w:r w:rsidR="00F264DA" w:rsidRPr="00EC02CA">
        <w:t xml:space="preserve"> young person to attend. </w:t>
      </w:r>
      <w:r w:rsidR="00E14A15" w:rsidRPr="00EC02CA">
        <w:t xml:space="preserve">In </w:t>
      </w:r>
      <w:r w:rsidR="005953E1" w:rsidRPr="00EC02CA">
        <w:t>20</w:t>
      </w:r>
      <w:r w:rsidR="0065306F" w:rsidRPr="00EC02CA">
        <w:t>2</w:t>
      </w:r>
      <w:r w:rsidR="005953E1" w:rsidRPr="00EC02CA">
        <w:t>0</w:t>
      </w:r>
      <w:r w:rsidR="007F333B" w:rsidRPr="00EC02CA">
        <w:t>–</w:t>
      </w:r>
      <w:r w:rsidR="005953E1" w:rsidRPr="00EC02CA">
        <w:t>21</w:t>
      </w:r>
      <w:r w:rsidR="00E14A15" w:rsidRPr="00EC02CA">
        <w:t xml:space="preserve">, it was reported that </w:t>
      </w:r>
      <w:r w:rsidR="008D589E" w:rsidRPr="00EC02CA">
        <w:t xml:space="preserve">269 </w:t>
      </w:r>
      <w:r w:rsidR="00F95EAE" w:rsidRPr="00EC02CA">
        <w:t>young</w:t>
      </w:r>
      <w:r w:rsidR="005953E1" w:rsidRPr="00EC02CA">
        <w:t xml:space="preserve"> p</w:t>
      </w:r>
      <w:r w:rsidR="00F95EAE" w:rsidRPr="00EC02CA">
        <w:t>eople</w:t>
      </w:r>
      <w:r w:rsidR="008D589E" w:rsidRPr="00EC02CA">
        <w:t xml:space="preserve"> had been placed on a TTO since they were </w:t>
      </w:r>
      <w:r w:rsidR="00B264A3" w:rsidRPr="00EC02CA">
        <w:t>created</w:t>
      </w:r>
      <w:r w:rsidR="00F95EAE" w:rsidRPr="00EC02CA">
        <w:t xml:space="preserve"> </w:t>
      </w:r>
      <w:r w:rsidR="008D589E" w:rsidRPr="00EC02CA">
        <w:t>in 2007.</w:t>
      </w:r>
      <w:bookmarkStart w:id="334" w:name="_Ref218005127"/>
      <w:r w:rsidR="0065306F" w:rsidRPr="00EC02CA">
        <w:rPr>
          <w:rStyle w:val="FootnoteReference"/>
        </w:rPr>
        <w:footnoteReference w:id="664"/>
      </w:r>
      <w:bookmarkEnd w:id="334"/>
      <w:r w:rsidR="008D589E" w:rsidRPr="00EC02CA">
        <w:t xml:space="preserve"> </w:t>
      </w:r>
      <w:r w:rsidR="00676FC7" w:rsidRPr="00EC02CA">
        <w:t>I</w:t>
      </w:r>
      <w:r w:rsidR="009E64B0" w:rsidRPr="00EC02CA">
        <w:t>n</w:t>
      </w:r>
      <w:r w:rsidR="00EC7C28" w:rsidRPr="00EC02CA">
        <w:t xml:space="preserve"> </w:t>
      </w:r>
      <w:r w:rsidR="00F95EAE" w:rsidRPr="00EC02CA">
        <w:t>2021</w:t>
      </w:r>
      <w:r w:rsidR="007F333B" w:rsidRPr="00EC02CA">
        <w:t>–</w:t>
      </w:r>
      <w:r w:rsidR="00F95EAE" w:rsidRPr="00EC02CA">
        <w:t xml:space="preserve">22, </w:t>
      </w:r>
      <w:r w:rsidR="00E11B77" w:rsidRPr="00EC02CA">
        <w:t>14</w:t>
      </w:r>
      <w:r w:rsidR="00F95EAE" w:rsidRPr="00EC02CA">
        <w:t xml:space="preserve"> TTO</w:t>
      </w:r>
      <w:r w:rsidR="007F333B" w:rsidRPr="00EC02CA">
        <w:t>s</w:t>
      </w:r>
      <w:r w:rsidR="00F95EAE" w:rsidRPr="00EC02CA">
        <w:t xml:space="preserve"> were made</w:t>
      </w:r>
      <w:r w:rsidR="007F333B" w:rsidRPr="00EC02CA">
        <w:t>,</w:t>
      </w:r>
      <w:r w:rsidR="00F95EAE" w:rsidRPr="00EC02CA">
        <w:t xml:space="preserve"> and in </w:t>
      </w:r>
      <w:r w:rsidR="00263841" w:rsidRPr="00EC02CA">
        <w:t>2022</w:t>
      </w:r>
      <w:r w:rsidR="007F333B" w:rsidRPr="00EC02CA">
        <w:t>–</w:t>
      </w:r>
      <w:r w:rsidR="00263841" w:rsidRPr="00EC02CA">
        <w:t xml:space="preserve">23, </w:t>
      </w:r>
      <w:r w:rsidR="008D589E" w:rsidRPr="00EC02CA">
        <w:t xml:space="preserve">a further </w:t>
      </w:r>
      <w:r w:rsidR="00263841" w:rsidRPr="00EC02CA">
        <w:t xml:space="preserve">17 </w:t>
      </w:r>
      <w:r w:rsidR="007F333B" w:rsidRPr="00EC02CA">
        <w:t xml:space="preserve">were </w:t>
      </w:r>
      <w:r w:rsidR="00263841" w:rsidRPr="00EC02CA">
        <w:t>made.</w:t>
      </w:r>
      <w:r w:rsidR="00263841" w:rsidRPr="00EC02CA">
        <w:rPr>
          <w:rStyle w:val="FootnoteReference"/>
        </w:rPr>
        <w:footnoteReference w:id="665"/>
      </w:r>
      <w:r w:rsidR="00263841" w:rsidRPr="00EC02CA">
        <w:t xml:space="preserve"> </w:t>
      </w:r>
      <w:r w:rsidR="00676FC7" w:rsidRPr="00EC02CA">
        <w:t>The process is that, i</w:t>
      </w:r>
      <w:r w:rsidR="00E45E10" w:rsidRPr="00EC02CA">
        <w:t xml:space="preserve">f there </w:t>
      </w:r>
      <w:r w:rsidR="00466313" w:rsidRPr="00EC02CA">
        <w:t>are reasonable grounds to believe that a child is in need of TTO, r</w:t>
      </w:r>
      <w:r w:rsidR="00607AC6" w:rsidRPr="00EC02CA">
        <w:t xml:space="preserve">eports </w:t>
      </w:r>
      <w:r w:rsidR="00E45E10" w:rsidRPr="00EC02CA">
        <w:t xml:space="preserve">are made to the Secretary of the </w:t>
      </w:r>
      <w:r w:rsidR="00676FC7" w:rsidRPr="00EC02CA">
        <w:t>Department</w:t>
      </w:r>
      <w:r w:rsidR="00466313" w:rsidRPr="00EC02CA">
        <w:t xml:space="preserve">. Reports can be made by </w:t>
      </w:r>
      <w:r w:rsidR="00DD2A0C" w:rsidRPr="00EC02CA">
        <w:t>Victoria Police or any other person</w:t>
      </w:r>
      <w:r w:rsidR="00FE2D7F" w:rsidRPr="00EC02CA">
        <w:t>,</w:t>
      </w:r>
      <w:r w:rsidR="00DD2A0C" w:rsidRPr="00EC02CA">
        <w:rPr>
          <w:rStyle w:val="FootnoteReference"/>
        </w:rPr>
        <w:footnoteReference w:id="666"/>
      </w:r>
      <w:r w:rsidR="00FE2D7F" w:rsidRPr="00EC02CA">
        <w:t xml:space="preserve"> and all reports are </w:t>
      </w:r>
      <w:r w:rsidR="009C700A" w:rsidRPr="00EC02CA">
        <w:t>investigated</w:t>
      </w:r>
      <w:r w:rsidR="00B53B5A" w:rsidRPr="00EC02CA">
        <w:t xml:space="preserve"> by Child Protection.</w:t>
      </w:r>
      <w:r w:rsidR="00022C23" w:rsidRPr="00EC02CA">
        <w:t xml:space="preserve"> If the Secretary is satisfied on </w:t>
      </w:r>
      <w:r w:rsidR="003C3FF8" w:rsidRPr="00EC02CA">
        <w:t>reasonable</w:t>
      </w:r>
      <w:r w:rsidR="00022C23" w:rsidRPr="00EC02CA">
        <w:t xml:space="preserve"> grounds that the </w:t>
      </w:r>
      <w:r w:rsidR="003C3FF8" w:rsidRPr="00EC02CA">
        <w:t>child</w:t>
      </w:r>
      <w:r w:rsidR="00022C23" w:rsidRPr="00EC02CA">
        <w:t xml:space="preserve"> is in need of </w:t>
      </w:r>
      <w:r w:rsidR="003C3FF8" w:rsidRPr="00EC02CA">
        <w:t>therapeutic</w:t>
      </w:r>
      <w:r w:rsidR="00022C23" w:rsidRPr="00EC02CA">
        <w:t xml:space="preserve"> </w:t>
      </w:r>
      <w:r w:rsidR="003C3FF8" w:rsidRPr="00EC02CA">
        <w:t>treatment</w:t>
      </w:r>
      <w:r w:rsidR="00022C23" w:rsidRPr="00EC02CA">
        <w:t xml:space="preserve">, then an </w:t>
      </w:r>
      <w:r w:rsidR="003C3FF8" w:rsidRPr="00EC02CA">
        <w:t>application</w:t>
      </w:r>
      <w:r w:rsidR="00022C23" w:rsidRPr="00EC02CA">
        <w:t xml:space="preserve"> can be made to the court</w:t>
      </w:r>
      <w:r w:rsidR="003B7CF0" w:rsidRPr="00EC02CA">
        <w:t xml:space="preserve">, and an order </w:t>
      </w:r>
      <w:r w:rsidR="007F333B" w:rsidRPr="00EC02CA">
        <w:t xml:space="preserve">will be </w:t>
      </w:r>
      <w:r w:rsidR="003B7CF0" w:rsidRPr="00EC02CA">
        <w:t>made if appropriate</w:t>
      </w:r>
      <w:r w:rsidR="00022C23" w:rsidRPr="00EC02CA">
        <w:t>.</w:t>
      </w:r>
      <w:r w:rsidR="00022C23" w:rsidRPr="00EC02CA">
        <w:rPr>
          <w:rStyle w:val="FootnoteReference"/>
        </w:rPr>
        <w:footnoteReference w:id="667"/>
      </w:r>
      <w:r w:rsidR="00171AC9" w:rsidRPr="00EC02CA">
        <w:t xml:space="preserve"> </w:t>
      </w:r>
    </w:p>
    <w:p w14:paraId="5FA98142" w14:textId="5BD1FF54" w:rsidR="004F7A0F" w:rsidRPr="00EC02CA" w:rsidRDefault="00852EAE" w:rsidP="002F0007">
      <w:pPr>
        <w:pStyle w:val="NormalNumberedTextTLRI"/>
      </w:pPr>
      <w:r w:rsidRPr="00EC02CA">
        <w:t>As noted, t</w:t>
      </w:r>
      <w:r w:rsidR="007E2C07" w:rsidRPr="00EC02CA">
        <w:t xml:space="preserve">his power exists separately from any criminal proceedings against a child. However, it has implications for </w:t>
      </w:r>
      <w:r w:rsidR="00706F43" w:rsidRPr="00EC02CA">
        <w:t>a matter that is being dealt with in the Criminal Division of the Children</w:t>
      </w:r>
      <w:r w:rsidR="0060564E" w:rsidRPr="00EC02CA">
        <w:t>’</w:t>
      </w:r>
      <w:r w:rsidR="00706F43" w:rsidRPr="00EC02CA">
        <w:t xml:space="preserve">s Court. </w:t>
      </w:r>
      <w:r w:rsidR="00514C9E" w:rsidRPr="00EC02CA">
        <w:t>If a TTO is made, then t</w:t>
      </w:r>
      <w:r w:rsidR="00266871" w:rsidRPr="00EC02CA">
        <w:t xml:space="preserve">he </w:t>
      </w:r>
      <w:r w:rsidR="00F63DAF" w:rsidRPr="00EC02CA">
        <w:t>C</w:t>
      </w:r>
      <w:r w:rsidR="00266871" w:rsidRPr="00EC02CA">
        <w:t>riminal</w:t>
      </w:r>
      <w:r w:rsidR="00514C9E" w:rsidRPr="00EC02CA">
        <w:t xml:space="preserve"> </w:t>
      </w:r>
      <w:r w:rsidR="00F63DAF" w:rsidRPr="00EC02CA">
        <w:t>Division of the C</w:t>
      </w:r>
      <w:r w:rsidR="00514C9E" w:rsidRPr="00EC02CA">
        <w:t>ourt must adjourn</w:t>
      </w:r>
      <w:r w:rsidR="00266871" w:rsidRPr="00EC02CA">
        <w:t xml:space="preserve"> criminal proceedings</w:t>
      </w:r>
      <w:r w:rsidR="007C090C" w:rsidRPr="00EC02CA">
        <w:t xml:space="preserve"> for </w:t>
      </w:r>
      <w:r w:rsidR="005920A1" w:rsidRPr="00EC02CA">
        <w:t>at least the length of the TTO</w:t>
      </w:r>
      <w:r w:rsidR="002F3B0A" w:rsidRPr="00EC02CA">
        <w:t>, i</w:t>
      </w:r>
      <w:r w:rsidR="00B91D56" w:rsidRPr="00EC02CA">
        <w:t xml:space="preserve">f it has not yet made </w:t>
      </w:r>
      <w:r w:rsidR="002F3B0A" w:rsidRPr="00EC02CA">
        <w:t>finding</w:t>
      </w:r>
      <w:r w:rsidR="00B91D56" w:rsidRPr="00EC02CA">
        <w:t>.</w:t>
      </w:r>
      <w:r w:rsidR="00B91D56" w:rsidRPr="00EC02CA">
        <w:rPr>
          <w:rStyle w:val="FootnoteReference"/>
        </w:rPr>
        <w:footnoteReference w:id="668"/>
      </w:r>
      <w:r w:rsidR="00B91D56" w:rsidRPr="00EC02CA">
        <w:t xml:space="preserve"> </w:t>
      </w:r>
      <w:r w:rsidR="00DD2A0C" w:rsidRPr="00EC02CA">
        <w:t xml:space="preserve">The Criminal Division of the </w:t>
      </w:r>
      <w:r w:rsidR="00171AC9" w:rsidRPr="00EC02CA">
        <w:t>Children’s</w:t>
      </w:r>
      <w:r w:rsidR="00DD2A0C" w:rsidRPr="00EC02CA">
        <w:t xml:space="preserve"> Court can also make a </w:t>
      </w:r>
      <w:r w:rsidR="00FE2D7F" w:rsidRPr="00EC02CA">
        <w:t>referral.</w:t>
      </w:r>
      <w:r w:rsidR="00FE2D7F" w:rsidRPr="00EC02CA">
        <w:rPr>
          <w:rStyle w:val="FootnoteReference"/>
        </w:rPr>
        <w:footnoteReference w:id="669"/>
      </w:r>
      <w:r w:rsidR="00FE2D7F" w:rsidRPr="00EC02CA">
        <w:t xml:space="preserve"> </w:t>
      </w:r>
      <w:r w:rsidR="007C090C" w:rsidRPr="00EC02CA">
        <w:t>Further,</w:t>
      </w:r>
      <w:r w:rsidR="00990685" w:rsidRPr="00EC02CA">
        <w:t xml:space="preserve"> following the adjournment,</w:t>
      </w:r>
      <w:r w:rsidR="007C090C" w:rsidRPr="00EC02CA">
        <w:t xml:space="preserve"> if the Court is satisfied that the young person has attended and participated in a treatment program under </w:t>
      </w:r>
      <w:r w:rsidR="005920A1" w:rsidRPr="00EC02CA">
        <w:t>a TTO</w:t>
      </w:r>
      <w:r w:rsidR="007C090C" w:rsidRPr="00EC02CA">
        <w:t>, then it must discharge the c</w:t>
      </w:r>
      <w:r w:rsidR="00990685" w:rsidRPr="00EC02CA">
        <w:t xml:space="preserve">hild without any </w:t>
      </w:r>
      <w:r w:rsidR="00A2042D" w:rsidRPr="00EC02CA">
        <w:t>further</w:t>
      </w:r>
      <w:r w:rsidR="00990685" w:rsidRPr="00EC02CA">
        <w:t xml:space="preserve"> hearing.</w:t>
      </w:r>
      <w:r w:rsidR="00990685" w:rsidRPr="00EC02CA">
        <w:rPr>
          <w:rStyle w:val="FootnoteReference"/>
        </w:rPr>
        <w:footnoteReference w:id="670"/>
      </w:r>
      <w:r w:rsidR="00CA4A08" w:rsidRPr="00EC02CA">
        <w:t xml:space="preserve"> </w:t>
      </w:r>
      <w:r w:rsidR="00B91D56" w:rsidRPr="00EC02CA">
        <w:t xml:space="preserve">A young person can also </w:t>
      </w:r>
      <w:r w:rsidR="00F63DAF" w:rsidRPr="00EC02CA">
        <w:t>voluntarily</w:t>
      </w:r>
      <w:r w:rsidR="002F3B0A" w:rsidRPr="00EC02CA">
        <w:t xml:space="preserve"> attend a </w:t>
      </w:r>
      <w:r w:rsidR="00F378E9" w:rsidRPr="00EC02CA">
        <w:t>therapeutic</w:t>
      </w:r>
      <w:r w:rsidR="008D7D2C" w:rsidRPr="00EC02CA">
        <w:t xml:space="preserve"> </w:t>
      </w:r>
      <w:r w:rsidR="00F378E9" w:rsidRPr="00EC02CA">
        <w:t>treatment</w:t>
      </w:r>
      <w:r w:rsidR="008D7D2C" w:rsidRPr="00EC02CA">
        <w:t xml:space="preserve"> program</w:t>
      </w:r>
      <w:r w:rsidR="00F378E9" w:rsidRPr="00EC02CA">
        <w:t xml:space="preserve">, </w:t>
      </w:r>
      <w:r w:rsidR="007E2C07" w:rsidRPr="00EC02CA">
        <w:t xml:space="preserve">and </w:t>
      </w:r>
      <w:r w:rsidR="008D7D2C" w:rsidRPr="00EC02CA">
        <w:t xml:space="preserve">the </w:t>
      </w:r>
      <w:r w:rsidR="00CA4A08" w:rsidRPr="00EC02CA">
        <w:t>C</w:t>
      </w:r>
      <w:r w:rsidR="008D7D2C" w:rsidRPr="00EC02CA">
        <w:t>ourt</w:t>
      </w:r>
      <w:r w:rsidR="007E2C07" w:rsidRPr="00EC02CA">
        <w:t xml:space="preserve"> then</w:t>
      </w:r>
      <w:r w:rsidR="008D7D2C" w:rsidRPr="00EC02CA">
        <w:t xml:space="preserve"> has </w:t>
      </w:r>
      <w:r w:rsidR="00F378E9" w:rsidRPr="00EC02CA">
        <w:t>a discretion</w:t>
      </w:r>
      <w:r w:rsidR="00CA4A08" w:rsidRPr="00EC02CA">
        <w:t>ary</w:t>
      </w:r>
      <w:r w:rsidR="00F378E9" w:rsidRPr="00EC02CA">
        <w:t xml:space="preserve"> </w:t>
      </w:r>
      <w:r w:rsidR="008D7D2C" w:rsidRPr="00EC02CA">
        <w:t>power to adjourn criminal proceedings</w:t>
      </w:r>
      <w:r w:rsidR="00CA4A08" w:rsidRPr="00EC02CA">
        <w:t>.</w:t>
      </w:r>
      <w:r w:rsidR="00563B45" w:rsidRPr="00EC02CA">
        <w:t xml:space="preserve"> </w:t>
      </w:r>
      <w:r w:rsidR="00CA4A08" w:rsidRPr="00EC02CA">
        <w:t>F</w:t>
      </w:r>
      <w:r w:rsidR="00A2042D" w:rsidRPr="00EC02CA">
        <w:t xml:space="preserve">ollowing the adjournment, </w:t>
      </w:r>
      <w:r w:rsidR="000C28F7" w:rsidRPr="00EC02CA">
        <w:t xml:space="preserve">if the </w:t>
      </w:r>
      <w:r w:rsidR="00CA4A08" w:rsidRPr="00EC02CA">
        <w:t>C</w:t>
      </w:r>
      <w:r w:rsidR="000C28F7" w:rsidRPr="00EC02CA">
        <w:t xml:space="preserve">ourt is </w:t>
      </w:r>
      <w:r w:rsidR="00FF4EBE" w:rsidRPr="00EC02CA">
        <w:t>satisfied</w:t>
      </w:r>
      <w:r w:rsidR="000C28F7" w:rsidRPr="00EC02CA">
        <w:t xml:space="preserve"> that the child has </w:t>
      </w:r>
      <w:r w:rsidR="00FF4EBE" w:rsidRPr="00EC02CA">
        <w:t xml:space="preserve">attended and participated, it must </w:t>
      </w:r>
      <w:r w:rsidR="00A2042D" w:rsidRPr="00EC02CA">
        <w:t xml:space="preserve">discharge the </w:t>
      </w:r>
      <w:r w:rsidR="009A2989" w:rsidRPr="00EC02CA">
        <w:t>young person</w:t>
      </w:r>
      <w:r w:rsidR="008D7D2C" w:rsidRPr="00EC02CA">
        <w:t>.</w:t>
      </w:r>
      <w:r w:rsidR="008D7D2C" w:rsidRPr="00EC02CA">
        <w:rPr>
          <w:rStyle w:val="FootnoteReference"/>
        </w:rPr>
        <w:footnoteReference w:id="671"/>
      </w:r>
      <w:r w:rsidR="00FF4EBE" w:rsidRPr="00EC02CA">
        <w:t xml:space="preserve"> </w:t>
      </w:r>
      <w:r w:rsidR="00C67ABE" w:rsidRPr="00EC02CA">
        <w:t xml:space="preserve">The Commission of Inquiry also recommended the </w:t>
      </w:r>
      <w:r w:rsidR="00845C8F" w:rsidRPr="00EC02CA">
        <w:t>introduction</w:t>
      </w:r>
      <w:r w:rsidR="00C67ABE" w:rsidRPr="00EC02CA">
        <w:t xml:space="preserve"> of these </w:t>
      </w:r>
      <w:r w:rsidR="00845C8F" w:rsidRPr="00EC02CA">
        <w:t>provisions</w:t>
      </w:r>
      <w:r w:rsidR="00C67ABE" w:rsidRPr="00EC02CA">
        <w:t xml:space="preserve"> in the </w:t>
      </w:r>
      <w:r w:rsidR="00845C8F" w:rsidRPr="00EC02CA">
        <w:rPr>
          <w:i/>
          <w:iCs/>
        </w:rPr>
        <w:t>Children</w:t>
      </w:r>
      <w:r w:rsidR="00C67ABE" w:rsidRPr="00EC02CA">
        <w:rPr>
          <w:i/>
          <w:iCs/>
        </w:rPr>
        <w:t xml:space="preserve">, Young Persons and Their Families Act 1997 </w:t>
      </w:r>
      <w:r w:rsidR="00CA4A08" w:rsidRPr="00EC02CA">
        <w:t xml:space="preserve">(Tas) </w:t>
      </w:r>
      <w:r w:rsidR="00C67ABE" w:rsidRPr="00EC02CA">
        <w:t xml:space="preserve">and </w:t>
      </w:r>
      <w:r w:rsidR="00C67ABE" w:rsidRPr="00EC02CA">
        <w:rPr>
          <w:i/>
          <w:iCs/>
        </w:rPr>
        <w:t xml:space="preserve">the Youth </w:t>
      </w:r>
      <w:r w:rsidR="00845C8F" w:rsidRPr="00EC02CA">
        <w:rPr>
          <w:i/>
          <w:iCs/>
        </w:rPr>
        <w:t>Justice</w:t>
      </w:r>
      <w:r w:rsidR="00C67ABE" w:rsidRPr="00EC02CA">
        <w:rPr>
          <w:i/>
          <w:iCs/>
        </w:rPr>
        <w:t xml:space="preserve"> Act 1997 </w:t>
      </w:r>
      <w:r w:rsidR="00C67ABE" w:rsidRPr="00EC02CA">
        <w:t>(Tas)</w:t>
      </w:r>
      <w:r w:rsidR="00845C8F" w:rsidRPr="00EC02CA">
        <w:t xml:space="preserve">. </w:t>
      </w:r>
      <w:r w:rsidR="00845C8F" w:rsidRPr="00EC02CA">
        <w:rPr>
          <w:rStyle w:val="FootnoteReference"/>
        </w:rPr>
        <w:footnoteReference w:id="672"/>
      </w:r>
    </w:p>
    <w:p w14:paraId="116FEE3D" w14:textId="0144A189" w:rsidR="00A52833" w:rsidRPr="00EC02CA" w:rsidRDefault="001E4810" w:rsidP="002F0007">
      <w:pPr>
        <w:pStyle w:val="NormalNumberedTextTLRI"/>
      </w:pPr>
      <w:r w:rsidRPr="00EC02CA">
        <w:t xml:space="preserve">The </w:t>
      </w:r>
      <w:r w:rsidR="00CA4A08" w:rsidRPr="00EC02CA">
        <w:t xml:space="preserve">key </w:t>
      </w:r>
      <w:r w:rsidRPr="00EC02CA">
        <w:t>b</w:t>
      </w:r>
      <w:r w:rsidR="000E2897" w:rsidRPr="00EC02CA">
        <w:t>e</w:t>
      </w:r>
      <w:r w:rsidR="00771B4B" w:rsidRPr="00EC02CA">
        <w:t xml:space="preserve">nefit of </w:t>
      </w:r>
      <w:r w:rsidR="00CA4A08" w:rsidRPr="00EC02CA">
        <w:t xml:space="preserve">a </w:t>
      </w:r>
      <w:r w:rsidR="00771B4B" w:rsidRPr="00EC02CA">
        <w:t xml:space="preserve">TTO </w:t>
      </w:r>
      <w:r w:rsidR="00BD5371" w:rsidRPr="00EC02CA">
        <w:t>has been identified as</w:t>
      </w:r>
      <w:r w:rsidRPr="00EC02CA">
        <w:t xml:space="preserve"> </w:t>
      </w:r>
      <w:r w:rsidR="00BD5371" w:rsidRPr="00EC02CA">
        <w:t>creating</w:t>
      </w:r>
      <w:r w:rsidR="00771B4B" w:rsidRPr="00EC02CA">
        <w:t xml:space="preserve"> </w:t>
      </w:r>
      <w:r w:rsidR="00703551" w:rsidRPr="00EC02CA">
        <w:t>an</w:t>
      </w:r>
      <w:r w:rsidR="00EA2ED3" w:rsidRPr="00EC02CA">
        <w:t xml:space="preserve"> accessible pathway to </w:t>
      </w:r>
      <w:r w:rsidR="00771B4B" w:rsidRPr="00EC02CA">
        <w:t>early intervention</w:t>
      </w:r>
      <w:r w:rsidR="00EA2ED3" w:rsidRPr="00EC02CA">
        <w:t>.</w:t>
      </w:r>
      <w:r w:rsidR="00EA2ED3" w:rsidRPr="00EC02CA">
        <w:rPr>
          <w:rStyle w:val="FootnoteReference"/>
        </w:rPr>
        <w:footnoteReference w:id="673"/>
      </w:r>
      <w:r w:rsidR="00CD61F6" w:rsidRPr="00EC02CA">
        <w:t xml:space="preserve"> In </w:t>
      </w:r>
      <w:r w:rsidR="00E52363" w:rsidRPr="00EC02CA">
        <w:t>addition</w:t>
      </w:r>
      <w:r w:rsidR="00CD61F6" w:rsidRPr="00EC02CA">
        <w:t xml:space="preserve">, the order </w:t>
      </w:r>
      <w:r w:rsidR="00CA4A08" w:rsidRPr="00EC02CA">
        <w:t xml:space="preserve">provides </w:t>
      </w:r>
      <w:r w:rsidR="00CD61F6" w:rsidRPr="00EC02CA">
        <w:t xml:space="preserve">a timely response that </w:t>
      </w:r>
      <w:r w:rsidR="00E52363" w:rsidRPr="00EC02CA">
        <w:t xml:space="preserve">allows for a young person to receive </w:t>
      </w:r>
      <w:r w:rsidR="00CE4AAB" w:rsidRPr="00EC02CA">
        <w:t>community-based</w:t>
      </w:r>
      <w:r w:rsidR="00E52363" w:rsidRPr="00EC02CA">
        <w:t xml:space="preserve"> </w:t>
      </w:r>
      <w:r w:rsidR="00CE4AAB" w:rsidRPr="00EC02CA">
        <w:t>treatment.</w:t>
      </w:r>
      <w:r w:rsidR="00CE4AAB" w:rsidRPr="00EC02CA">
        <w:rPr>
          <w:rStyle w:val="FootnoteReference"/>
        </w:rPr>
        <w:footnoteReference w:id="674"/>
      </w:r>
      <w:r w:rsidR="00EA2ED3" w:rsidRPr="00EC02CA">
        <w:t xml:space="preserve"> </w:t>
      </w:r>
      <w:r w:rsidR="00CE4AAB" w:rsidRPr="00EC02CA">
        <w:t xml:space="preserve">A further benefit that has been identified </w:t>
      </w:r>
      <w:r w:rsidR="001D6B03" w:rsidRPr="00EC02CA">
        <w:t xml:space="preserve">in the </w:t>
      </w:r>
      <w:r w:rsidR="00845C8F" w:rsidRPr="00EC02CA">
        <w:t xml:space="preserve">Victoria </w:t>
      </w:r>
      <w:r w:rsidR="001D6B03" w:rsidRPr="00EC02CA">
        <w:t>context</w:t>
      </w:r>
      <w:r w:rsidR="00CE4AAB" w:rsidRPr="00EC02CA">
        <w:t xml:space="preserve"> is </w:t>
      </w:r>
      <w:r w:rsidR="001D6B03" w:rsidRPr="00EC02CA">
        <w:t xml:space="preserve">a </w:t>
      </w:r>
      <w:r w:rsidR="00AF5DCC" w:rsidRPr="00EC02CA">
        <w:t xml:space="preserve">secondary but important </w:t>
      </w:r>
      <w:r w:rsidR="001D6B03" w:rsidRPr="00EC02CA">
        <w:t xml:space="preserve">consequence </w:t>
      </w:r>
      <w:r w:rsidR="00CA4A08" w:rsidRPr="00EC02CA">
        <w:t xml:space="preserve">of </w:t>
      </w:r>
      <w:r w:rsidR="00AF5DCC" w:rsidRPr="00EC02CA">
        <w:t>the TTO framework</w:t>
      </w:r>
      <w:r w:rsidR="00CA4A08" w:rsidRPr="00EC02CA">
        <w:t>:</w:t>
      </w:r>
      <w:r w:rsidR="00AF5DCC" w:rsidRPr="00EC02CA">
        <w:t xml:space="preserve"> </w:t>
      </w:r>
      <w:r w:rsidR="001D6B03" w:rsidRPr="00EC02CA">
        <w:t xml:space="preserve">‘better </w:t>
      </w:r>
      <w:r w:rsidR="00AF5DCC" w:rsidRPr="00EC02CA">
        <w:t>collaboration</w:t>
      </w:r>
      <w:r w:rsidR="001D6B03" w:rsidRPr="00EC02CA">
        <w:t xml:space="preserve"> between statutory child </w:t>
      </w:r>
      <w:r w:rsidR="00AF5DCC" w:rsidRPr="00EC02CA">
        <w:t>protection</w:t>
      </w:r>
      <w:r w:rsidR="001D6B03" w:rsidRPr="00EC02CA">
        <w:t xml:space="preserve">, police, </w:t>
      </w:r>
      <w:r w:rsidR="00AF5DCC" w:rsidRPr="00EC02CA">
        <w:t>children’s</w:t>
      </w:r>
      <w:r w:rsidR="00E8115B" w:rsidRPr="00EC02CA">
        <w:t xml:space="preserve"> courts and the sexual abuse treatment </w:t>
      </w:r>
      <w:r w:rsidR="00AF5DCC" w:rsidRPr="00EC02CA">
        <w:t>services</w:t>
      </w:r>
      <w:r w:rsidR="00E8115B" w:rsidRPr="00EC02CA">
        <w:t xml:space="preserve">, as well as increased </w:t>
      </w:r>
      <w:r w:rsidR="00AF5DCC" w:rsidRPr="00EC02CA">
        <w:t>confidence</w:t>
      </w:r>
      <w:r w:rsidR="00E8115B" w:rsidRPr="00EC02CA">
        <w:t xml:space="preserve"> in the </w:t>
      </w:r>
      <w:r w:rsidR="00AF5DCC" w:rsidRPr="00EC02CA">
        <w:t>effectiveness</w:t>
      </w:r>
      <w:r w:rsidR="00E8115B" w:rsidRPr="00EC02CA">
        <w:t xml:space="preserve"> </w:t>
      </w:r>
      <w:r w:rsidR="00AF5DCC" w:rsidRPr="00EC02CA">
        <w:t>of</w:t>
      </w:r>
      <w:r w:rsidR="00E8115B" w:rsidRPr="00EC02CA">
        <w:t xml:space="preserve"> harmful sexual behaviour intervention’.</w:t>
      </w:r>
      <w:r w:rsidR="00E8115B" w:rsidRPr="00EC02CA">
        <w:rPr>
          <w:rStyle w:val="FootnoteReference"/>
        </w:rPr>
        <w:footnoteReference w:id="675"/>
      </w:r>
      <w:r w:rsidR="00AD0514" w:rsidRPr="00EC02CA">
        <w:t xml:space="preserve"> </w:t>
      </w:r>
      <w:r w:rsidR="00D53C58" w:rsidRPr="00EC02CA">
        <w:t>The V</w:t>
      </w:r>
      <w:r w:rsidR="002B2AB2" w:rsidRPr="00EC02CA">
        <w:t xml:space="preserve">ictorian </w:t>
      </w:r>
      <w:r w:rsidR="00D53C58" w:rsidRPr="00EC02CA">
        <w:t>L</w:t>
      </w:r>
      <w:r w:rsidR="002B2AB2" w:rsidRPr="00EC02CA">
        <w:t xml:space="preserve">aw </w:t>
      </w:r>
      <w:r w:rsidR="00D53C58" w:rsidRPr="00EC02CA">
        <w:t>R</w:t>
      </w:r>
      <w:r w:rsidR="002B2AB2" w:rsidRPr="00EC02CA">
        <w:t xml:space="preserve">eform </w:t>
      </w:r>
      <w:r w:rsidR="00D53C58" w:rsidRPr="00EC02CA">
        <w:t>C</w:t>
      </w:r>
      <w:r w:rsidR="002B2AB2" w:rsidRPr="00EC02CA">
        <w:t>ommission (VLRC)</w:t>
      </w:r>
      <w:r w:rsidR="00D53C58" w:rsidRPr="00EC02CA">
        <w:t xml:space="preserve"> also noted that </w:t>
      </w:r>
      <w:r w:rsidR="001B01B8" w:rsidRPr="00EC02CA">
        <w:t xml:space="preserve">the TTO ‘is </w:t>
      </w:r>
      <w:r w:rsidR="00D20461" w:rsidRPr="00EC02CA">
        <w:t>widely</w:t>
      </w:r>
      <w:r w:rsidR="001B01B8" w:rsidRPr="00EC02CA">
        <w:t xml:space="preserve"> regarded as a s</w:t>
      </w:r>
      <w:r w:rsidR="00D20461" w:rsidRPr="00EC02CA">
        <w:t>ucce</w:t>
      </w:r>
      <w:r w:rsidR="001B01B8" w:rsidRPr="00EC02CA">
        <w:t>ss’.</w:t>
      </w:r>
      <w:r w:rsidR="001B01B8" w:rsidRPr="00EC02CA">
        <w:rPr>
          <w:rStyle w:val="FootnoteReference"/>
        </w:rPr>
        <w:footnoteReference w:id="676"/>
      </w:r>
      <w:r w:rsidR="00CA4A08" w:rsidRPr="00EC02CA">
        <w:t xml:space="preserve"> </w:t>
      </w:r>
      <w:r w:rsidR="00AD0514" w:rsidRPr="00EC02CA">
        <w:t>However, a need for formal evaluation has been identified</w:t>
      </w:r>
      <w:r w:rsidR="00CA4A08" w:rsidRPr="00EC02CA">
        <w:t>,</w:t>
      </w:r>
      <w:r w:rsidR="00333D07" w:rsidRPr="00EC02CA">
        <w:t xml:space="preserve"> with concerns raised about the efficacy of mandatory treatment</w:t>
      </w:r>
      <w:r w:rsidR="00A329CA" w:rsidRPr="00EC02CA">
        <w:t>, potential net-</w:t>
      </w:r>
      <w:r w:rsidR="00E2173B" w:rsidRPr="00EC02CA">
        <w:t xml:space="preserve">widening </w:t>
      </w:r>
      <w:r w:rsidR="00CA4A08" w:rsidRPr="00EC02CA">
        <w:t xml:space="preserve">effects, </w:t>
      </w:r>
      <w:r w:rsidR="00E2173B" w:rsidRPr="00EC02CA">
        <w:t>and placing young people under ‘harsher surveillance’</w:t>
      </w:r>
      <w:r w:rsidR="00AD0514" w:rsidRPr="00EC02CA">
        <w:t>.</w:t>
      </w:r>
      <w:r w:rsidR="00AD0514" w:rsidRPr="00EC02CA">
        <w:rPr>
          <w:rStyle w:val="FootnoteReference"/>
        </w:rPr>
        <w:footnoteReference w:id="677"/>
      </w:r>
    </w:p>
    <w:p w14:paraId="60D0F333" w14:textId="2C53D547" w:rsidR="00650766" w:rsidRPr="00EC02CA" w:rsidRDefault="00ED09BD" w:rsidP="002F0007">
      <w:pPr>
        <w:pStyle w:val="NormalNumberedTextTLRI"/>
      </w:pPr>
      <w:r w:rsidRPr="00EC02CA">
        <w:t xml:space="preserve">As recognised </w:t>
      </w:r>
      <w:r w:rsidR="00CA4A08" w:rsidRPr="00EC02CA">
        <w:t>at [</w:t>
      </w:r>
      <w:r w:rsidR="003C2C40" w:rsidRPr="00EC02CA">
        <w:fldChar w:fldCharType="begin"/>
      </w:r>
      <w:r w:rsidR="003C2C40" w:rsidRPr="00EC02CA">
        <w:instrText xml:space="preserve"> REF _Ref218241127 \r \h  \* MERGEFORMAT </w:instrText>
      </w:r>
      <w:r w:rsidR="003C2C40" w:rsidRPr="00EC02CA">
        <w:fldChar w:fldCharType="separate"/>
      </w:r>
      <w:r w:rsidR="007D7830">
        <w:t>3.5</w:t>
      </w:r>
      <w:r w:rsidR="003C2C40" w:rsidRPr="00EC02CA">
        <w:fldChar w:fldCharType="end"/>
      </w:r>
      <w:r w:rsidR="00CA4A08" w:rsidRPr="00EC02CA">
        <w:t>]</w:t>
      </w:r>
      <w:r w:rsidRPr="00EC02CA">
        <w:t xml:space="preserve">, </w:t>
      </w:r>
      <w:r w:rsidR="003D5984" w:rsidRPr="00EC02CA">
        <w:t>therapeutic</w:t>
      </w:r>
      <w:r w:rsidRPr="00EC02CA">
        <w:t xml:space="preserve"> intervention</w:t>
      </w:r>
      <w:r w:rsidR="003D5984" w:rsidRPr="00EC02CA">
        <w:t xml:space="preserve">s can form part of </w:t>
      </w:r>
      <w:r w:rsidR="00230E94" w:rsidRPr="00EC02CA">
        <w:t xml:space="preserve">secondary and </w:t>
      </w:r>
      <w:r w:rsidR="003D5984" w:rsidRPr="00EC02CA">
        <w:t>tertiary response</w:t>
      </w:r>
      <w:r w:rsidR="00230E94" w:rsidRPr="00EC02CA">
        <w:t>s</w:t>
      </w:r>
      <w:r w:rsidR="003D5984" w:rsidRPr="00EC02CA">
        <w:t xml:space="preserve"> to harmful sexual behaviour </w:t>
      </w:r>
      <w:r w:rsidR="00B40D64" w:rsidRPr="00EC02CA">
        <w:t xml:space="preserve">– </w:t>
      </w:r>
      <w:r w:rsidR="00230E94" w:rsidRPr="00EC02CA">
        <w:t>either aligned with</w:t>
      </w:r>
      <w:r w:rsidR="00463073" w:rsidRPr="00EC02CA">
        <w:t>,</w:t>
      </w:r>
      <w:r w:rsidR="00230E94" w:rsidRPr="00EC02CA">
        <w:t xml:space="preserve"> or separate from</w:t>
      </w:r>
      <w:r w:rsidR="00463073" w:rsidRPr="00EC02CA">
        <w:t>,</w:t>
      </w:r>
      <w:r w:rsidR="00230E94" w:rsidRPr="00EC02CA">
        <w:t xml:space="preserve"> the criminal justice system. </w:t>
      </w:r>
      <w:r w:rsidR="00EA2B33" w:rsidRPr="00EC02CA">
        <w:t>However, as</w:t>
      </w:r>
      <w:r w:rsidR="00F868B3" w:rsidRPr="00EC02CA">
        <w:t xml:space="preserve"> noted, more research is required to </w:t>
      </w:r>
      <w:r w:rsidR="00EA2B33" w:rsidRPr="00EC02CA">
        <w:t xml:space="preserve">understand effective interventions for youth sexual offending and harmful sexual behaviour. In </w:t>
      </w:r>
      <w:r w:rsidR="00C649BB" w:rsidRPr="00EC02CA">
        <w:t>addition</w:t>
      </w:r>
      <w:r w:rsidR="00EA2B33" w:rsidRPr="00EC02CA">
        <w:t>, available research suggest</w:t>
      </w:r>
      <w:r w:rsidR="0039277B" w:rsidRPr="00EC02CA">
        <w:t>s</w:t>
      </w:r>
      <w:r w:rsidR="00EA2B33" w:rsidRPr="00EC02CA">
        <w:t xml:space="preserve"> that </w:t>
      </w:r>
      <w:r w:rsidR="00C649BB" w:rsidRPr="00EC02CA">
        <w:t>most young people d</w:t>
      </w:r>
      <w:r w:rsidR="00005893" w:rsidRPr="00EC02CA">
        <w:t xml:space="preserve">esist without </w:t>
      </w:r>
      <w:r w:rsidR="00A7546D" w:rsidRPr="00EC02CA">
        <w:t>any intervention.</w:t>
      </w:r>
      <w:r w:rsidR="00A7546D" w:rsidRPr="00EC02CA">
        <w:rPr>
          <w:rStyle w:val="FootnoteReference"/>
        </w:rPr>
        <w:footnoteReference w:id="678"/>
      </w:r>
      <w:r w:rsidR="00C649BB" w:rsidRPr="00EC02CA">
        <w:t xml:space="preserve"> </w:t>
      </w:r>
      <w:r w:rsidR="00244622" w:rsidRPr="00EC02CA">
        <w:t>The TLRI also observes the concerns that have previously existed about the ‘welfare’ model, that</w:t>
      </w:r>
      <w:r w:rsidR="00CA4A08" w:rsidRPr="00EC02CA">
        <w:t>,</w:t>
      </w:r>
      <w:r w:rsidR="00244622" w:rsidRPr="00EC02CA">
        <w:t xml:space="preserve"> </w:t>
      </w:r>
      <w:r w:rsidR="00C27F3D" w:rsidRPr="00EC02CA">
        <w:t>at times</w:t>
      </w:r>
      <w:r w:rsidR="00CA4A08" w:rsidRPr="00EC02CA">
        <w:t>,</w:t>
      </w:r>
      <w:r w:rsidR="00C27F3D" w:rsidRPr="00EC02CA">
        <w:t xml:space="preserve"> </w:t>
      </w:r>
      <w:r w:rsidR="00DB769F" w:rsidRPr="00EC02CA">
        <w:t>over-complicated</w:t>
      </w:r>
      <w:r w:rsidR="00C0155F" w:rsidRPr="00EC02CA">
        <w:t xml:space="preserve"> the nature of</w:t>
      </w:r>
      <w:r w:rsidR="00244622" w:rsidRPr="00EC02CA">
        <w:t xml:space="preserve"> offending by young people </w:t>
      </w:r>
      <w:r w:rsidR="00754020" w:rsidRPr="00EC02CA">
        <w:t>a</w:t>
      </w:r>
      <w:r w:rsidR="002E3DB2" w:rsidRPr="00EC02CA">
        <w:t>n</w:t>
      </w:r>
      <w:r w:rsidR="00625824" w:rsidRPr="00EC02CA">
        <w:t>d</w:t>
      </w:r>
      <w:r w:rsidR="00AC3332" w:rsidRPr="00EC02CA">
        <w:t xml:space="preserve"> imposed</w:t>
      </w:r>
      <w:r w:rsidR="00650766" w:rsidRPr="00EC02CA">
        <w:t xml:space="preserve"> </w:t>
      </w:r>
      <w:r w:rsidR="0007345F" w:rsidRPr="00EC02CA">
        <w:t>unnecessary</w:t>
      </w:r>
      <w:r w:rsidR="00884E9A" w:rsidRPr="00EC02CA">
        <w:t xml:space="preserve"> interventions that </w:t>
      </w:r>
      <w:r w:rsidR="00843B53" w:rsidRPr="00EC02CA">
        <w:t xml:space="preserve">were </w:t>
      </w:r>
      <w:r w:rsidR="00650766" w:rsidRPr="00EC02CA">
        <w:t xml:space="preserve">disproportionate </w:t>
      </w:r>
      <w:r w:rsidR="00843B53" w:rsidRPr="00EC02CA">
        <w:t xml:space="preserve">to the </w:t>
      </w:r>
      <w:r w:rsidR="00B67B77" w:rsidRPr="00EC02CA">
        <w:t>offend</w:t>
      </w:r>
      <w:r w:rsidR="0067542A" w:rsidRPr="00EC02CA">
        <w:t>ing behaviour itself</w:t>
      </w:r>
      <w:r w:rsidR="00CA4A08" w:rsidRPr="00EC02CA">
        <w:t>. This included</w:t>
      </w:r>
      <w:r w:rsidR="00920D36" w:rsidRPr="00EC02CA">
        <w:t xml:space="preserve"> more onerous </w:t>
      </w:r>
      <w:r w:rsidR="00CA4A08" w:rsidRPr="00EC02CA">
        <w:t xml:space="preserve">interventions </w:t>
      </w:r>
      <w:r w:rsidR="00920D36" w:rsidRPr="00EC02CA">
        <w:t>than</w:t>
      </w:r>
      <w:r w:rsidR="00AC7C70" w:rsidRPr="00EC02CA">
        <w:t xml:space="preserve"> adults might have received for the same conduct</w:t>
      </w:r>
      <w:r w:rsidR="00D63DC5" w:rsidRPr="00EC02CA">
        <w:t xml:space="preserve"> (see </w:t>
      </w:r>
      <w:r w:rsidR="008F6CB4" w:rsidRPr="00EC02CA">
        <w:t>[</w:t>
      </w:r>
      <w:r w:rsidR="003C2C40" w:rsidRPr="00EC02CA">
        <w:fldChar w:fldCharType="begin"/>
      </w:r>
      <w:r w:rsidR="003C2C40" w:rsidRPr="00EC02CA">
        <w:instrText xml:space="preserve"> REF _Ref218241143 \r \h </w:instrText>
      </w:r>
      <w:r w:rsidR="003C2C40" w:rsidRPr="00EC02CA">
        <w:fldChar w:fldCharType="separate"/>
      </w:r>
      <w:r w:rsidR="007D7830">
        <w:t>5.3</w:t>
      </w:r>
      <w:r w:rsidR="003C2C40" w:rsidRPr="00EC02CA">
        <w:fldChar w:fldCharType="end"/>
      </w:r>
      <w:r w:rsidR="008F6CB4" w:rsidRPr="00EC02CA">
        <w:t>])</w:t>
      </w:r>
      <w:r w:rsidR="00650766" w:rsidRPr="00EC02CA">
        <w:t>.</w:t>
      </w:r>
      <w:r w:rsidR="00244622" w:rsidRPr="00EC02CA">
        <w:t xml:space="preserve"> </w:t>
      </w:r>
      <w:r w:rsidR="008A2083" w:rsidRPr="00EC02CA">
        <w:t>Such a</w:t>
      </w:r>
      <w:r w:rsidR="00CA4A08" w:rsidRPr="00EC02CA">
        <w:t xml:space="preserve"> consequence</w:t>
      </w:r>
      <w:r w:rsidR="00F975A4" w:rsidRPr="00EC02CA">
        <w:t xml:space="preserve"> would be contrary to a </w:t>
      </w:r>
      <w:r w:rsidR="00CA4A08" w:rsidRPr="00EC02CA">
        <w:t xml:space="preserve">key </w:t>
      </w:r>
      <w:r w:rsidR="00F975A4" w:rsidRPr="00EC02CA">
        <w:t xml:space="preserve">principle of the </w:t>
      </w:r>
      <w:r w:rsidR="00F975A4" w:rsidRPr="00EC02CA">
        <w:rPr>
          <w:i/>
        </w:rPr>
        <w:t>Youth Justice Act 1997</w:t>
      </w:r>
      <w:r w:rsidR="009A2989" w:rsidRPr="00EC02CA">
        <w:rPr>
          <w:i/>
        </w:rPr>
        <w:t xml:space="preserve"> </w:t>
      </w:r>
      <w:r w:rsidR="009A2989" w:rsidRPr="00EC02CA">
        <w:rPr>
          <w:iCs/>
        </w:rPr>
        <w:t>(Tas)</w:t>
      </w:r>
      <w:r w:rsidR="00F975A4" w:rsidRPr="00EC02CA">
        <w:rPr>
          <w:iCs/>
        </w:rPr>
        <w:t>:</w:t>
      </w:r>
      <w:r w:rsidR="00F975A4" w:rsidRPr="00EC02CA">
        <w:t xml:space="preserve"> that a ‘youth is not to be treated more severely than an adult would be’</w:t>
      </w:r>
      <w:r w:rsidR="008A2083" w:rsidRPr="00EC02CA">
        <w:t xml:space="preserve"> (s 5(2)(b))</w:t>
      </w:r>
      <w:r w:rsidR="00F975A4" w:rsidRPr="00EC02CA">
        <w:t xml:space="preserve">. </w:t>
      </w:r>
      <w:r w:rsidR="00650766" w:rsidRPr="00EC02CA">
        <w:t>Accordingly, t</w:t>
      </w:r>
      <w:r w:rsidR="00EE50F2" w:rsidRPr="00EC02CA">
        <w:t xml:space="preserve">he TLRI’s view is that </w:t>
      </w:r>
      <w:r w:rsidR="00A84F9D" w:rsidRPr="00EC02CA">
        <w:t>careful consideration</w:t>
      </w:r>
      <w:r w:rsidR="00B83792" w:rsidRPr="00EC02CA">
        <w:t xml:space="preserve"> and </w:t>
      </w:r>
      <w:r w:rsidR="007F0F18" w:rsidRPr="00EC02CA">
        <w:t>evaluation</w:t>
      </w:r>
      <w:r w:rsidR="00B83792" w:rsidRPr="00EC02CA">
        <w:t xml:space="preserve"> of the </w:t>
      </w:r>
      <w:r w:rsidR="007F0F18" w:rsidRPr="00EC02CA">
        <w:t>efficacy</w:t>
      </w:r>
      <w:r w:rsidR="00B83792" w:rsidRPr="00EC02CA">
        <w:t xml:space="preserve"> of treatment</w:t>
      </w:r>
      <w:r w:rsidR="00CA4A08" w:rsidRPr="00EC02CA">
        <w:t>,</w:t>
      </w:r>
      <w:r w:rsidR="00B83792" w:rsidRPr="00EC02CA">
        <w:t xml:space="preserve"> and the </w:t>
      </w:r>
      <w:r w:rsidR="00650766" w:rsidRPr="00EC02CA">
        <w:t>implication</w:t>
      </w:r>
      <w:r w:rsidR="00CA4A08" w:rsidRPr="00EC02CA">
        <w:t>s</w:t>
      </w:r>
      <w:r w:rsidR="00B83792" w:rsidRPr="00EC02CA">
        <w:t xml:space="preserve"> of </w:t>
      </w:r>
      <w:r w:rsidR="004650C9" w:rsidRPr="00EC02CA">
        <w:t>mandatory treatment</w:t>
      </w:r>
      <w:r w:rsidR="00CA4A08" w:rsidRPr="00EC02CA">
        <w:t>,</w:t>
      </w:r>
      <w:r w:rsidR="004650C9" w:rsidRPr="00EC02CA">
        <w:t xml:space="preserve"> </w:t>
      </w:r>
      <w:r w:rsidR="00CA4A08" w:rsidRPr="00EC02CA">
        <w:t xml:space="preserve">are </w:t>
      </w:r>
      <w:r w:rsidR="001E14E0" w:rsidRPr="00EC02CA">
        <w:t>required</w:t>
      </w:r>
      <w:r w:rsidR="00EE50F2" w:rsidRPr="00EC02CA">
        <w:t xml:space="preserve"> to </w:t>
      </w:r>
      <w:r w:rsidR="00A84F9D" w:rsidRPr="00EC02CA">
        <w:t>prior to</w:t>
      </w:r>
      <w:r w:rsidR="001E14E0" w:rsidRPr="00EC02CA">
        <w:t xml:space="preserve"> </w:t>
      </w:r>
      <w:r w:rsidR="00EE50F2" w:rsidRPr="00EC02CA">
        <w:t xml:space="preserve">the </w:t>
      </w:r>
      <w:r w:rsidR="00915B39" w:rsidRPr="00EC02CA">
        <w:t xml:space="preserve">introduction of a power for a court to require a young person </w:t>
      </w:r>
      <w:r w:rsidR="00CA4A08" w:rsidRPr="00EC02CA">
        <w:t xml:space="preserve">who exhibits </w:t>
      </w:r>
      <w:r w:rsidR="00915B39" w:rsidRPr="00EC02CA">
        <w:t>harmful sexual behaviour to engage in a therapeutic intervention</w:t>
      </w:r>
      <w:r w:rsidR="00CA4A08" w:rsidRPr="00EC02CA">
        <w:t xml:space="preserve">, </w:t>
      </w:r>
      <w:r w:rsidR="001E14E0" w:rsidRPr="00EC02CA">
        <w:t>separate from a criminal process</w:t>
      </w:r>
      <w:r w:rsidR="00D43C39" w:rsidRPr="00EC02CA">
        <w:t xml:space="preserve">. </w:t>
      </w:r>
    </w:p>
    <w:p w14:paraId="14F19CE4" w14:textId="6E0A49D2" w:rsidR="00EC3A79" w:rsidRPr="00EC02CA" w:rsidRDefault="00EC3A79" w:rsidP="00A920EC">
      <w:pPr>
        <w:pStyle w:val="TLRISubheading"/>
      </w:pPr>
      <w:bookmarkStart w:id="335" w:name="_Toc218157328"/>
      <w:r w:rsidRPr="00EC02CA">
        <w:t>Recommendations</w:t>
      </w:r>
      <w:bookmarkEnd w:id="335"/>
    </w:p>
    <w:p w14:paraId="7A2E482F" w14:textId="5D38F2E8" w:rsidR="00F06761" w:rsidRPr="00EC02CA" w:rsidRDefault="006C7A14" w:rsidP="00A920EC">
      <w:r w:rsidRPr="00EC02CA">
        <w:rPr>
          <w:b/>
          <w:bCs/>
        </w:rPr>
        <w:t>Reco</w:t>
      </w:r>
      <w:r w:rsidR="0060564E" w:rsidRPr="00EC02CA">
        <w:rPr>
          <w:b/>
          <w:bCs/>
        </w:rPr>
        <w:t>m</w:t>
      </w:r>
      <w:r w:rsidRPr="00EC02CA">
        <w:rPr>
          <w:b/>
          <w:bCs/>
        </w:rPr>
        <w:t xml:space="preserve">mendation </w:t>
      </w:r>
      <w:r w:rsidR="00143A81" w:rsidRPr="00EC02CA">
        <w:rPr>
          <w:b/>
          <w:bCs/>
        </w:rPr>
        <w:t>5</w:t>
      </w:r>
      <w:r w:rsidRPr="00EC02CA">
        <w:t>:</w:t>
      </w:r>
      <w:r w:rsidR="002B6245" w:rsidRPr="00EC02CA">
        <w:t xml:space="preserve"> </w:t>
      </w:r>
      <w:r w:rsidR="00F06761" w:rsidRPr="00EC02CA">
        <w:t xml:space="preserve">Data should </w:t>
      </w:r>
      <w:r w:rsidR="00914E7B" w:rsidRPr="00EC02CA">
        <w:t xml:space="preserve">be </w:t>
      </w:r>
      <w:r w:rsidR="00DA6B00" w:rsidRPr="00EC02CA">
        <w:t xml:space="preserve">made </w:t>
      </w:r>
      <w:r w:rsidR="005F66D7" w:rsidRPr="00EC02CA">
        <w:t>publicly available</w:t>
      </w:r>
      <w:r w:rsidR="00F06761" w:rsidRPr="00EC02CA">
        <w:t xml:space="preserve"> in relation to the number of reports of sexual offending that are made to the police where the alleged offender is a young person. These data should also (where possible) record the response from the police, and if a matter is not proceeded with</w:t>
      </w:r>
      <w:r w:rsidR="00DC7AC6" w:rsidRPr="00EC02CA">
        <w:t>,</w:t>
      </w:r>
      <w:r w:rsidR="00F06761" w:rsidRPr="00EC02CA">
        <w:t xml:space="preserve"> the reason(s) why matters do not proceed.</w:t>
      </w:r>
    </w:p>
    <w:p w14:paraId="6333B828" w14:textId="63B463F9" w:rsidR="001A67D7" w:rsidRPr="00EC02CA" w:rsidRDefault="006C7A14" w:rsidP="00A920EC">
      <w:pPr>
        <w:rPr>
          <w:b/>
          <w:bCs/>
        </w:rPr>
        <w:sectPr w:rsidR="001A67D7" w:rsidRPr="00EC02CA" w:rsidSect="00147507">
          <w:headerReference w:type="even" r:id="rId36"/>
          <w:headerReference w:type="default" r:id="rId37"/>
          <w:pgSz w:w="11906" w:h="16838"/>
          <w:pgMar w:top="1440" w:right="1440" w:bottom="1440" w:left="1440" w:header="708" w:footer="708" w:gutter="0"/>
          <w:cols w:space="708"/>
          <w:docGrid w:linePitch="360"/>
        </w:sectPr>
      </w:pPr>
      <w:r w:rsidRPr="00EC02CA">
        <w:rPr>
          <w:b/>
          <w:bCs/>
        </w:rPr>
        <w:t xml:space="preserve">Recommendation </w:t>
      </w:r>
      <w:r w:rsidR="00143A81" w:rsidRPr="00EC02CA">
        <w:rPr>
          <w:b/>
          <w:bCs/>
        </w:rPr>
        <w:t>6</w:t>
      </w:r>
      <w:r w:rsidRPr="00EC02CA">
        <w:t>:</w:t>
      </w:r>
      <w:r w:rsidR="00A84F9D" w:rsidRPr="00EC02CA">
        <w:t xml:space="preserve"> </w:t>
      </w:r>
      <w:r w:rsidR="00ED09BD" w:rsidRPr="00EC02CA">
        <w:t>Further</w:t>
      </w:r>
      <w:r w:rsidR="00A84F9D" w:rsidRPr="00EC02CA">
        <w:t xml:space="preserve"> </w:t>
      </w:r>
      <w:r w:rsidR="001F7595" w:rsidRPr="00EC02CA">
        <w:t xml:space="preserve">evaluation of the efficacy of treatment and the implications of mandatory treatment </w:t>
      </w:r>
      <w:r w:rsidR="00A84F9D" w:rsidRPr="00EC02CA">
        <w:t xml:space="preserve">is required if the </w:t>
      </w:r>
      <w:r w:rsidR="00230B8C" w:rsidRPr="00EC02CA">
        <w:rPr>
          <w:i/>
        </w:rPr>
        <w:t>Children</w:t>
      </w:r>
      <w:r w:rsidR="002B6245" w:rsidRPr="00EC02CA">
        <w:rPr>
          <w:i/>
        </w:rPr>
        <w:t xml:space="preserve">, Young Persons and Their Families Act 1997 </w:t>
      </w:r>
      <w:r w:rsidR="00372F4B" w:rsidRPr="00EC02CA">
        <w:rPr>
          <w:iCs/>
        </w:rPr>
        <w:t xml:space="preserve">(Tas) </w:t>
      </w:r>
      <w:r w:rsidR="00D14A91" w:rsidRPr="00EC02CA">
        <w:t>is</w:t>
      </w:r>
      <w:r w:rsidR="002B6245" w:rsidRPr="00EC02CA">
        <w:t xml:space="preserve"> </w:t>
      </w:r>
      <w:r w:rsidR="00DC7AC6" w:rsidRPr="00EC02CA">
        <w:t xml:space="preserve">to be </w:t>
      </w:r>
      <w:r w:rsidR="002B6245" w:rsidRPr="00EC02CA">
        <w:t xml:space="preserve">amended to give the </w:t>
      </w:r>
      <w:r w:rsidR="00230B8C" w:rsidRPr="00EC02CA">
        <w:t>Magistrates Court power</w:t>
      </w:r>
      <w:r w:rsidR="00DC7AC6" w:rsidRPr="00EC02CA">
        <w:t>s</w:t>
      </w:r>
      <w:r w:rsidR="00230B8C" w:rsidRPr="00EC02CA">
        <w:t xml:space="preserve"> to order that a young person </w:t>
      </w:r>
      <w:r w:rsidR="00DC7AC6" w:rsidRPr="00EC02CA">
        <w:t xml:space="preserve">who engages in </w:t>
      </w:r>
      <w:r w:rsidR="00230B8C" w:rsidRPr="00EC02CA">
        <w:t xml:space="preserve">harmful sexual behaviour </w:t>
      </w:r>
      <w:r w:rsidR="00DC7AC6" w:rsidRPr="00EC02CA">
        <w:t xml:space="preserve">participate </w:t>
      </w:r>
      <w:r w:rsidR="00230B8C" w:rsidRPr="00EC02CA">
        <w:t>in a therapeutic intervention for harmful sexual behaviour</w:t>
      </w:r>
      <w:r w:rsidR="00D14A91" w:rsidRPr="00EC02CA">
        <w:t>, separate from the criminal justice system</w:t>
      </w:r>
      <w:r w:rsidR="00CB19E9" w:rsidRPr="00EC02CA">
        <w:t>.</w:t>
      </w:r>
    </w:p>
    <w:p w14:paraId="2182E780" w14:textId="643A7737" w:rsidR="008444FB" w:rsidRPr="00EC02CA" w:rsidRDefault="007737B6" w:rsidP="00A920EC">
      <w:pPr>
        <w:pStyle w:val="PartNoTLRI"/>
        <w:spacing w:after="640"/>
        <w:ind w:left="0" w:firstLine="0"/>
      </w:pPr>
      <w:bookmarkStart w:id="336" w:name="_Toc218154197"/>
      <w:bookmarkStart w:id="337" w:name="_Toc218154452"/>
      <w:bookmarkStart w:id="338" w:name="_Toc218154952"/>
      <w:bookmarkStart w:id="339" w:name="_Toc218156512"/>
      <w:bookmarkStart w:id="340" w:name="_Toc218157117"/>
      <w:bookmarkStart w:id="341" w:name="_Toc218157329"/>
      <w:bookmarkStart w:id="342" w:name="_Toc211849427"/>
      <w:bookmarkStart w:id="343" w:name="_Toc218154198"/>
      <w:bookmarkStart w:id="344" w:name="_Toc218154453"/>
      <w:bookmarkStart w:id="345" w:name="_Toc218154953"/>
      <w:bookmarkStart w:id="346" w:name="_Toc218156513"/>
      <w:bookmarkStart w:id="347" w:name="_Toc218157118"/>
      <w:bookmarkStart w:id="348" w:name="_Toc218157330"/>
      <w:bookmarkEnd w:id="336"/>
      <w:bookmarkEnd w:id="337"/>
      <w:bookmarkEnd w:id="338"/>
      <w:bookmarkEnd w:id="339"/>
      <w:bookmarkEnd w:id="340"/>
      <w:bookmarkEnd w:id="341"/>
      <w:bookmarkEnd w:id="342"/>
      <w:bookmarkEnd w:id="343"/>
      <w:bookmarkEnd w:id="344"/>
      <w:bookmarkEnd w:id="345"/>
      <w:bookmarkEnd w:id="346"/>
      <w:bookmarkEnd w:id="347"/>
      <w:bookmarkEnd w:id="348"/>
      <w:r w:rsidRPr="00EC02CA">
        <w:br/>
      </w:r>
      <w:r w:rsidRPr="00EC02CA">
        <w:br/>
      </w:r>
      <w:bookmarkStart w:id="349" w:name="_Toc218157331"/>
      <w:r w:rsidR="00372E90" w:rsidRPr="00EC02CA">
        <w:rPr>
          <w:sz w:val="56"/>
          <w:szCs w:val="32"/>
        </w:rPr>
        <w:t>Pre-plea d</w:t>
      </w:r>
      <w:r w:rsidR="00F512A3" w:rsidRPr="00EC02CA">
        <w:rPr>
          <w:sz w:val="56"/>
          <w:szCs w:val="32"/>
        </w:rPr>
        <w:t>iversion in the</w:t>
      </w:r>
      <w:r w:rsidR="008444FB" w:rsidRPr="00EC02CA">
        <w:rPr>
          <w:sz w:val="56"/>
          <w:szCs w:val="32"/>
        </w:rPr>
        <w:t xml:space="preserve"> Tasmanian youth justice system </w:t>
      </w:r>
      <w:r w:rsidR="005A2D08" w:rsidRPr="00EC02CA">
        <w:rPr>
          <w:sz w:val="56"/>
          <w:szCs w:val="32"/>
        </w:rPr>
        <w:t>and sexual offending</w:t>
      </w:r>
      <w:bookmarkEnd w:id="349"/>
    </w:p>
    <w:p w14:paraId="35F7DF42" w14:textId="77777777" w:rsidR="008444FB" w:rsidRPr="00EC02CA" w:rsidRDefault="008444FB" w:rsidP="005F72D3">
      <w:pPr>
        <w:pStyle w:val="NumberedHeadingTLRI"/>
      </w:pPr>
      <w:bookmarkStart w:id="350" w:name="_Toc211849428"/>
      <w:bookmarkStart w:id="351" w:name="_Toc218157332"/>
      <w:r w:rsidRPr="00EC02CA">
        <w:t>Introduction</w:t>
      </w:r>
      <w:bookmarkEnd w:id="350"/>
      <w:bookmarkEnd w:id="351"/>
    </w:p>
    <w:p w14:paraId="43BD14C4" w14:textId="42055F80" w:rsidR="00CB2AA2" w:rsidRPr="00EC02CA" w:rsidRDefault="00372E90" w:rsidP="002F0007">
      <w:pPr>
        <w:pStyle w:val="NormalNumberedTextTLRI"/>
      </w:pPr>
      <w:r w:rsidRPr="00EC02CA">
        <w:t>As discussed in Part 6</w:t>
      </w:r>
      <w:r w:rsidRPr="00EC02CA">
        <w:rPr>
          <w:color w:val="215E99" w:themeColor="text2" w:themeTint="BF"/>
        </w:rPr>
        <w:t xml:space="preserve">, </w:t>
      </w:r>
      <w:r w:rsidR="001725AA" w:rsidRPr="00EC02CA">
        <w:t xml:space="preserve">where young people </w:t>
      </w:r>
      <w:r w:rsidR="00952E41" w:rsidRPr="00EC02CA">
        <w:t>accused of offences are concerned</w:t>
      </w:r>
      <w:r w:rsidR="00647CB0" w:rsidRPr="00EC02CA">
        <w:t>,</w:t>
      </w:r>
      <w:r w:rsidR="00952E41" w:rsidRPr="00EC02CA">
        <w:t xml:space="preserve"> </w:t>
      </w:r>
      <w:r w:rsidRPr="00EC02CA">
        <w:t>polic</w:t>
      </w:r>
      <w:r w:rsidR="004814FA" w:rsidRPr="00EC02CA">
        <w:t xml:space="preserve">e (Tasmania Police and the AFP) </w:t>
      </w:r>
      <w:r w:rsidR="00952E41" w:rsidRPr="00EC02CA">
        <w:t>play</w:t>
      </w:r>
      <w:r w:rsidRPr="00EC02CA">
        <w:t xml:space="preserve"> a significant role as gatekeepers of the criminal justice system through </w:t>
      </w:r>
      <w:r w:rsidR="00A97643" w:rsidRPr="00EC02CA">
        <w:t xml:space="preserve">their </w:t>
      </w:r>
      <w:r w:rsidRPr="00EC02CA">
        <w:t>decisions about investigat</w:t>
      </w:r>
      <w:r w:rsidR="00A97643" w:rsidRPr="00EC02CA">
        <w:t>ing</w:t>
      </w:r>
      <w:r w:rsidR="003D5915" w:rsidRPr="00EC02CA">
        <w:t xml:space="preserve">, </w:t>
      </w:r>
      <w:r w:rsidRPr="00EC02CA">
        <w:t>charging</w:t>
      </w:r>
      <w:r w:rsidR="00A97643" w:rsidRPr="00EC02CA">
        <w:t>,</w:t>
      </w:r>
      <w:r w:rsidRPr="00EC02CA">
        <w:t xml:space="preserve"> and us</w:t>
      </w:r>
      <w:r w:rsidR="00A97643" w:rsidRPr="00EC02CA">
        <w:t>ing</w:t>
      </w:r>
      <w:r w:rsidRPr="00EC02CA">
        <w:t xml:space="preserve"> diversionary procedure such as cautions or conferences</w:t>
      </w:r>
      <w:r w:rsidR="00BD78C2" w:rsidRPr="00EC02CA">
        <w:t>.</w:t>
      </w:r>
      <w:r w:rsidRPr="00EC02CA">
        <w:t xml:space="preserve"> </w:t>
      </w:r>
      <w:r w:rsidR="00CB2AA2" w:rsidRPr="00EC02CA">
        <w:t>Part 5</w:t>
      </w:r>
      <w:r w:rsidR="00990E4C" w:rsidRPr="00EC02CA">
        <w:t xml:space="preserve"> set out</w:t>
      </w:r>
      <w:r w:rsidR="00CB2AA2" w:rsidRPr="00EC02CA">
        <w:t xml:space="preserve"> the statutory framework </w:t>
      </w:r>
      <w:r w:rsidR="00034911" w:rsidRPr="00EC02CA">
        <w:t xml:space="preserve">under the </w:t>
      </w:r>
      <w:r w:rsidR="00034911" w:rsidRPr="00EC02CA">
        <w:rPr>
          <w:i/>
        </w:rPr>
        <w:t xml:space="preserve">Youth Justice Act 1997 </w:t>
      </w:r>
      <w:r w:rsidR="00034911" w:rsidRPr="00EC02CA">
        <w:t>(Tas)</w:t>
      </w:r>
      <w:r w:rsidR="00990E4C" w:rsidRPr="00EC02CA">
        <w:t>,</w:t>
      </w:r>
      <w:r w:rsidR="00034911" w:rsidRPr="00EC02CA">
        <w:t xml:space="preserve"> </w:t>
      </w:r>
      <w:r w:rsidR="00F64CDE" w:rsidRPr="00EC02CA">
        <w:t>and the</w:t>
      </w:r>
      <w:r w:rsidR="009C3680" w:rsidRPr="00EC02CA">
        <w:t xml:space="preserve"> </w:t>
      </w:r>
      <w:r w:rsidR="008A6D07" w:rsidRPr="00EC02CA">
        <w:t xml:space="preserve">common law </w:t>
      </w:r>
      <w:r w:rsidR="009C3680" w:rsidRPr="00EC02CA">
        <w:t>powers of the AFP</w:t>
      </w:r>
      <w:r w:rsidR="00990E4C" w:rsidRPr="00EC02CA">
        <w:t>,</w:t>
      </w:r>
      <w:r w:rsidR="009C3680" w:rsidRPr="00EC02CA">
        <w:t xml:space="preserve"> to divert a young person by way of </w:t>
      </w:r>
      <w:r w:rsidR="00990E4C" w:rsidRPr="00EC02CA">
        <w:t xml:space="preserve">a </w:t>
      </w:r>
      <w:r w:rsidR="008A6D07" w:rsidRPr="00EC02CA">
        <w:t>caution.</w:t>
      </w:r>
    </w:p>
    <w:p w14:paraId="0265925D" w14:textId="632D8904" w:rsidR="00CB2AA2" w:rsidRPr="00EC02CA" w:rsidRDefault="00313A93" w:rsidP="002F0007">
      <w:pPr>
        <w:pStyle w:val="NormalNumberedTextTLRI"/>
      </w:pPr>
      <w:r w:rsidRPr="00EC02CA">
        <w:t xml:space="preserve">Part </w:t>
      </w:r>
      <w:r w:rsidR="00124618" w:rsidRPr="00EC02CA">
        <w:t>7</w:t>
      </w:r>
      <w:r w:rsidRPr="00EC02CA">
        <w:t xml:space="preserve"> </w:t>
      </w:r>
      <w:r w:rsidR="00E27C21" w:rsidRPr="00EC02CA">
        <w:t xml:space="preserve">now </w:t>
      </w:r>
      <w:r w:rsidR="004019C7" w:rsidRPr="00EC02CA">
        <w:t xml:space="preserve">considers the use of pre-court diversion </w:t>
      </w:r>
      <w:r w:rsidR="00CB2AA2" w:rsidRPr="00EC02CA">
        <w:t xml:space="preserve">by </w:t>
      </w:r>
      <w:r w:rsidR="004814FA" w:rsidRPr="00EC02CA">
        <w:t xml:space="preserve">Tasmania </w:t>
      </w:r>
      <w:r w:rsidR="0019224B" w:rsidRPr="00EC02CA">
        <w:t>P</w:t>
      </w:r>
      <w:r w:rsidR="00CB2AA2" w:rsidRPr="00EC02CA">
        <w:t xml:space="preserve">olice </w:t>
      </w:r>
      <w:r w:rsidR="004019C7" w:rsidRPr="00EC02CA">
        <w:t xml:space="preserve">under the </w:t>
      </w:r>
      <w:r w:rsidR="004019C7" w:rsidRPr="00EC02CA">
        <w:rPr>
          <w:i/>
        </w:rPr>
        <w:t xml:space="preserve">Youth Justice Act 1997 </w:t>
      </w:r>
      <w:r w:rsidR="004019C7" w:rsidRPr="00EC02CA">
        <w:t>(Tas)</w:t>
      </w:r>
      <w:r w:rsidR="00990E4C" w:rsidRPr="00EC02CA">
        <w:t>,</w:t>
      </w:r>
      <w:r w:rsidR="004019C7" w:rsidRPr="00EC02CA">
        <w:rPr>
          <w:i/>
        </w:rPr>
        <w:t xml:space="preserve"> </w:t>
      </w:r>
      <w:r w:rsidR="008A6D07" w:rsidRPr="00EC02CA">
        <w:t xml:space="preserve">and by the AFP </w:t>
      </w:r>
      <w:r w:rsidR="00990E4C" w:rsidRPr="00EC02CA">
        <w:t xml:space="preserve">under the common law, </w:t>
      </w:r>
      <w:r w:rsidR="004019C7" w:rsidRPr="00EC02CA">
        <w:t>for</w:t>
      </w:r>
      <w:r w:rsidR="00BA6506" w:rsidRPr="00EC02CA">
        <w:t xml:space="preserve"> sexual offending by young people</w:t>
      </w:r>
      <w:r w:rsidR="008A6D07" w:rsidRPr="00EC02CA">
        <w:t xml:space="preserve"> in Tasmania</w:t>
      </w:r>
      <w:r w:rsidR="00BA6506" w:rsidRPr="00EC02CA">
        <w:t xml:space="preserve">. </w:t>
      </w:r>
      <w:r w:rsidR="006A1BD6" w:rsidRPr="00EC02CA">
        <w:t xml:space="preserve">It </w:t>
      </w:r>
      <w:r w:rsidR="00F60BDD" w:rsidRPr="00EC02CA">
        <w:t xml:space="preserve">also </w:t>
      </w:r>
      <w:r w:rsidR="006A1BD6" w:rsidRPr="00EC02CA">
        <w:t xml:space="preserve">considers the use of diversion </w:t>
      </w:r>
      <w:r w:rsidR="00E27C21" w:rsidRPr="00EC02CA">
        <w:t xml:space="preserve">for youth sexual offending </w:t>
      </w:r>
      <w:r w:rsidR="006A1BD6" w:rsidRPr="00EC02CA">
        <w:t xml:space="preserve">in other Australian jurisdiction, and </w:t>
      </w:r>
      <w:r w:rsidR="00990E4C" w:rsidRPr="00EC02CA">
        <w:t xml:space="preserve">examines </w:t>
      </w:r>
      <w:r w:rsidR="00E27C21" w:rsidRPr="00EC02CA">
        <w:t xml:space="preserve">research </w:t>
      </w:r>
      <w:r w:rsidR="006A1BD6" w:rsidRPr="00EC02CA">
        <w:t xml:space="preserve">literature that has considered </w:t>
      </w:r>
      <w:r w:rsidR="00E27C21" w:rsidRPr="00EC02CA">
        <w:t xml:space="preserve">the appropriateness of </w:t>
      </w:r>
      <w:r w:rsidR="006A1BD6" w:rsidRPr="00EC02CA">
        <w:t>diversion for sexual offending.</w:t>
      </w:r>
      <w:r w:rsidR="00171AC9" w:rsidRPr="00EC02CA">
        <w:t xml:space="preserve"> </w:t>
      </w:r>
      <w:r w:rsidR="00990E4C" w:rsidRPr="00EC02CA">
        <w:t xml:space="preserve">The TLRI </w:t>
      </w:r>
      <w:r w:rsidR="00E27C21" w:rsidRPr="00EC02CA">
        <w:t>draws on this material, as well as the views expressed during</w:t>
      </w:r>
      <w:r w:rsidR="00124618" w:rsidRPr="00EC02CA">
        <w:t xml:space="preserve"> interviews</w:t>
      </w:r>
      <w:r w:rsidR="00F64CDE" w:rsidRPr="00EC02CA">
        <w:t>,</w:t>
      </w:r>
      <w:r w:rsidR="00124618" w:rsidRPr="00EC02CA">
        <w:t xml:space="preserve"> </w:t>
      </w:r>
      <w:r w:rsidR="00E27C21" w:rsidRPr="00EC02CA">
        <w:t>to make</w:t>
      </w:r>
      <w:r w:rsidR="00124618" w:rsidRPr="00EC02CA">
        <w:t xml:space="preserve"> recommendations for reforms</w:t>
      </w:r>
      <w:r w:rsidR="00611F01" w:rsidRPr="00EC02CA">
        <w:t xml:space="preserve"> to </w:t>
      </w:r>
      <w:r w:rsidR="00F549D0" w:rsidRPr="00EC02CA">
        <w:t>the approach to pre-plea diversion in Tasmania</w:t>
      </w:r>
      <w:r w:rsidR="00124618" w:rsidRPr="00EC02CA">
        <w:t>.</w:t>
      </w:r>
      <w:r w:rsidR="004019C7" w:rsidRPr="00EC02CA">
        <w:t xml:space="preserve"> </w:t>
      </w:r>
    </w:p>
    <w:p w14:paraId="537FB351" w14:textId="7E972435" w:rsidR="00F512A3" w:rsidRPr="00EC02CA" w:rsidRDefault="00F512A3" w:rsidP="00F35395">
      <w:pPr>
        <w:pStyle w:val="NumberedHeadingTLRI"/>
      </w:pPr>
      <w:bookmarkStart w:id="352" w:name="_Toc211849429"/>
      <w:bookmarkStart w:id="353" w:name="_Toc218157333"/>
      <w:bookmarkStart w:id="354" w:name="_Ref218241076"/>
      <w:bookmarkStart w:id="355" w:name="_Ref218241373"/>
      <w:r w:rsidRPr="00EC02CA">
        <w:t xml:space="preserve">Use of diversion </w:t>
      </w:r>
      <w:r w:rsidR="00FD13FB" w:rsidRPr="00EC02CA">
        <w:t>in Tasmania</w:t>
      </w:r>
      <w:bookmarkEnd w:id="352"/>
      <w:bookmarkEnd w:id="353"/>
      <w:bookmarkEnd w:id="354"/>
      <w:bookmarkEnd w:id="355"/>
    </w:p>
    <w:p w14:paraId="1A418703" w14:textId="28F6C09E" w:rsidR="009B1F53" w:rsidRPr="00EC02CA" w:rsidRDefault="009B1F53" w:rsidP="00A920EC">
      <w:pPr>
        <w:pStyle w:val="TLRISubheading"/>
      </w:pPr>
      <w:bookmarkStart w:id="356" w:name="_Toc211849430"/>
      <w:bookmarkStart w:id="357" w:name="_Toc218157334"/>
      <w:r w:rsidRPr="00EC02CA">
        <w:t>Official data sources</w:t>
      </w:r>
      <w:bookmarkEnd w:id="356"/>
      <w:bookmarkEnd w:id="357"/>
    </w:p>
    <w:p w14:paraId="24CCE5A6" w14:textId="1E2740D9" w:rsidR="005A260D" w:rsidRPr="00EC02CA" w:rsidRDefault="005A260D" w:rsidP="00ED2E47">
      <w:pPr>
        <w:pStyle w:val="Sub-HeadingTLRI"/>
      </w:pPr>
      <w:bookmarkStart w:id="358" w:name="_Toc211849431"/>
      <w:bookmarkStart w:id="359" w:name="_Toc218157335"/>
      <w:r w:rsidRPr="00EC02CA">
        <w:t>Use of diversionary procedures</w:t>
      </w:r>
      <w:r w:rsidR="00B26E66" w:rsidRPr="00EC02CA">
        <w:t>: Tasmania Police</w:t>
      </w:r>
      <w:bookmarkEnd w:id="358"/>
      <w:bookmarkEnd w:id="359"/>
    </w:p>
    <w:p w14:paraId="63481B3C" w14:textId="5F0D4BDD" w:rsidR="00F512A3" w:rsidRPr="00EC02CA" w:rsidRDefault="00F512A3" w:rsidP="002F0007">
      <w:pPr>
        <w:pStyle w:val="NormalNumberedTextTLRI"/>
      </w:pPr>
      <w:r w:rsidRPr="00EC02CA">
        <w:t xml:space="preserve">Data provided to the TLRI by Tasmania Police </w:t>
      </w:r>
      <w:r w:rsidR="007809AD" w:rsidRPr="00EC02CA">
        <w:t>contains information about the</w:t>
      </w:r>
      <w:r w:rsidRPr="00EC02CA">
        <w:t xml:space="preserve"> </w:t>
      </w:r>
      <w:r w:rsidR="00BB2783" w:rsidRPr="00EC02CA">
        <w:t xml:space="preserve">use of </w:t>
      </w:r>
      <w:r w:rsidRPr="00EC02CA">
        <w:t>diversionary procedures. From 2013</w:t>
      </w:r>
      <w:r w:rsidR="00BB2783" w:rsidRPr="00EC02CA">
        <w:t>–</w:t>
      </w:r>
      <w:r w:rsidRPr="00EC02CA">
        <w:t>14 to 2023</w:t>
      </w:r>
      <w:r w:rsidR="00BB2783" w:rsidRPr="00EC02CA">
        <w:t>–</w:t>
      </w:r>
      <w:r w:rsidRPr="00EC02CA">
        <w:t xml:space="preserve">24 there were a total of 27,551 actions against young people charged with criminal offences. This resulted in 15,208 </w:t>
      </w:r>
      <w:r w:rsidR="002630D8" w:rsidRPr="00EC02CA">
        <w:t xml:space="preserve">(55.1%) </w:t>
      </w:r>
      <w:r w:rsidRPr="00EC02CA">
        <w:t xml:space="preserve">referrals to court and 12,343 </w:t>
      </w:r>
      <w:r w:rsidR="003C6CC1" w:rsidRPr="00EC02CA">
        <w:t>(44.8%</w:t>
      </w:r>
      <w:r w:rsidR="002630D8" w:rsidRPr="00EC02CA">
        <w:t xml:space="preserve">) </w:t>
      </w:r>
      <w:r w:rsidRPr="00EC02CA">
        <w:t>referrals to diversionary procedures</w:t>
      </w:r>
      <w:r w:rsidR="0071089F" w:rsidRPr="00EC02CA">
        <w:t xml:space="preserve"> (see </w:t>
      </w:r>
      <w:r w:rsidRPr="00EC02CA">
        <w:t xml:space="preserve">Figure </w:t>
      </w:r>
      <w:r w:rsidR="009A2989" w:rsidRPr="00EC02CA">
        <w:t>7</w:t>
      </w:r>
      <w:r w:rsidRPr="00EC02CA">
        <w:t>.</w:t>
      </w:r>
      <w:r w:rsidR="009A2989" w:rsidRPr="00EC02CA">
        <w:t>1</w:t>
      </w:r>
      <w:r w:rsidR="0071089F" w:rsidRPr="00EC02CA">
        <w:t>)</w:t>
      </w:r>
      <w:r w:rsidRPr="00EC02CA">
        <w:t>.</w:t>
      </w:r>
    </w:p>
    <w:p w14:paraId="6049C73A" w14:textId="28904C49" w:rsidR="00F512A3" w:rsidRPr="00EC02CA" w:rsidRDefault="00F512A3" w:rsidP="00A920EC">
      <w:pPr>
        <w:keepNext/>
        <w:keepLines/>
        <w:rPr>
          <w:highlight w:val="yellow"/>
        </w:rPr>
      </w:pPr>
      <w:r w:rsidRPr="00EC02CA">
        <w:rPr>
          <w:b/>
          <w:bCs/>
        </w:rPr>
        <w:t xml:space="preserve">Figure </w:t>
      </w:r>
      <w:r w:rsidR="009A2989" w:rsidRPr="00EC02CA">
        <w:rPr>
          <w:b/>
          <w:bCs/>
        </w:rPr>
        <w:t>7</w:t>
      </w:r>
      <w:r w:rsidRPr="00EC02CA">
        <w:rPr>
          <w:b/>
          <w:bCs/>
        </w:rPr>
        <w:t>.</w:t>
      </w:r>
      <w:r w:rsidR="009A2989" w:rsidRPr="00EC02CA">
        <w:rPr>
          <w:b/>
          <w:bCs/>
        </w:rPr>
        <w:t>1</w:t>
      </w:r>
      <w:r w:rsidRPr="00EC02CA">
        <w:t xml:space="preserve"> Distribution of </w:t>
      </w:r>
      <w:r w:rsidR="00973C0E" w:rsidRPr="00EC02CA">
        <w:t>y</w:t>
      </w:r>
      <w:r w:rsidRPr="00EC02CA">
        <w:t xml:space="preserve">outh </w:t>
      </w:r>
      <w:r w:rsidR="00973C0E" w:rsidRPr="00EC02CA">
        <w:t>j</w:t>
      </w:r>
      <w:r w:rsidRPr="00EC02CA">
        <w:t xml:space="preserve">ustice </w:t>
      </w:r>
      <w:r w:rsidR="00973C0E" w:rsidRPr="00EC02CA">
        <w:t>r</w:t>
      </w:r>
      <w:r w:rsidRPr="00EC02CA">
        <w:t xml:space="preserve">eferrals, </w:t>
      </w:r>
      <w:r w:rsidR="00973C0E" w:rsidRPr="00EC02CA">
        <w:t>c</w:t>
      </w:r>
      <w:r w:rsidRPr="00EC02CA">
        <w:t xml:space="preserve">ourt or </w:t>
      </w:r>
      <w:r w:rsidR="00973C0E" w:rsidRPr="00EC02CA">
        <w:t>d</w:t>
      </w:r>
      <w:r w:rsidRPr="00EC02CA">
        <w:t xml:space="preserve">iversion, </w:t>
      </w:r>
      <w:r w:rsidR="00973C0E" w:rsidRPr="00EC02CA">
        <w:t>a</w:t>
      </w:r>
      <w:r w:rsidRPr="00EC02CA">
        <w:t xml:space="preserve">ll </w:t>
      </w:r>
      <w:r w:rsidR="00973C0E" w:rsidRPr="00EC02CA">
        <w:t>o</w:t>
      </w:r>
      <w:r w:rsidRPr="00EC02CA">
        <w:t>ffences, 2013</w:t>
      </w:r>
      <w:r w:rsidR="00973C0E" w:rsidRPr="00EC02CA">
        <w:t>–</w:t>
      </w:r>
      <w:r w:rsidRPr="00EC02CA">
        <w:t>14</w:t>
      </w:r>
      <w:r w:rsidR="009F72C6" w:rsidRPr="00EC02CA">
        <w:t xml:space="preserve"> to </w:t>
      </w:r>
      <w:r w:rsidRPr="00EC02CA">
        <w:t>2023</w:t>
      </w:r>
      <w:r w:rsidR="00973C0E" w:rsidRPr="00EC02CA">
        <w:t>–</w:t>
      </w:r>
      <w:r w:rsidRPr="00EC02CA">
        <w:t>24</w:t>
      </w:r>
    </w:p>
    <w:p w14:paraId="096CF4A2" w14:textId="77777777" w:rsidR="00F512A3" w:rsidRPr="00EC02CA" w:rsidRDefault="00F512A3" w:rsidP="00A920EC">
      <w:pPr>
        <w:keepNext/>
        <w:keepLines/>
        <w:rPr>
          <w:highlight w:val="yellow"/>
        </w:rPr>
      </w:pPr>
      <w:r w:rsidRPr="00EC02CA">
        <w:rPr>
          <w:noProof/>
        </w:rPr>
        <w:drawing>
          <wp:inline distT="0" distB="0" distL="0" distR="0" wp14:anchorId="77C1A1F6" wp14:editId="796F5904">
            <wp:extent cx="5486400" cy="2879725"/>
            <wp:effectExtent l="0" t="0" r="0" b="15875"/>
            <wp:docPr id="16677767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F1A84B" w14:textId="1694B7BC" w:rsidR="00F512A3" w:rsidRPr="00EC02CA" w:rsidRDefault="00F512A3" w:rsidP="00A920EC">
      <w:pPr>
        <w:keepNext/>
        <w:keepLines/>
        <w:rPr>
          <w:i/>
          <w:iCs/>
        </w:rPr>
      </w:pPr>
      <w:r w:rsidRPr="00EC02CA">
        <w:rPr>
          <w:i/>
          <w:iCs/>
        </w:rPr>
        <w:t>Source: Unpublished data</w:t>
      </w:r>
      <w:r w:rsidR="00973C0E" w:rsidRPr="00EC02CA">
        <w:rPr>
          <w:i/>
          <w:iCs/>
        </w:rPr>
        <w:t>,</w:t>
      </w:r>
      <w:r w:rsidRPr="00EC02CA">
        <w:rPr>
          <w:i/>
          <w:iCs/>
        </w:rPr>
        <w:t xml:space="preserve"> Tasmania Police</w:t>
      </w:r>
    </w:p>
    <w:p w14:paraId="58D21CFC" w14:textId="14EA918D" w:rsidR="00F512A3" w:rsidRPr="00EC02CA" w:rsidRDefault="00F512A3" w:rsidP="00A920EC">
      <w:pPr>
        <w:pStyle w:val="NormalNumberedTextTLRI"/>
      </w:pPr>
      <w:r w:rsidRPr="00EC02CA">
        <w:t xml:space="preserve">As shown in Figure </w:t>
      </w:r>
      <w:r w:rsidR="00D128D2" w:rsidRPr="00EC02CA">
        <w:t>7</w:t>
      </w:r>
      <w:r w:rsidRPr="00EC02CA">
        <w:t>.</w:t>
      </w:r>
      <w:r w:rsidR="00D128D2" w:rsidRPr="00EC02CA">
        <w:t>2</w:t>
      </w:r>
      <w:r w:rsidRPr="00EC02CA">
        <w:t>, diversionary procedure referrals included formal and informal cautions</w:t>
      </w:r>
      <w:r w:rsidR="005A21A7" w:rsidRPr="00EC02CA">
        <w:t>,</w:t>
      </w:r>
      <w:r w:rsidRPr="00EC02CA">
        <w:t xml:space="preserve"> and community conferences, with informal cautions representing the largest proportion of referrals in each year.</w:t>
      </w:r>
    </w:p>
    <w:p w14:paraId="0FAEE44A" w14:textId="1F5CE000" w:rsidR="00F512A3" w:rsidRPr="00EC02CA" w:rsidRDefault="00F512A3" w:rsidP="00A920EC">
      <w:r w:rsidRPr="00EC02CA">
        <w:rPr>
          <w:b/>
          <w:bCs/>
        </w:rPr>
        <w:t xml:space="preserve">Figure </w:t>
      </w:r>
      <w:r w:rsidR="00D128D2" w:rsidRPr="00EC02CA">
        <w:rPr>
          <w:b/>
          <w:bCs/>
        </w:rPr>
        <w:t>7</w:t>
      </w:r>
      <w:r w:rsidRPr="00EC02CA">
        <w:rPr>
          <w:b/>
          <w:bCs/>
        </w:rPr>
        <w:t>.</w:t>
      </w:r>
      <w:r w:rsidR="00D128D2" w:rsidRPr="00EC02CA">
        <w:rPr>
          <w:b/>
          <w:bCs/>
        </w:rPr>
        <w:t>2</w:t>
      </w:r>
      <w:r w:rsidRPr="00EC02CA">
        <w:t xml:space="preserve"> Distribution of </w:t>
      </w:r>
      <w:r w:rsidR="00AC0F38" w:rsidRPr="00EC02CA">
        <w:t>d</w:t>
      </w:r>
      <w:r w:rsidRPr="00EC02CA">
        <w:t xml:space="preserve">iversionary </w:t>
      </w:r>
      <w:r w:rsidR="00AC0F38" w:rsidRPr="00EC02CA">
        <w:t>p</w:t>
      </w:r>
      <w:r w:rsidRPr="00EC02CA">
        <w:t xml:space="preserve">rocedure </w:t>
      </w:r>
      <w:r w:rsidR="00AC0F38" w:rsidRPr="00EC02CA">
        <w:t>r</w:t>
      </w:r>
      <w:r w:rsidRPr="00EC02CA">
        <w:t xml:space="preserve">eferrals, </w:t>
      </w:r>
      <w:r w:rsidR="00AC0F38" w:rsidRPr="00EC02CA">
        <w:t>a</w:t>
      </w:r>
      <w:r w:rsidRPr="00EC02CA">
        <w:t xml:space="preserve">ll </w:t>
      </w:r>
      <w:r w:rsidR="00AC0F38" w:rsidRPr="00EC02CA">
        <w:t>o</w:t>
      </w:r>
      <w:r w:rsidRPr="00EC02CA">
        <w:t>ffences, 2013</w:t>
      </w:r>
      <w:r w:rsidR="00AC0F38" w:rsidRPr="00EC02CA">
        <w:t>–</w:t>
      </w:r>
      <w:r w:rsidRPr="00EC02CA">
        <w:t>1</w:t>
      </w:r>
      <w:r w:rsidR="00C92495" w:rsidRPr="00EC02CA">
        <w:t xml:space="preserve">4 to </w:t>
      </w:r>
      <w:r w:rsidRPr="00EC02CA">
        <w:t>2023</w:t>
      </w:r>
      <w:r w:rsidR="00AC0F38" w:rsidRPr="00EC02CA">
        <w:t>–</w:t>
      </w:r>
      <w:r w:rsidRPr="00EC02CA">
        <w:t>24</w:t>
      </w:r>
    </w:p>
    <w:p w14:paraId="43789E35" w14:textId="77777777" w:rsidR="00F512A3" w:rsidRPr="00EC02CA" w:rsidRDefault="00F512A3" w:rsidP="00A920EC">
      <w:pPr>
        <w:rPr>
          <w:rFonts w:eastAsia="Times" w:cs="Times New Roman"/>
          <w:szCs w:val="20"/>
        </w:rPr>
      </w:pPr>
      <w:r w:rsidRPr="00EC02CA">
        <w:rPr>
          <w:noProof/>
        </w:rPr>
        <w:drawing>
          <wp:inline distT="0" distB="0" distL="0" distR="0" wp14:anchorId="7A6BA1F5" wp14:editId="38E6681A">
            <wp:extent cx="5486400" cy="2879725"/>
            <wp:effectExtent l="0" t="0" r="0" b="15875"/>
            <wp:docPr id="912303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55A415B" w14:textId="77777777" w:rsidR="00F512A3" w:rsidRPr="00EC02CA" w:rsidRDefault="00F512A3" w:rsidP="00A920EC">
      <w:pPr>
        <w:rPr>
          <w:rFonts w:eastAsia="Times" w:cs="Times New Roman"/>
          <w:i/>
          <w:iCs/>
          <w:szCs w:val="20"/>
        </w:rPr>
      </w:pPr>
      <w:r w:rsidRPr="00EC02CA">
        <w:rPr>
          <w:rFonts w:eastAsia="Times" w:cs="Times New Roman"/>
          <w:i/>
          <w:iCs/>
          <w:szCs w:val="20"/>
        </w:rPr>
        <w:t>Source: Unpublished data, Tasmania Police</w:t>
      </w:r>
    </w:p>
    <w:p w14:paraId="7289FB53" w14:textId="490A1CEB" w:rsidR="00F512A3" w:rsidRPr="00EC02CA" w:rsidRDefault="00F512A3" w:rsidP="002F0007">
      <w:pPr>
        <w:pStyle w:val="NormalNumberedTextTLRI"/>
      </w:pPr>
      <w:r w:rsidRPr="00EC02CA">
        <w:t xml:space="preserve">In relation to sexual offending by youths, of the 27,551 actions against young people, there were 169 young people charged with sexual offences. This resulted in 108 young people referred to court </w:t>
      </w:r>
      <w:r w:rsidR="000A2EE6" w:rsidRPr="00EC02CA">
        <w:t xml:space="preserve">(63.9%) </w:t>
      </w:r>
      <w:r w:rsidRPr="00EC02CA">
        <w:t>and 61 referred to diversionary procedures</w:t>
      </w:r>
      <w:r w:rsidR="00B264D1" w:rsidRPr="00EC02CA">
        <w:t xml:space="preserve"> (36.1%)</w:t>
      </w:r>
      <w:r w:rsidRPr="00EC02CA">
        <w:t>.</w:t>
      </w:r>
    </w:p>
    <w:p w14:paraId="392E0670" w14:textId="73F7E4A6" w:rsidR="00D2319A" w:rsidRPr="00EC02CA" w:rsidRDefault="00D2319A" w:rsidP="002F0007">
      <w:pPr>
        <w:pStyle w:val="NormalNumberedTextTLRI"/>
        <w:rPr>
          <w:szCs w:val="22"/>
        </w:rPr>
      </w:pPr>
      <w:r w:rsidRPr="00EC02CA">
        <w:t xml:space="preserve">As shown in Figure </w:t>
      </w:r>
      <w:r w:rsidR="00621CC8" w:rsidRPr="00EC02CA">
        <w:t>7</w:t>
      </w:r>
      <w:r w:rsidR="00EC7253" w:rsidRPr="00EC02CA">
        <w:t>.</w:t>
      </w:r>
      <w:r w:rsidR="00621CC8" w:rsidRPr="00EC02CA">
        <w:t>3</w:t>
      </w:r>
      <w:r w:rsidRPr="00EC02CA">
        <w:t xml:space="preserve">, </w:t>
      </w:r>
      <w:r w:rsidR="00866130" w:rsidRPr="00EC02CA">
        <w:t>referra</w:t>
      </w:r>
      <w:r w:rsidR="00F40E56" w:rsidRPr="00EC02CA">
        <w:t xml:space="preserve">ls to </w:t>
      </w:r>
      <w:r w:rsidRPr="00EC02CA">
        <w:t xml:space="preserve">diversionary procedures </w:t>
      </w:r>
      <w:r w:rsidR="00F40E56" w:rsidRPr="00EC02CA">
        <w:t xml:space="preserve">for </w:t>
      </w:r>
      <w:r w:rsidR="001F57BF" w:rsidRPr="00EC02CA">
        <w:t>sexual offences</w:t>
      </w:r>
      <w:r w:rsidR="00F40E56" w:rsidRPr="00EC02CA">
        <w:t xml:space="preserve"> are generally</w:t>
      </w:r>
      <w:r w:rsidRPr="00EC02CA">
        <w:t xml:space="preserve"> less common </w:t>
      </w:r>
      <w:r w:rsidR="00F40E56" w:rsidRPr="00EC02CA">
        <w:t>than referrals to court</w:t>
      </w:r>
      <w:r w:rsidRPr="00EC02CA">
        <w:t xml:space="preserve">. A comparison between Figure </w:t>
      </w:r>
      <w:r w:rsidR="00621CC8" w:rsidRPr="00EC02CA">
        <w:t>7</w:t>
      </w:r>
      <w:r w:rsidRPr="00EC02CA">
        <w:t>.</w:t>
      </w:r>
      <w:r w:rsidR="00621CC8" w:rsidRPr="00EC02CA">
        <w:t>1</w:t>
      </w:r>
      <w:r w:rsidRPr="00EC02CA">
        <w:t xml:space="preserve"> (above) and Figure </w:t>
      </w:r>
      <w:r w:rsidR="00621CC8" w:rsidRPr="00EC02CA">
        <w:t>7</w:t>
      </w:r>
      <w:r w:rsidRPr="00EC02CA">
        <w:t>.</w:t>
      </w:r>
      <w:r w:rsidR="00621CC8" w:rsidRPr="00EC02CA">
        <w:t>3</w:t>
      </w:r>
      <w:r w:rsidRPr="00EC02CA">
        <w:t xml:space="preserve"> indicates that young people </w:t>
      </w:r>
      <w:r w:rsidR="0086062D" w:rsidRPr="00EC02CA">
        <w:t xml:space="preserve">alleged to have </w:t>
      </w:r>
      <w:r w:rsidRPr="00EC02CA">
        <w:t>commit</w:t>
      </w:r>
      <w:r w:rsidR="0086062D" w:rsidRPr="00EC02CA">
        <w:t xml:space="preserve">ted </w:t>
      </w:r>
      <w:r w:rsidRPr="00EC02CA">
        <w:t xml:space="preserve">sexual offences </w:t>
      </w:r>
      <w:r w:rsidR="00FA5886" w:rsidRPr="00EC02CA">
        <w:t>are</w:t>
      </w:r>
      <w:r w:rsidRPr="00EC02CA">
        <w:t xml:space="preserve"> less likely to </w:t>
      </w:r>
      <w:r w:rsidR="00FA5886" w:rsidRPr="00EC02CA">
        <w:t>be referred</w:t>
      </w:r>
      <w:r w:rsidRPr="00EC02CA">
        <w:t xml:space="preserve"> to a diversionary procedure than young people </w:t>
      </w:r>
      <w:r w:rsidR="00973160" w:rsidRPr="00EC02CA">
        <w:t xml:space="preserve">alleged to have </w:t>
      </w:r>
      <w:r w:rsidRPr="00EC02CA">
        <w:t>commit</w:t>
      </w:r>
      <w:r w:rsidR="00973160" w:rsidRPr="00EC02CA">
        <w:t>ted</w:t>
      </w:r>
      <w:r w:rsidRPr="00EC02CA">
        <w:t xml:space="preserve"> non-sexual offences</w:t>
      </w:r>
      <w:r w:rsidR="00FA5886" w:rsidRPr="00EC02CA">
        <w:t>.</w:t>
      </w:r>
      <w:r w:rsidRPr="00EC02CA">
        <w:rPr>
          <w:rStyle w:val="FootnoteReference"/>
        </w:rPr>
        <w:footnoteReference w:id="679"/>
      </w:r>
      <w:r w:rsidRPr="00EC02CA">
        <w:t xml:space="preserve"> </w:t>
      </w:r>
    </w:p>
    <w:p w14:paraId="35B9BE8B" w14:textId="3352DC6C" w:rsidR="00D2319A" w:rsidRPr="00EC02CA" w:rsidRDefault="00D2319A" w:rsidP="00A920EC">
      <w:r w:rsidRPr="00EC02CA">
        <w:rPr>
          <w:b/>
          <w:bCs/>
        </w:rPr>
        <w:t xml:space="preserve">Figure </w:t>
      </w:r>
      <w:r w:rsidR="00621CC8" w:rsidRPr="00EC02CA">
        <w:rPr>
          <w:b/>
          <w:bCs/>
        </w:rPr>
        <w:t>7</w:t>
      </w:r>
      <w:r w:rsidRPr="00EC02CA">
        <w:rPr>
          <w:b/>
          <w:bCs/>
        </w:rPr>
        <w:t>.</w:t>
      </w:r>
      <w:r w:rsidR="00621CC8" w:rsidRPr="00EC02CA">
        <w:rPr>
          <w:b/>
          <w:bCs/>
        </w:rPr>
        <w:t>3</w:t>
      </w:r>
      <w:r w:rsidRPr="00EC02CA">
        <w:t xml:space="preserve"> Distribution of </w:t>
      </w:r>
      <w:r w:rsidR="00B85CDE" w:rsidRPr="00EC02CA">
        <w:t>y</w:t>
      </w:r>
      <w:r w:rsidRPr="00EC02CA">
        <w:t xml:space="preserve">outh </w:t>
      </w:r>
      <w:r w:rsidR="00B85CDE" w:rsidRPr="00EC02CA">
        <w:t>j</w:t>
      </w:r>
      <w:r w:rsidRPr="00EC02CA">
        <w:t xml:space="preserve">ustice </w:t>
      </w:r>
      <w:r w:rsidR="00B85CDE" w:rsidRPr="00EC02CA">
        <w:t>r</w:t>
      </w:r>
      <w:r w:rsidRPr="00EC02CA">
        <w:t xml:space="preserve">eferrals for </w:t>
      </w:r>
      <w:r w:rsidR="00B85CDE" w:rsidRPr="00EC02CA">
        <w:t>s</w:t>
      </w:r>
      <w:r w:rsidRPr="00EC02CA">
        <w:t xml:space="preserve">exual </w:t>
      </w:r>
      <w:r w:rsidR="00B85CDE" w:rsidRPr="00EC02CA">
        <w:t>o</w:t>
      </w:r>
      <w:r w:rsidRPr="00EC02CA">
        <w:t xml:space="preserve">ffences, </w:t>
      </w:r>
      <w:r w:rsidR="00B85CDE" w:rsidRPr="00EC02CA">
        <w:t>by c</w:t>
      </w:r>
      <w:r w:rsidRPr="00EC02CA">
        <w:t xml:space="preserve">ourt or </w:t>
      </w:r>
      <w:r w:rsidR="00B85CDE" w:rsidRPr="00EC02CA">
        <w:t>d</w:t>
      </w:r>
      <w:r w:rsidRPr="00EC02CA">
        <w:t>iversion, 2013</w:t>
      </w:r>
      <w:r w:rsidR="00B85CDE" w:rsidRPr="00EC02CA">
        <w:t>–</w:t>
      </w:r>
      <w:r w:rsidRPr="00EC02CA">
        <w:t>14</w:t>
      </w:r>
      <w:r w:rsidR="00B85CDE" w:rsidRPr="00EC02CA">
        <w:t xml:space="preserve"> to </w:t>
      </w:r>
      <w:r w:rsidRPr="00EC02CA">
        <w:t>2023</w:t>
      </w:r>
      <w:r w:rsidR="00B85CDE" w:rsidRPr="00EC02CA">
        <w:t>–</w:t>
      </w:r>
      <w:r w:rsidRPr="00EC02CA">
        <w:t>24</w:t>
      </w:r>
    </w:p>
    <w:p w14:paraId="230CB47F" w14:textId="57DF1332" w:rsidR="00D2319A" w:rsidRPr="00EC02CA" w:rsidRDefault="00394275" w:rsidP="00B85CDE">
      <w:pPr>
        <w:rPr>
          <w:rFonts w:eastAsia="Times" w:cs="Times New Roman"/>
          <w:szCs w:val="20"/>
        </w:rPr>
      </w:pPr>
      <w:r w:rsidRPr="00EC02CA">
        <w:rPr>
          <w:noProof/>
        </w:rPr>
        <w:drawing>
          <wp:inline distT="0" distB="0" distL="0" distR="0" wp14:anchorId="23F0569C" wp14:editId="6CF098F4">
            <wp:extent cx="5486400" cy="2879725"/>
            <wp:effectExtent l="0" t="0" r="0" b="15875"/>
            <wp:docPr id="34568115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A9E4C63" w14:textId="77777777" w:rsidR="00FA5886" w:rsidRPr="00EC02CA" w:rsidRDefault="00FA5886" w:rsidP="00FA5886">
      <w:pPr>
        <w:rPr>
          <w:rFonts w:eastAsia="Times" w:cs="Times New Roman"/>
          <w:i/>
          <w:iCs/>
          <w:szCs w:val="20"/>
        </w:rPr>
      </w:pPr>
      <w:r w:rsidRPr="00EC02CA">
        <w:rPr>
          <w:rFonts w:eastAsia="Times" w:cs="Times New Roman"/>
          <w:i/>
          <w:iCs/>
          <w:szCs w:val="20"/>
        </w:rPr>
        <w:t>Source: Unpublished data, Tasmania Police</w:t>
      </w:r>
    </w:p>
    <w:p w14:paraId="65EE1EC0" w14:textId="478CA910" w:rsidR="00B97B76" w:rsidRPr="00EC02CA" w:rsidRDefault="00B97B76" w:rsidP="002F0007">
      <w:pPr>
        <w:pStyle w:val="NormalNumberedTextTLRI"/>
        <w:rPr>
          <w:szCs w:val="22"/>
        </w:rPr>
      </w:pPr>
      <w:r w:rsidRPr="00EC02CA">
        <w:t>Exploring these referrals more closely</w:t>
      </w:r>
      <w:r w:rsidR="002E562A" w:rsidRPr="00EC02CA">
        <w:t>,</w:t>
      </w:r>
      <w:r w:rsidRPr="00EC02CA">
        <w:rPr>
          <w:rStyle w:val="FootnoteReference"/>
        </w:rPr>
        <w:footnoteReference w:id="680"/>
      </w:r>
      <w:r w:rsidRPr="00EC02CA">
        <w:t xml:space="preserve"> most court referrals were for sexual assault, representing 90.9</w:t>
      </w:r>
      <w:r w:rsidR="00FA5886" w:rsidRPr="00EC02CA">
        <w:t>%</w:t>
      </w:r>
      <w:r w:rsidRPr="00EC02CA">
        <w:t xml:space="preserve"> of all sexual offence cases (100; </w:t>
      </w:r>
      <w:r w:rsidR="00FA5886" w:rsidRPr="00EC02CA">
        <w:t xml:space="preserve">see </w:t>
      </w:r>
      <w:r w:rsidRPr="00EC02CA">
        <w:t xml:space="preserve">Figure </w:t>
      </w:r>
      <w:r w:rsidR="00D04F41" w:rsidRPr="00EC02CA">
        <w:t>7</w:t>
      </w:r>
      <w:r w:rsidR="00EC7253" w:rsidRPr="00EC02CA">
        <w:t>.</w:t>
      </w:r>
      <w:r w:rsidR="00D04F41" w:rsidRPr="00EC02CA">
        <w:t>4</w:t>
      </w:r>
      <w:r w:rsidRPr="00EC02CA">
        <w:t xml:space="preserve">), with other offence types </w:t>
      </w:r>
      <w:r w:rsidR="00FA5886" w:rsidRPr="00EC02CA">
        <w:t xml:space="preserve">referred to court </w:t>
      </w:r>
      <w:r w:rsidRPr="00EC02CA">
        <w:t xml:space="preserve">including child </w:t>
      </w:r>
      <w:r w:rsidR="00CF684F" w:rsidRPr="00EC02CA">
        <w:t xml:space="preserve">exploitation material </w:t>
      </w:r>
      <w:r w:rsidRPr="00EC02CA">
        <w:t xml:space="preserve">offences and non-assaultive sexual offences. </w:t>
      </w:r>
      <w:r w:rsidR="00FA5886" w:rsidRPr="00EC02CA">
        <w:t>Similarly</w:t>
      </w:r>
      <w:r w:rsidRPr="00EC02CA">
        <w:t>, most diversionary procedure referrals were also for sexual assault, representing 66.2</w:t>
      </w:r>
      <w:r w:rsidR="00FA5886" w:rsidRPr="00EC02CA">
        <w:t>%</w:t>
      </w:r>
      <w:r w:rsidRPr="00EC02CA">
        <w:t xml:space="preserve"> of cases (43; </w:t>
      </w:r>
      <w:r w:rsidR="00FA5886" w:rsidRPr="00EC02CA">
        <w:t xml:space="preserve">see </w:t>
      </w:r>
      <w:r w:rsidRPr="00EC02CA">
        <w:t xml:space="preserve">Figure </w:t>
      </w:r>
      <w:r w:rsidR="00D04F41" w:rsidRPr="00EC02CA">
        <w:t>7</w:t>
      </w:r>
      <w:r w:rsidR="00EC7253" w:rsidRPr="00EC02CA">
        <w:t>.</w:t>
      </w:r>
      <w:r w:rsidR="00D04F41" w:rsidRPr="00EC02CA">
        <w:t>5</w:t>
      </w:r>
      <w:r w:rsidRPr="00EC02CA">
        <w:t xml:space="preserve">). </w:t>
      </w:r>
      <w:r w:rsidR="00FF18A3" w:rsidRPr="00EC02CA">
        <w:t xml:space="preserve">These data highlight the gap between the prevalence of harmful sexual behaviour by young people (particularly for online behaviour) and the involvement of </w:t>
      </w:r>
      <w:r w:rsidR="00FA5886" w:rsidRPr="00EC02CA">
        <w:t xml:space="preserve">the </w:t>
      </w:r>
      <w:r w:rsidR="00FF5345" w:rsidRPr="00EC02CA">
        <w:t>youth justice system</w:t>
      </w:r>
      <w:r w:rsidR="00FF18A3" w:rsidRPr="00EC02CA">
        <w:t xml:space="preserve">. In the </w:t>
      </w:r>
      <w:r w:rsidR="00FF5345" w:rsidRPr="00EC02CA">
        <w:t>ten-year</w:t>
      </w:r>
      <w:r w:rsidR="00FF18A3" w:rsidRPr="00EC02CA">
        <w:t xml:space="preserve"> period, only 25 child exploitation material offences were proceeded </w:t>
      </w:r>
      <w:r w:rsidR="00FA5886" w:rsidRPr="00EC02CA">
        <w:t xml:space="preserve">against </w:t>
      </w:r>
      <w:r w:rsidR="00FF18A3" w:rsidRPr="00EC02CA">
        <w:t xml:space="preserve">by </w:t>
      </w:r>
      <w:r w:rsidR="00F622F1" w:rsidRPr="00EC02CA">
        <w:t>Tasmania P</w:t>
      </w:r>
      <w:r w:rsidR="00FF18A3" w:rsidRPr="00EC02CA">
        <w:t xml:space="preserve">olice. This contrasts with the 81 diversions relating to online offending reported by the AFP in the </w:t>
      </w:r>
      <w:r w:rsidR="00FD7203" w:rsidRPr="00EC02CA">
        <w:t>twelve-month</w:t>
      </w:r>
      <w:r w:rsidR="00FF18A3" w:rsidRPr="00EC02CA">
        <w:t xml:space="preserve"> period from September 2023 to September 2024. In the period 2023</w:t>
      </w:r>
      <w:r w:rsidR="00FA07AE" w:rsidRPr="00EC02CA">
        <w:t>–</w:t>
      </w:r>
      <w:r w:rsidR="00FF18A3" w:rsidRPr="00EC02CA">
        <w:t>24, there was one diversion procedure referral for a child exploitation material offence in Tasmania.</w:t>
      </w:r>
    </w:p>
    <w:p w14:paraId="7B1E9386" w14:textId="7FA74F7D" w:rsidR="00B97B76" w:rsidRPr="00EC02CA" w:rsidRDefault="00B97B76" w:rsidP="00A920EC">
      <w:pPr>
        <w:keepNext/>
        <w:keepLines/>
      </w:pPr>
      <w:r w:rsidRPr="00EC02CA">
        <w:rPr>
          <w:b/>
          <w:bCs/>
        </w:rPr>
        <w:t xml:space="preserve">Figure </w:t>
      </w:r>
      <w:r w:rsidR="00D04F41" w:rsidRPr="00EC02CA">
        <w:rPr>
          <w:b/>
          <w:bCs/>
        </w:rPr>
        <w:t>7</w:t>
      </w:r>
      <w:r w:rsidRPr="00EC02CA">
        <w:rPr>
          <w:b/>
          <w:bCs/>
        </w:rPr>
        <w:t>.</w:t>
      </w:r>
      <w:r w:rsidR="00D04F41" w:rsidRPr="00EC02CA">
        <w:rPr>
          <w:b/>
          <w:bCs/>
        </w:rPr>
        <w:t>4</w:t>
      </w:r>
      <w:r w:rsidRPr="00EC02CA">
        <w:t xml:space="preserve"> Court </w:t>
      </w:r>
      <w:r w:rsidR="00FA07AE" w:rsidRPr="00EC02CA">
        <w:t>r</w:t>
      </w:r>
      <w:r w:rsidRPr="00EC02CA">
        <w:t xml:space="preserve">eferrals for </w:t>
      </w:r>
      <w:r w:rsidR="00FA07AE" w:rsidRPr="00EC02CA">
        <w:t>s</w:t>
      </w:r>
      <w:r w:rsidRPr="00EC02CA">
        <w:t xml:space="preserve">exual </w:t>
      </w:r>
      <w:r w:rsidR="00FA07AE" w:rsidRPr="00EC02CA">
        <w:t>o</w:t>
      </w:r>
      <w:r w:rsidRPr="00EC02CA">
        <w:t xml:space="preserve">ffences, </w:t>
      </w:r>
      <w:r w:rsidR="00FA07AE" w:rsidRPr="00EC02CA">
        <w:t>by o</w:t>
      </w:r>
      <w:r w:rsidRPr="00EC02CA">
        <w:t xml:space="preserve">ffence </w:t>
      </w:r>
      <w:r w:rsidR="00FA07AE" w:rsidRPr="00EC02CA">
        <w:t>t</w:t>
      </w:r>
      <w:r w:rsidRPr="00EC02CA">
        <w:t>ype, 2013</w:t>
      </w:r>
      <w:r w:rsidR="005C3E98" w:rsidRPr="00EC02CA">
        <w:t>–</w:t>
      </w:r>
      <w:r w:rsidRPr="00EC02CA">
        <w:t>14</w:t>
      </w:r>
      <w:r w:rsidR="00647CB0" w:rsidRPr="00EC02CA">
        <w:t xml:space="preserve"> to </w:t>
      </w:r>
      <w:r w:rsidRPr="00EC02CA">
        <w:t>2023</w:t>
      </w:r>
      <w:r w:rsidR="005C3E98" w:rsidRPr="00EC02CA">
        <w:t>–</w:t>
      </w:r>
      <w:r w:rsidRPr="00EC02CA">
        <w:t>24</w:t>
      </w:r>
    </w:p>
    <w:p w14:paraId="5F0E6B79" w14:textId="2FEDA0C9" w:rsidR="00B97B76" w:rsidRPr="00EC02CA" w:rsidRDefault="00B97B76" w:rsidP="00A920EC">
      <w:pPr>
        <w:keepNext/>
        <w:keepLines/>
        <w:rPr>
          <w:szCs w:val="22"/>
        </w:rPr>
      </w:pPr>
      <w:bookmarkStart w:id="360" w:name="_Toc211849432"/>
      <w:r w:rsidRPr="00EC02CA">
        <w:rPr>
          <w:noProof/>
        </w:rPr>
        <w:drawing>
          <wp:inline distT="0" distB="0" distL="0" distR="0" wp14:anchorId="1BEBE15F" wp14:editId="7A7BD56D">
            <wp:extent cx="5495925" cy="2886075"/>
            <wp:effectExtent l="0" t="0" r="9525" b="9525"/>
            <wp:docPr id="141280926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End w:id="360"/>
    </w:p>
    <w:p w14:paraId="22F85FDF" w14:textId="3BB6162E" w:rsidR="00FA5886" w:rsidRPr="00EC02CA" w:rsidRDefault="00FA5886" w:rsidP="003770C1">
      <w:pPr>
        <w:rPr>
          <w:i/>
          <w:iCs/>
        </w:rPr>
      </w:pPr>
      <w:r w:rsidRPr="00EC02CA">
        <w:rPr>
          <w:i/>
          <w:iCs/>
        </w:rPr>
        <w:t>Source: Unpublished data, Tasmania Police</w:t>
      </w:r>
    </w:p>
    <w:p w14:paraId="473DDB18" w14:textId="58FB2635" w:rsidR="00B97B76" w:rsidRPr="00EC02CA" w:rsidRDefault="00B97B76" w:rsidP="00A920EC">
      <w:r w:rsidRPr="00EC02CA">
        <w:rPr>
          <w:b/>
          <w:bCs/>
        </w:rPr>
        <w:t xml:space="preserve">Figure </w:t>
      </w:r>
      <w:r w:rsidR="00D04F41" w:rsidRPr="00EC02CA">
        <w:rPr>
          <w:b/>
          <w:bCs/>
        </w:rPr>
        <w:t>7</w:t>
      </w:r>
      <w:r w:rsidRPr="00EC02CA">
        <w:rPr>
          <w:b/>
          <w:bCs/>
        </w:rPr>
        <w:t>.</w:t>
      </w:r>
      <w:r w:rsidR="00D04F41" w:rsidRPr="00EC02CA">
        <w:rPr>
          <w:b/>
          <w:bCs/>
        </w:rPr>
        <w:t>5</w:t>
      </w:r>
      <w:r w:rsidRPr="00EC02CA">
        <w:t xml:space="preserve"> Diversionary </w:t>
      </w:r>
      <w:r w:rsidR="00FA07AE" w:rsidRPr="00EC02CA">
        <w:t>p</w:t>
      </w:r>
      <w:r w:rsidRPr="00EC02CA">
        <w:t xml:space="preserve">rocedure </w:t>
      </w:r>
      <w:r w:rsidR="00FA07AE" w:rsidRPr="00EC02CA">
        <w:t>r</w:t>
      </w:r>
      <w:r w:rsidRPr="00EC02CA">
        <w:t xml:space="preserve">eferrals for </w:t>
      </w:r>
      <w:r w:rsidR="00FA07AE" w:rsidRPr="00EC02CA">
        <w:t>s</w:t>
      </w:r>
      <w:r w:rsidRPr="00EC02CA">
        <w:t xml:space="preserve">exual </w:t>
      </w:r>
      <w:r w:rsidR="00FA07AE" w:rsidRPr="00EC02CA">
        <w:t>o</w:t>
      </w:r>
      <w:r w:rsidRPr="00EC02CA">
        <w:t xml:space="preserve">ffences, </w:t>
      </w:r>
      <w:r w:rsidR="00FA07AE" w:rsidRPr="00EC02CA">
        <w:t>by o</w:t>
      </w:r>
      <w:r w:rsidRPr="00EC02CA">
        <w:t xml:space="preserve">ffence </w:t>
      </w:r>
      <w:r w:rsidR="00FA07AE" w:rsidRPr="00EC02CA">
        <w:t>t</w:t>
      </w:r>
      <w:r w:rsidRPr="00EC02CA">
        <w:t>ype, 2013</w:t>
      </w:r>
      <w:r w:rsidR="005C3E98" w:rsidRPr="00EC02CA">
        <w:t>–</w:t>
      </w:r>
      <w:r w:rsidRPr="00EC02CA">
        <w:t>14</w:t>
      </w:r>
      <w:r w:rsidR="005C3E98" w:rsidRPr="00EC02CA">
        <w:t xml:space="preserve"> to </w:t>
      </w:r>
      <w:r w:rsidRPr="00EC02CA">
        <w:t>2023</w:t>
      </w:r>
      <w:r w:rsidR="005C3E98" w:rsidRPr="00EC02CA">
        <w:t>–</w:t>
      </w:r>
      <w:r w:rsidRPr="00EC02CA">
        <w:t>24</w:t>
      </w:r>
    </w:p>
    <w:p w14:paraId="0604372D" w14:textId="74B23FCD" w:rsidR="00B97B76" w:rsidRPr="00EC02CA" w:rsidRDefault="00B97B76" w:rsidP="003770C1">
      <w:pPr>
        <w:rPr>
          <w:rFonts w:eastAsia="Times" w:cs="Times New Roman"/>
          <w:szCs w:val="20"/>
        </w:rPr>
      </w:pPr>
      <w:bookmarkStart w:id="361" w:name="_Toc211849433"/>
      <w:r w:rsidRPr="00EC02CA">
        <w:rPr>
          <w:noProof/>
        </w:rPr>
        <w:drawing>
          <wp:inline distT="0" distB="0" distL="0" distR="0" wp14:anchorId="4331BB60" wp14:editId="61BC412D">
            <wp:extent cx="5495925" cy="2886075"/>
            <wp:effectExtent l="0" t="0" r="9525" b="9525"/>
            <wp:docPr id="81573024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End w:id="361"/>
    </w:p>
    <w:p w14:paraId="65CCAE50" w14:textId="4FD4A27B" w:rsidR="00FA5886" w:rsidRPr="00EC02CA" w:rsidRDefault="00FA5886" w:rsidP="00A920EC">
      <w:pPr>
        <w:rPr>
          <w:rFonts w:eastAsia="Times" w:cs="Times New Roman"/>
          <w:i/>
          <w:iCs/>
          <w:szCs w:val="20"/>
        </w:rPr>
      </w:pPr>
      <w:r w:rsidRPr="00EC02CA">
        <w:rPr>
          <w:rFonts w:eastAsia="Times" w:cs="Times New Roman"/>
          <w:i/>
          <w:iCs/>
          <w:szCs w:val="20"/>
        </w:rPr>
        <w:t>Source: Unpublished data, Tasmania Police</w:t>
      </w:r>
    </w:p>
    <w:p w14:paraId="021D2539" w14:textId="4EEBFD0F" w:rsidR="005A260D" w:rsidRPr="00EC02CA" w:rsidRDefault="005A260D" w:rsidP="00ED2E47">
      <w:pPr>
        <w:pStyle w:val="Sub-HeadingTLRI"/>
      </w:pPr>
      <w:bookmarkStart w:id="362" w:name="_Toc211849434"/>
      <w:bookmarkStart w:id="363" w:name="_Toc218157336"/>
      <w:r w:rsidRPr="00EC02CA">
        <w:t xml:space="preserve">Use of </w:t>
      </w:r>
      <w:r w:rsidR="0039490E" w:rsidRPr="00EC02CA">
        <w:t>informal cautions</w:t>
      </w:r>
      <w:r w:rsidR="00B26E66" w:rsidRPr="00EC02CA">
        <w:t>: Tasmania Police</w:t>
      </w:r>
      <w:bookmarkEnd w:id="362"/>
      <w:bookmarkEnd w:id="363"/>
    </w:p>
    <w:p w14:paraId="230CC196" w14:textId="6F485C16" w:rsidR="00812951" w:rsidRPr="00EC02CA" w:rsidRDefault="00F512A3" w:rsidP="002F0007">
      <w:pPr>
        <w:pStyle w:val="NormalNumberedTextTLRI"/>
      </w:pPr>
      <w:r w:rsidRPr="00EC02CA">
        <w:t>In the period 2013</w:t>
      </w:r>
      <w:r w:rsidR="00D845F6" w:rsidRPr="00EC02CA">
        <w:t>–</w:t>
      </w:r>
      <w:r w:rsidRPr="00EC02CA">
        <w:t>14 to 2023</w:t>
      </w:r>
      <w:r w:rsidR="00D845F6" w:rsidRPr="00EC02CA">
        <w:t>–</w:t>
      </w:r>
      <w:r w:rsidRPr="00EC02CA">
        <w:t>24, there were 7</w:t>
      </w:r>
      <w:r w:rsidR="00D845F6" w:rsidRPr="00EC02CA">
        <w:t>,</w:t>
      </w:r>
      <w:r w:rsidRPr="00EC02CA">
        <w:t>071 informal cautions for youth offenders, which accounted for 25.6% of the total number of youth offender files (27</w:t>
      </w:r>
      <w:r w:rsidR="00D845F6" w:rsidRPr="00EC02CA">
        <w:t>,</w:t>
      </w:r>
      <w:r w:rsidRPr="00EC02CA">
        <w:t>551) and 57% of the total number of the diversionary procedures (12</w:t>
      </w:r>
      <w:r w:rsidR="00D845F6" w:rsidRPr="00EC02CA">
        <w:t>,</w:t>
      </w:r>
      <w:r w:rsidRPr="00EC02CA">
        <w:t>329).</w:t>
      </w:r>
      <w:r w:rsidRPr="00EC02CA">
        <w:rPr>
          <w:vertAlign w:val="superscript"/>
        </w:rPr>
        <w:footnoteReference w:id="681"/>
      </w:r>
      <w:r w:rsidRPr="00EC02CA">
        <w:t xml:space="preserve"> </w:t>
      </w:r>
      <w:r w:rsidR="001F5032" w:rsidRPr="00EC02CA">
        <w:t xml:space="preserve">In this period, </w:t>
      </w:r>
      <w:r w:rsidR="00CF1CDF" w:rsidRPr="00EC02CA">
        <w:t>informal cautions were very rarely used for sexual offences. T</w:t>
      </w:r>
      <w:r w:rsidR="00DA126A" w:rsidRPr="00EC02CA">
        <w:t xml:space="preserve">here were </w:t>
      </w:r>
      <w:r w:rsidR="00CF1CDF" w:rsidRPr="00EC02CA">
        <w:t xml:space="preserve">only </w:t>
      </w:r>
      <w:r w:rsidR="00DA126A" w:rsidRPr="00EC02CA">
        <w:t xml:space="preserve">three informal </w:t>
      </w:r>
      <w:r w:rsidR="0092576B" w:rsidRPr="00EC02CA">
        <w:t>cautions,</w:t>
      </w:r>
      <w:r w:rsidR="00DA126A" w:rsidRPr="00EC02CA">
        <w:t xml:space="preserve"> and</w:t>
      </w:r>
      <w:r w:rsidR="003B48CD" w:rsidRPr="00EC02CA">
        <w:t xml:space="preserve"> these were for child </w:t>
      </w:r>
      <w:r w:rsidR="00CF684F" w:rsidRPr="00EC02CA">
        <w:t>exploitation material offences</w:t>
      </w:r>
      <w:r w:rsidR="003B48CD" w:rsidRPr="00EC02CA">
        <w:t>.</w:t>
      </w:r>
      <w:r w:rsidR="00CF1CDF" w:rsidRPr="00EC02CA">
        <w:rPr>
          <w:rStyle w:val="FootnoteReference"/>
        </w:rPr>
        <w:footnoteReference w:id="682"/>
      </w:r>
      <w:r w:rsidR="003B48CD" w:rsidRPr="00EC02CA">
        <w:t xml:space="preserve"> </w:t>
      </w:r>
    </w:p>
    <w:p w14:paraId="5451B2B2" w14:textId="48DC40BE" w:rsidR="00812951" w:rsidRPr="00EC02CA" w:rsidRDefault="00812951" w:rsidP="002F0007">
      <w:pPr>
        <w:pStyle w:val="NormalNumberedTextTLRI"/>
      </w:pPr>
      <w:r w:rsidRPr="00EC02CA">
        <w:t>Previous Tasmanian research</w:t>
      </w:r>
      <w:r w:rsidR="00485A3D" w:rsidRPr="00EC02CA">
        <w:t xml:space="preserve"> on youth offenders</w:t>
      </w:r>
      <w:r w:rsidRPr="00EC02CA">
        <w:t xml:space="preserve"> reported that informal cautions were most commonly used for public order and drug offences,</w:t>
      </w:r>
      <w:r w:rsidRPr="00EC02CA">
        <w:rPr>
          <w:vertAlign w:val="superscript"/>
        </w:rPr>
        <w:footnoteReference w:id="683"/>
      </w:r>
      <w:r w:rsidRPr="00EC02CA">
        <w:t>with drug offences, stealing, public order liquor related offences</w:t>
      </w:r>
      <w:r w:rsidR="00D845F6" w:rsidRPr="00EC02CA">
        <w:t>,</w:t>
      </w:r>
      <w:r w:rsidRPr="00EC02CA">
        <w:t xml:space="preserve"> and street public order offences being the most common offence sub-categories.</w:t>
      </w:r>
      <w:r w:rsidRPr="00EC02CA">
        <w:rPr>
          <w:vertAlign w:val="superscript"/>
        </w:rPr>
        <w:footnoteReference w:id="684"/>
      </w:r>
    </w:p>
    <w:p w14:paraId="66E39A91" w14:textId="2D6A24ED" w:rsidR="004700B5" w:rsidRPr="00EC02CA" w:rsidRDefault="004700B5" w:rsidP="00ED2E47">
      <w:pPr>
        <w:pStyle w:val="Sub-HeadingTLRI"/>
      </w:pPr>
      <w:bookmarkStart w:id="364" w:name="_Toc211849435"/>
      <w:bookmarkStart w:id="365" w:name="_Toc218157337"/>
      <w:r w:rsidRPr="00EC02CA">
        <w:t>Use of formal cautions</w:t>
      </w:r>
      <w:r w:rsidR="00B26E66" w:rsidRPr="00EC02CA">
        <w:t>: Tasmania Police and AFP</w:t>
      </w:r>
      <w:bookmarkEnd w:id="364"/>
      <w:bookmarkEnd w:id="365"/>
    </w:p>
    <w:p w14:paraId="62B6B3DA" w14:textId="6A3EC66C" w:rsidR="006B5BF8" w:rsidRPr="00EC02CA" w:rsidRDefault="006B5BF8" w:rsidP="002F0007">
      <w:pPr>
        <w:pStyle w:val="NormalNumberedTextTLRI"/>
      </w:pPr>
      <w:r w:rsidRPr="00EC02CA">
        <w:t>In the period 2013</w:t>
      </w:r>
      <w:r w:rsidR="00D845F6" w:rsidRPr="00EC02CA">
        <w:t>–</w:t>
      </w:r>
      <w:r w:rsidRPr="00EC02CA">
        <w:t>14 to 2023</w:t>
      </w:r>
      <w:r w:rsidR="00D845F6" w:rsidRPr="00EC02CA">
        <w:t>–</w:t>
      </w:r>
      <w:r w:rsidRPr="00EC02CA">
        <w:t>24, there were 3</w:t>
      </w:r>
      <w:r w:rsidR="00D845F6" w:rsidRPr="00EC02CA">
        <w:t>,</w:t>
      </w:r>
      <w:r w:rsidRPr="00EC02CA">
        <w:t xml:space="preserve">788 formal cautions </w:t>
      </w:r>
      <w:r w:rsidR="00D845F6" w:rsidRPr="00EC02CA">
        <w:t xml:space="preserve">administered to </w:t>
      </w:r>
      <w:r w:rsidRPr="00EC02CA">
        <w:t>youth offenders</w:t>
      </w:r>
      <w:r w:rsidR="005A041F" w:rsidRPr="00EC02CA">
        <w:t xml:space="preserve"> by Tasmania Police</w:t>
      </w:r>
      <w:r w:rsidRPr="00EC02CA">
        <w:t>, which accounted for 13.7% of the total number of youth offender files (27</w:t>
      </w:r>
      <w:r w:rsidR="00D845F6" w:rsidRPr="00EC02CA">
        <w:t>,</w:t>
      </w:r>
      <w:r w:rsidRPr="00EC02CA">
        <w:t>551) and 30.7% of the total number of the diversionary procedures (12</w:t>
      </w:r>
      <w:r w:rsidR="00D845F6" w:rsidRPr="00EC02CA">
        <w:t>,</w:t>
      </w:r>
      <w:r w:rsidRPr="00EC02CA">
        <w:t>329).</w:t>
      </w:r>
      <w:r w:rsidRPr="00EC02CA">
        <w:rPr>
          <w:vertAlign w:val="superscript"/>
        </w:rPr>
        <w:footnoteReference w:id="685"/>
      </w:r>
      <w:r w:rsidRPr="00EC02CA">
        <w:t xml:space="preserve"> </w:t>
      </w:r>
    </w:p>
    <w:p w14:paraId="7E18FAB3" w14:textId="1D3AD50E" w:rsidR="001F5032" w:rsidRPr="00EC02CA" w:rsidRDefault="001F5032" w:rsidP="002F0007">
      <w:pPr>
        <w:pStyle w:val="NormalNumberedTextTLRI"/>
      </w:pPr>
      <w:r w:rsidRPr="00EC02CA">
        <w:t xml:space="preserve">In this period, there were </w:t>
      </w:r>
      <w:r w:rsidR="007B3A50" w:rsidRPr="00EC02CA">
        <w:t xml:space="preserve">34 </w:t>
      </w:r>
      <w:r w:rsidRPr="00EC02CA">
        <w:t xml:space="preserve">formal cautions </w:t>
      </w:r>
      <w:r w:rsidR="005A041F" w:rsidRPr="00EC02CA">
        <w:t xml:space="preserve">administered by Tasmania Police </w:t>
      </w:r>
      <w:r w:rsidRPr="00EC02CA">
        <w:t>for sexual offences</w:t>
      </w:r>
      <w:r w:rsidR="006D51CD" w:rsidRPr="00EC02CA">
        <w:t>.</w:t>
      </w:r>
      <w:r w:rsidRPr="00EC02CA">
        <w:t xml:space="preserve"> </w:t>
      </w:r>
      <w:r w:rsidR="007B3A50" w:rsidRPr="00EC02CA">
        <w:t>F</w:t>
      </w:r>
      <w:r w:rsidR="006A3C00" w:rsidRPr="00EC02CA">
        <w:t xml:space="preserve">ormal cautions were </w:t>
      </w:r>
      <w:r w:rsidR="007B3A50" w:rsidRPr="00EC02CA">
        <w:t>administered</w:t>
      </w:r>
      <w:r w:rsidR="006A3C00" w:rsidRPr="00EC02CA">
        <w:t xml:space="preserve"> for sexual assault</w:t>
      </w:r>
      <w:r w:rsidR="007B3A50" w:rsidRPr="00EC02CA">
        <w:t xml:space="preserve"> (19</w:t>
      </w:r>
      <w:r w:rsidR="00D845F6" w:rsidRPr="00EC02CA">
        <w:t>,</w:t>
      </w:r>
      <w:r w:rsidR="00D157DB" w:rsidRPr="00EC02CA">
        <w:t xml:space="preserve"> or 55.9% of formal cautions for sexual offences</w:t>
      </w:r>
      <w:r w:rsidR="007B3A50" w:rsidRPr="00EC02CA">
        <w:t>)</w:t>
      </w:r>
      <w:r w:rsidR="006A3C00" w:rsidRPr="00EC02CA">
        <w:t xml:space="preserve">, child </w:t>
      </w:r>
      <w:r w:rsidR="009C0CB0" w:rsidRPr="00EC02CA">
        <w:t xml:space="preserve">exploitation material </w:t>
      </w:r>
      <w:r w:rsidR="006A3C00" w:rsidRPr="00EC02CA">
        <w:t xml:space="preserve">offences </w:t>
      </w:r>
      <w:r w:rsidR="00D157DB" w:rsidRPr="00EC02CA">
        <w:t>(12</w:t>
      </w:r>
      <w:r w:rsidR="00D845F6" w:rsidRPr="00EC02CA">
        <w:t>,</w:t>
      </w:r>
      <w:r w:rsidR="00D157DB" w:rsidRPr="00EC02CA">
        <w:t xml:space="preserve"> </w:t>
      </w:r>
      <w:r w:rsidR="00DB4D24" w:rsidRPr="00EC02CA">
        <w:t xml:space="preserve">or 35.3% of formal cautions for sexual offences) </w:t>
      </w:r>
      <w:r w:rsidR="006A3C00" w:rsidRPr="00EC02CA">
        <w:t>and other non-assaultive sexual offences</w:t>
      </w:r>
      <w:r w:rsidR="00731A7D" w:rsidRPr="00EC02CA">
        <w:t xml:space="preserve"> (3</w:t>
      </w:r>
      <w:r w:rsidR="00D845F6" w:rsidRPr="00EC02CA">
        <w:t>,</w:t>
      </w:r>
      <w:r w:rsidR="00731A7D" w:rsidRPr="00EC02CA">
        <w:t xml:space="preserve"> or 8.8% of formal cautions for sexual offences).</w:t>
      </w:r>
      <w:r w:rsidR="00731A7D" w:rsidRPr="00EC02CA">
        <w:rPr>
          <w:rStyle w:val="FootnoteReference"/>
        </w:rPr>
        <w:footnoteReference w:id="686"/>
      </w:r>
    </w:p>
    <w:p w14:paraId="46E893DA" w14:textId="1382CBC0" w:rsidR="006840B2" w:rsidRPr="00EC02CA" w:rsidRDefault="006840B2" w:rsidP="002F0007">
      <w:pPr>
        <w:pStyle w:val="NormalNumberedTextTLRI"/>
      </w:pPr>
      <w:r w:rsidRPr="00EC02CA">
        <w:t xml:space="preserve">Previous Tasmanian research </w:t>
      </w:r>
      <w:r w:rsidR="004E0183" w:rsidRPr="00EC02CA">
        <w:t xml:space="preserve">on youth offenders </w:t>
      </w:r>
      <w:r w:rsidRPr="00EC02CA">
        <w:t>reported that</w:t>
      </w:r>
      <w:r w:rsidR="00483EF9" w:rsidRPr="00EC02CA">
        <w:t>, as with informal cautions,</w:t>
      </w:r>
      <w:r w:rsidRPr="00EC02CA">
        <w:t xml:space="preserve"> formal cautions were </w:t>
      </w:r>
      <w:r w:rsidR="000C6AD9" w:rsidRPr="00EC02CA">
        <w:t xml:space="preserve">most </w:t>
      </w:r>
      <w:r w:rsidR="00483EF9" w:rsidRPr="00EC02CA">
        <w:t xml:space="preserve">commonly </w:t>
      </w:r>
      <w:r w:rsidR="000C6AD9" w:rsidRPr="00EC02CA">
        <w:t>used</w:t>
      </w:r>
      <w:r w:rsidRPr="00EC02CA">
        <w:t xml:space="preserve"> </w:t>
      </w:r>
      <w:r w:rsidR="007457D5" w:rsidRPr="00EC02CA">
        <w:t xml:space="preserve">by Tasmania Police </w:t>
      </w:r>
      <w:r w:rsidRPr="00EC02CA">
        <w:t>for</w:t>
      </w:r>
      <w:r w:rsidR="009C0CB0" w:rsidRPr="00EC02CA">
        <w:t xml:space="preserve"> </w:t>
      </w:r>
      <w:r w:rsidRPr="00EC02CA">
        <w:t>public order and drug offences,</w:t>
      </w:r>
      <w:r w:rsidRPr="00EC02CA">
        <w:rPr>
          <w:vertAlign w:val="superscript"/>
        </w:rPr>
        <w:footnoteReference w:id="687"/>
      </w:r>
      <w:r w:rsidRPr="00EC02CA">
        <w:t>with stealing, assault and injury to property being the most common</w:t>
      </w:r>
      <w:r w:rsidR="000C6AD9" w:rsidRPr="00EC02CA">
        <w:t xml:space="preserve"> </w:t>
      </w:r>
      <w:r w:rsidRPr="00EC02CA">
        <w:t>offence sub</w:t>
      </w:r>
      <w:r w:rsidR="00483EF9" w:rsidRPr="00EC02CA">
        <w:t>-</w:t>
      </w:r>
      <w:r w:rsidRPr="00EC02CA">
        <w:t>categor</w:t>
      </w:r>
      <w:r w:rsidR="00483EF9" w:rsidRPr="00EC02CA">
        <w:t>ies</w:t>
      </w:r>
      <w:r w:rsidRPr="00EC02CA">
        <w:t xml:space="preserve"> and street public order offences being the most common </w:t>
      </w:r>
      <w:r w:rsidR="00932294" w:rsidRPr="00EC02CA">
        <w:t xml:space="preserve">public order </w:t>
      </w:r>
      <w:r w:rsidRPr="00EC02CA">
        <w:t>offence sub-categories.</w:t>
      </w:r>
      <w:r w:rsidRPr="00EC02CA">
        <w:rPr>
          <w:vertAlign w:val="superscript"/>
        </w:rPr>
        <w:footnoteReference w:id="688"/>
      </w:r>
    </w:p>
    <w:p w14:paraId="09ABDF2D" w14:textId="1BCF5334" w:rsidR="00B26E66" w:rsidRPr="00EC02CA" w:rsidRDefault="00B26E66" w:rsidP="002F0007">
      <w:pPr>
        <w:pStyle w:val="NormalNumberedTextTLRI"/>
      </w:pPr>
      <w:r w:rsidRPr="00EC02CA">
        <w:t>I</w:t>
      </w:r>
      <w:r w:rsidR="00D32EBA" w:rsidRPr="00EC02CA">
        <w:t>n</w:t>
      </w:r>
      <w:r w:rsidRPr="00EC02CA">
        <w:t xml:space="preserve"> relation to the use of formal cautions by the </w:t>
      </w:r>
      <w:r w:rsidR="00D32EBA" w:rsidRPr="00EC02CA">
        <w:t xml:space="preserve">AFP, </w:t>
      </w:r>
      <w:r w:rsidR="00CF7F8F" w:rsidRPr="00EC02CA">
        <w:t>the TLRI does not have detailed statistics. However, in interviews</w:t>
      </w:r>
      <w:r w:rsidR="00BA4FEE" w:rsidRPr="00EC02CA">
        <w:t>, the TLRI was told that</w:t>
      </w:r>
      <w:r w:rsidR="00483EF9" w:rsidRPr="00EC02CA">
        <w:t>,</w:t>
      </w:r>
      <w:r w:rsidR="00BA4FEE" w:rsidRPr="00EC02CA">
        <w:t xml:space="preserve"> ‘between September 2023 and September 2024, the JACET had 81 </w:t>
      </w:r>
      <w:r w:rsidR="006D22B0" w:rsidRPr="00EC02CA">
        <w:t>disruptions or engagements with kids and … haven’t seen a repeat offender’.</w:t>
      </w:r>
      <w:r w:rsidR="006D22B0" w:rsidRPr="00EC02CA">
        <w:rPr>
          <w:rStyle w:val="FootnoteReference"/>
        </w:rPr>
        <w:footnoteReference w:id="689"/>
      </w:r>
    </w:p>
    <w:p w14:paraId="6CC71DE4" w14:textId="201700E2" w:rsidR="004700B5" w:rsidRPr="00EC02CA" w:rsidRDefault="004700B5" w:rsidP="00ED2E47">
      <w:pPr>
        <w:pStyle w:val="Sub-HeadingTLRI"/>
      </w:pPr>
      <w:bookmarkStart w:id="366" w:name="_Toc211849436"/>
      <w:bookmarkStart w:id="367" w:name="_Toc218157338"/>
      <w:r w:rsidRPr="00EC02CA">
        <w:t>Use of Community Conferences</w:t>
      </w:r>
      <w:r w:rsidR="00945001" w:rsidRPr="00EC02CA">
        <w:t>: Tasmania Police</w:t>
      </w:r>
      <w:bookmarkEnd w:id="366"/>
      <w:bookmarkEnd w:id="367"/>
    </w:p>
    <w:p w14:paraId="6DC92E52" w14:textId="78FE1AE8" w:rsidR="00EE2AD9" w:rsidRPr="00EC02CA" w:rsidRDefault="00EC57AF" w:rsidP="002F0007">
      <w:pPr>
        <w:pStyle w:val="NormalNumberedTextTLRI"/>
      </w:pPr>
      <w:r w:rsidRPr="00EC02CA">
        <w:t>In the period 2013</w:t>
      </w:r>
      <w:r w:rsidR="00483EF9" w:rsidRPr="00EC02CA">
        <w:t>–</w:t>
      </w:r>
      <w:r w:rsidRPr="00EC02CA">
        <w:t>14 to 2023</w:t>
      </w:r>
      <w:r w:rsidR="00483EF9" w:rsidRPr="00EC02CA">
        <w:t>–</w:t>
      </w:r>
      <w:r w:rsidRPr="00EC02CA">
        <w:t>24, there were 1</w:t>
      </w:r>
      <w:r w:rsidR="00483EF9" w:rsidRPr="00EC02CA">
        <w:t>,</w:t>
      </w:r>
      <w:r w:rsidRPr="00EC02CA">
        <w:t>470 community conference</w:t>
      </w:r>
      <w:r w:rsidR="0039490E" w:rsidRPr="00EC02CA">
        <w:t>s</w:t>
      </w:r>
      <w:r w:rsidRPr="00EC02CA">
        <w:t xml:space="preserve"> for youth offenders, which accounted for 5.3% of the total number of youth offender files (27</w:t>
      </w:r>
      <w:r w:rsidR="00483EF9" w:rsidRPr="00EC02CA">
        <w:t>,</w:t>
      </w:r>
      <w:r w:rsidRPr="00EC02CA">
        <w:t>551) and 11.9% of the total number of the diversionary procedures (12</w:t>
      </w:r>
      <w:r w:rsidR="00483EF9" w:rsidRPr="00EC02CA">
        <w:t>,</w:t>
      </w:r>
      <w:r w:rsidRPr="00EC02CA">
        <w:t>329).</w:t>
      </w:r>
      <w:r w:rsidRPr="00EC02CA">
        <w:rPr>
          <w:vertAlign w:val="superscript"/>
        </w:rPr>
        <w:footnoteReference w:id="690"/>
      </w:r>
      <w:r w:rsidRPr="00EC02CA">
        <w:t xml:space="preserve"> </w:t>
      </w:r>
    </w:p>
    <w:p w14:paraId="784748A7" w14:textId="414DE02A" w:rsidR="006840B2" w:rsidRPr="00EC02CA" w:rsidRDefault="00EE2AD9" w:rsidP="002F0007">
      <w:pPr>
        <w:pStyle w:val="NormalNumberedTextTLRI"/>
      </w:pPr>
      <w:r w:rsidRPr="00EC02CA">
        <w:t>I</w:t>
      </w:r>
      <w:r w:rsidR="00273EB7" w:rsidRPr="00EC02CA">
        <w:t>n</w:t>
      </w:r>
      <w:r w:rsidRPr="00EC02CA">
        <w:t xml:space="preserve"> this period</w:t>
      </w:r>
      <w:r w:rsidR="0092576B" w:rsidRPr="00EC02CA">
        <w:t>,</w:t>
      </w:r>
      <w:r w:rsidRPr="00EC02CA">
        <w:t xml:space="preserve"> </w:t>
      </w:r>
      <w:r w:rsidR="00821D9C" w:rsidRPr="00EC02CA">
        <w:t xml:space="preserve">Tasmania Police data indicate that </w:t>
      </w:r>
      <w:r w:rsidRPr="00EC02CA">
        <w:t>there were 28 c</w:t>
      </w:r>
      <w:r w:rsidR="00932294" w:rsidRPr="00EC02CA">
        <w:t xml:space="preserve">ommunity conferences </w:t>
      </w:r>
      <w:r w:rsidRPr="00EC02CA">
        <w:t>from police referrals</w:t>
      </w:r>
      <w:r w:rsidR="0092576B" w:rsidRPr="00EC02CA">
        <w:t xml:space="preserve"> for sexual offences</w:t>
      </w:r>
      <w:r w:rsidRPr="00EC02CA">
        <w:t>.</w:t>
      </w:r>
      <w:r w:rsidR="00273EB7" w:rsidRPr="00EC02CA">
        <w:t xml:space="preserve"> Community conferences were predominantly used for sexual assault</w:t>
      </w:r>
      <w:r w:rsidR="00A94AC9" w:rsidRPr="00EC02CA">
        <w:t xml:space="preserve"> </w:t>
      </w:r>
      <w:r w:rsidR="00273EB7" w:rsidRPr="00EC02CA">
        <w:t>(</w:t>
      </w:r>
      <w:r w:rsidR="000E63F6" w:rsidRPr="00EC02CA">
        <w:t>24</w:t>
      </w:r>
      <w:r w:rsidR="00001212" w:rsidRPr="00EC02CA">
        <w:t xml:space="preserve"> referrals</w:t>
      </w:r>
      <w:r w:rsidR="000E63F6" w:rsidRPr="00EC02CA">
        <w:t xml:space="preserve">) with only </w:t>
      </w:r>
      <w:r w:rsidR="002754A4" w:rsidRPr="00EC02CA">
        <w:t>two</w:t>
      </w:r>
      <w:r w:rsidR="000E63F6" w:rsidRPr="00EC02CA">
        <w:t xml:space="preserve"> community conference referrals for </w:t>
      </w:r>
      <w:r w:rsidR="005D49CE" w:rsidRPr="00EC02CA">
        <w:t xml:space="preserve">each of the offence categories of child </w:t>
      </w:r>
      <w:r w:rsidR="00C34DC1" w:rsidRPr="00EC02CA">
        <w:t>exploitation material</w:t>
      </w:r>
      <w:r w:rsidR="005D49CE" w:rsidRPr="00EC02CA">
        <w:t xml:space="preserve"> offences and other non-</w:t>
      </w:r>
      <w:r w:rsidR="0092576B" w:rsidRPr="00EC02CA">
        <w:t>assaultive</w:t>
      </w:r>
      <w:r w:rsidR="005D49CE" w:rsidRPr="00EC02CA">
        <w:t xml:space="preserve"> </w:t>
      </w:r>
      <w:r w:rsidR="0092576B" w:rsidRPr="00EC02CA">
        <w:t>sexual offences.</w:t>
      </w:r>
    </w:p>
    <w:p w14:paraId="61208AF5" w14:textId="2EBCCE19" w:rsidR="00821D9C" w:rsidRPr="00EC02CA" w:rsidRDefault="00821D9C" w:rsidP="002F0007">
      <w:pPr>
        <w:pStyle w:val="NormalNumberedTextTLRI"/>
      </w:pPr>
      <w:r w:rsidRPr="00EC02CA">
        <w:t>Data provided to the TLRI by D</w:t>
      </w:r>
      <w:r w:rsidR="00352A49" w:rsidRPr="00EC02CA">
        <w:t xml:space="preserve">ECYP set out the number of young people with an </w:t>
      </w:r>
      <w:r w:rsidRPr="00EC02CA">
        <w:t xml:space="preserve">open </w:t>
      </w:r>
      <w:r w:rsidR="0091225E" w:rsidRPr="00EC02CA">
        <w:t>c</w:t>
      </w:r>
      <w:r w:rsidRPr="00EC02CA">
        <w:t xml:space="preserve">ommunity </w:t>
      </w:r>
      <w:r w:rsidR="0091225E" w:rsidRPr="00EC02CA">
        <w:t>c</w:t>
      </w:r>
      <w:r w:rsidRPr="00EC02CA">
        <w:t>onference run by Youth Justice</w:t>
      </w:r>
      <w:r w:rsidR="00352A49" w:rsidRPr="00EC02CA">
        <w:t xml:space="preserve"> (see Table </w:t>
      </w:r>
      <w:r w:rsidR="00A46231" w:rsidRPr="00EC02CA">
        <w:t>7</w:t>
      </w:r>
      <w:r w:rsidR="008A056E" w:rsidRPr="00EC02CA">
        <w:t>.</w:t>
      </w:r>
      <w:r w:rsidR="00A46231" w:rsidRPr="00EC02CA">
        <w:t>1</w:t>
      </w:r>
      <w:r w:rsidR="00352A49" w:rsidRPr="00EC02CA">
        <w:t>)</w:t>
      </w:r>
      <w:r w:rsidR="008A056E" w:rsidRPr="00EC02CA">
        <w:t xml:space="preserve">. As with other data, it shows that </w:t>
      </w:r>
      <w:r w:rsidR="00DC4473" w:rsidRPr="00EC02CA">
        <w:t xml:space="preserve">sexual offences only account for a small number of cases where </w:t>
      </w:r>
      <w:r w:rsidR="008A056E" w:rsidRPr="00EC02CA">
        <w:t>community conf</w:t>
      </w:r>
      <w:r w:rsidR="00DC4473" w:rsidRPr="00EC02CA">
        <w:t>erences are held.</w:t>
      </w:r>
    </w:p>
    <w:p w14:paraId="387FC760" w14:textId="2D26FBE9" w:rsidR="00821D9C" w:rsidRPr="00EC02CA" w:rsidRDefault="00821D9C" w:rsidP="00A920EC">
      <w:pPr>
        <w:keepNext/>
        <w:keepLines/>
      </w:pPr>
      <w:r w:rsidRPr="00EC02CA">
        <w:rPr>
          <w:b/>
          <w:bCs/>
        </w:rPr>
        <w:t xml:space="preserve">Table </w:t>
      </w:r>
      <w:r w:rsidR="00A46231" w:rsidRPr="00EC02CA">
        <w:rPr>
          <w:b/>
          <w:bCs/>
        </w:rPr>
        <w:t>7</w:t>
      </w:r>
      <w:r w:rsidR="00352A49" w:rsidRPr="00EC02CA">
        <w:rPr>
          <w:b/>
          <w:bCs/>
        </w:rPr>
        <w:t>.</w:t>
      </w:r>
      <w:r w:rsidR="00A46231" w:rsidRPr="00EC02CA">
        <w:rPr>
          <w:b/>
          <w:bCs/>
        </w:rPr>
        <w:t>1</w:t>
      </w:r>
      <w:r w:rsidRPr="00EC02CA">
        <w:t xml:space="preserve"> Distinct number of young people with an open Youth Justice Community Conference</w:t>
      </w:r>
      <w:r w:rsidR="003770C1" w:rsidRPr="00EC02CA">
        <w:t>,</w:t>
      </w:r>
      <w:r w:rsidRPr="00EC02CA">
        <w:t xml:space="preserve"> by offence category</w:t>
      </w:r>
      <w:r w:rsidR="003770C1" w:rsidRPr="00EC02CA">
        <w:t>,</w:t>
      </w:r>
      <w:r w:rsidR="003770C1" w:rsidRPr="00EC02CA">
        <w:rPr>
          <w:rStyle w:val="FootnoteReference"/>
        </w:rPr>
        <w:footnoteReference w:id="691"/>
      </w:r>
      <w:r w:rsidR="003770C1" w:rsidRPr="00EC02CA">
        <w:t xml:space="preserve"> 2014–15 to 2023–24</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985"/>
        <w:gridCol w:w="1984"/>
        <w:gridCol w:w="1843"/>
      </w:tblGrid>
      <w:tr w:rsidR="0091225E" w:rsidRPr="00EC02CA" w14:paraId="572EC356" w14:textId="77777777" w:rsidTr="00A920EC">
        <w:trPr>
          <w:trHeight w:val="714"/>
        </w:trPr>
        <w:tc>
          <w:tcPr>
            <w:tcW w:w="1696" w:type="dxa"/>
            <w:hideMark/>
          </w:tcPr>
          <w:p w14:paraId="191076B5" w14:textId="08A86F2B" w:rsidR="00821D9C" w:rsidRPr="00EC02CA" w:rsidRDefault="000B6656" w:rsidP="00A920EC">
            <w:pPr>
              <w:keepNext/>
              <w:keepLines/>
              <w:spacing w:before="60" w:after="60"/>
              <w:jc w:val="left"/>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Period</w:t>
            </w:r>
          </w:p>
        </w:tc>
        <w:tc>
          <w:tcPr>
            <w:tcW w:w="1985" w:type="dxa"/>
            <w:hideMark/>
          </w:tcPr>
          <w:p w14:paraId="27A6C683" w14:textId="77777777" w:rsidR="00821D9C" w:rsidRPr="00EC02CA" w:rsidRDefault="00821D9C" w:rsidP="00AB59E8">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Young people with sexual offences</w:t>
            </w:r>
          </w:p>
        </w:tc>
        <w:tc>
          <w:tcPr>
            <w:tcW w:w="1984" w:type="dxa"/>
            <w:hideMark/>
          </w:tcPr>
          <w:p w14:paraId="441A5161" w14:textId="77777777" w:rsidR="00821D9C" w:rsidRPr="00EC02CA" w:rsidRDefault="00821D9C" w:rsidP="00AB59E8">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Young people with all other offences</w:t>
            </w:r>
          </w:p>
        </w:tc>
        <w:tc>
          <w:tcPr>
            <w:tcW w:w="1843" w:type="dxa"/>
            <w:hideMark/>
          </w:tcPr>
          <w:p w14:paraId="40B0BC26" w14:textId="40BD7BC5" w:rsidR="00821D9C" w:rsidRPr="00EC02CA" w:rsidRDefault="00821D9C" w:rsidP="00AB59E8">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 xml:space="preserve">Distinct </w:t>
            </w:r>
            <w:r w:rsidR="0091225E" w:rsidRPr="00EC02CA">
              <w:rPr>
                <w:rFonts w:eastAsia="Times New Roman" w:cs="Times New Roman"/>
                <w:b/>
                <w:bCs/>
                <w:color w:val="000000"/>
                <w:sz w:val="20"/>
                <w:szCs w:val="20"/>
                <w:lang w:eastAsia="en-AU"/>
              </w:rPr>
              <w:t xml:space="preserve">number of </w:t>
            </w:r>
            <w:r w:rsidRPr="00EC02CA">
              <w:rPr>
                <w:rFonts w:eastAsia="Times New Roman" w:cs="Times New Roman"/>
                <w:b/>
                <w:bCs/>
                <w:color w:val="000000"/>
                <w:sz w:val="20"/>
                <w:szCs w:val="20"/>
                <w:lang w:eastAsia="en-AU"/>
              </w:rPr>
              <w:t>young people</w:t>
            </w:r>
          </w:p>
        </w:tc>
      </w:tr>
      <w:tr w:rsidR="0091225E" w:rsidRPr="00EC02CA" w14:paraId="4CFBF11D" w14:textId="77777777" w:rsidTr="00A920EC">
        <w:trPr>
          <w:trHeight w:val="285"/>
        </w:trPr>
        <w:tc>
          <w:tcPr>
            <w:tcW w:w="1696" w:type="dxa"/>
            <w:noWrap/>
            <w:hideMark/>
          </w:tcPr>
          <w:p w14:paraId="3808A9A9" w14:textId="4042026B"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2014</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15</w:t>
            </w:r>
          </w:p>
        </w:tc>
        <w:tc>
          <w:tcPr>
            <w:tcW w:w="1985" w:type="dxa"/>
            <w:noWrap/>
            <w:hideMark/>
          </w:tcPr>
          <w:p w14:paraId="3F61960E"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6</w:t>
            </w:r>
          </w:p>
        </w:tc>
        <w:tc>
          <w:tcPr>
            <w:tcW w:w="1984" w:type="dxa"/>
            <w:noWrap/>
            <w:hideMark/>
          </w:tcPr>
          <w:p w14:paraId="1DC672E0"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218</w:t>
            </w:r>
          </w:p>
        </w:tc>
        <w:tc>
          <w:tcPr>
            <w:tcW w:w="1843" w:type="dxa"/>
            <w:noWrap/>
            <w:hideMark/>
          </w:tcPr>
          <w:p w14:paraId="6131C268"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223</w:t>
            </w:r>
          </w:p>
        </w:tc>
      </w:tr>
      <w:tr w:rsidR="0091225E" w:rsidRPr="00EC02CA" w14:paraId="016E8DBE" w14:textId="77777777" w:rsidTr="00A920EC">
        <w:trPr>
          <w:trHeight w:val="285"/>
        </w:trPr>
        <w:tc>
          <w:tcPr>
            <w:tcW w:w="1696" w:type="dxa"/>
            <w:noWrap/>
            <w:hideMark/>
          </w:tcPr>
          <w:p w14:paraId="785DBD7F" w14:textId="3F639225"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2015</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16</w:t>
            </w:r>
          </w:p>
        </w:tc>
        <w:tc>
          <w:tcPr>
            <w:tcW w:w="1985" w:type="dxa"/>
            <w:noWrap/>
            <w:hideMark/>
          </w:tcPr>
          <w:p w14:paraId="3F3BBAC8"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8</w:t>
            </w:r>
          </w:p>
        </w:tc>
        <w:tc>
          <w:tcPr>
            <w:tcW w:w="1984" w:type="dxa"/>
            <w:noWrap/>
            <w:hideMark/>
          </w:tcPr>
          <w:p w14:paraId="7179580E"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209</w:t>
            </w:r>
          </w:p>
        </w:tc>
        <w:tc>
          <w:tcPr>
            <w:tcW w:w="1843" w:type="dxa"/>
            <w:noWrap/>
            <w:hideMark/>
          </w:tcPr>
          <w:p w14:paraId="57340347"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215</w:t>
            </w:r>
          </w:p>
        </w:tc>
      </w:tr>
      <w:tr w:rsidR="0091225E" w:rsidRPr="00EC02CA" w14:paraId="2876F9CF" w14:textId="77777777" w:rsidTr="00A920EC">
        <w:trPr>
          <w:trHeight w:val="285"/>
        </w:trPr>
        <w:tc>
          <w:tcPr>
            <w:tcW w:w="1696" w:type="dxa"/>
            <w:noWrap/>
            <w:hideMark/>
          </w:tcPr>
          <w:p w14:paraId="0940686D" w14:textId="69EA7606"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2016</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17</w:t>
            </w:r>
          </w:p>
        </w:tc>
        <w:tc>
          <w:tcPr>
            <w:tcW w:w="1985" w:type="dxa"/>
            <w:noWrap/>
            <w:hideMark/>
          </w:tcPr>
          <w:p w14:paraId="06F2CC22"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5</w:t>
            </w:r>
          </w:p>
        </w:tc>
        <w:tc>
          <w:tcPr>
            <w:tcW w:w="1984" w:type="dxa"/>
            <w:noWrap/>
            <w:hideMark/>
          </w:tcPr>
          <w:p w14:paraId="2B8DEB9D"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161</w:t>
            </w:r>
          </w:p>
        </w:tc>
        <w:tc>
          <w:tcPr>
            <w:tcW w:w="1843" w:type="dxa"/>
            <w:noWrap/>
            <w:hideMark/>
          </w:tcPr>
          <w:p w14:paraId="7E94AB27"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165</w:t>
            </w:r>
          </w:p>
        </w:tc>
      </w:tr>
      <w:tr w:rsidR="0091225E" w:rsidRPr="00EC02CA" w14:paraId="2706A619" w14:textId="77777777" w:rsidTr="00A920EC">
        <w:trPr>
          <w:trHeight w:val="285"/>
        </w:trPr>
        <w:tc>
          <w:tcPr>
            <w:tcW w:w="1696" w:type="dxa"/>
            <w:noWrap/>
            <w:hideMark/>
          </w:tcPr>
          <w:p w14:paraId="775A3504" w14:textId="62BEA330"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2017</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18</w:t>
            </w:r>
          </w:p>
        </w:tc>
        <w:tc>
          <w:tcPr>
            <w:tcW w:w="1985" w:type="dxa"/>
            <w:noWrap/>
            <w:hideMark/>
          </w:tcPr>
          <w:p w14:paraId="5AB0CAD8"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6</w:t>
            </w:r>
          </w:p>
        </w:tc>
        <w:tc>
          <w:tcPr>
            <w:tcW w:w="1984" w:type="dxa"/>
            <w:noWrap/>
            <w:hideMark/>
          </w:tcPr>
          <w:p w14:paraId="4B62ABFE"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152</w:t>
            </w:r>
          </w:p>
        </w:tc>
        <w:tc>
          <w:tcPr>
            <w:tcW w:w="1843" w:type="dxa"/>
            <w:noWrap/>
            <w:hideMark/>
          </w:tcPr>
          <w:p w14:paraId="236CFBDA"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158</w:t>
            </w:r>
          </w:p>
        </w:tc>
      </w:tr>
      <w:tr w:rsidR="0091225E" w:rsidRPr="00EC02CA" w14:paraId="7798A0BC" w14:textId="77777777" w:rsidTr="00A920EC">
        <w:trPr>
          <w:trHeight w:val="285"/>
        </w:trPr>
        <w:tc>
          <w:tcPr>
            <w:tcW w:w="1696" w:type="dxa"/>
            <w:noWrap/>
            <w:hideMark/>
          </w:tcPr>
          <w:p w14:paraId="451EE6FF" w14:textId="46874E91"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2018</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19</w:t>
            </w:r>
          </w:p>
        </w:tc>
        <w:tc>
          <w:tcPr>
            <w:tcW w:w="1985" w:type="dxa"/>
            <w:noWrap/>
            <w:hideMark/>
          </w:tcPr>
          <w:p w14:paraId="4D909D47" w14:textId="4FDDDA41" w:rsidR="00821D9C" w:rsidRPr="00EC02CA" w:rsidRDefault="00D47189"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Not published</w:t>
            </w:r>
          </w:p>
        </w:tc>
        <w:tc>
          <w:tcPr>
            <w:tcW w:w="1984" w:type="dxa"/>
            <w:noWrap/>
            <w:hideMark/>
          </w:tcPr>
          <w:p w14:paraId="3FEE8210"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134</w:t>
            </w:r>
          </w:p>
        </w:tc>
        <w:tc>
          <w:tcPr>
            <w:tcW w:w="1843" w:type="dxa"/>
            <w:noWrap/>
            <w:hideMark/>
          </w:tcPr>
          <w:p w14:paraId="3C006E6A"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138</w:t>
            </w:r>
          </w:p>
        </w:tc>
      </w:tr>
      <w:tr w:rsidR="0091225E" w:rsidRPr="00EC02CA" w14:paraId="179D5297" w14:textId="77777777" w:rsidTr="00A920EC">
        <w:trPr>
          <w:trHeight w:val="285"/>
        </w:trPr>
        <w:tc>
          <w:tcPr>
            <w:tcW w:w="1696" w:type="dxa"/>
            <w:noWrap/>
            <w:hideMark/>
          </w:tcPr>
          <w:p w14:paraId="355B5065" w14:textId="0D0AD7B1"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2019</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20</w:t>
            </w:r>
          </w:p>
        </w:tc>
        <w:tc>
          <w:tcPr>
            <w:tcW w:w="1985" w:type="dxa"/>
            <w:noWrap/>
            <w:hideMark/>
          </w:tcPr>
          <w:p w14:paraId="0B281586" w14:textId="7401603D" w:rsidR="00821D9C" w:rsidRPr="00EC02CA" w:rsidRDefault="00D47189"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Not published</w:t>
            </w:r>
          </w:p>
        </w:tc>
        <w:tc>
          <w:tcPr>
            <w:tcW w:w="1984" w:type="dxa"/>
            <w:noWrap/>
            <w:hideMark/>
          </w:tcPr>
          <w:p w14:paraId="1BCE7F90"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138</w:t>
            </w:r>
          </w:p>
        </w:tc>
        <w:tc>
          <w:tcPr>
            <w:tcW w:w="1843" w:type="dxa"/>
            <w:noWrap/>
            <w:hideMark/>
          </w:tcPr>
          <w:p w14:paraId="5C006E89"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141</w:t>
            </w:r>
          </w:p>
        </w:tc>
      </w:tr>
      <w:tr w:rsidR="0091225E" w:rsidRPr="00EC02CA" w14:paraId="7BA11DB1" w14:textId="77777777" w:rsidTr="00A920EC">
        <w:trPr>
          <w:trHeight w:val="285"/>
        </w:trPr>
        <w:tc>
          <w:tcPr>
            <w:tcW w:w="1696" w:type="dxa"/>
            <w:noWrap/>
            <w:hideMark/>
          </w:tcPr>
          <w:p w14:paraId="09763603" w14:textId="73D5F42D"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2020</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21</w:t>
            </w:r>
          </w:p>
        </w:tc>
        <w:tc>
          <w:tcPr>
            <w:tcW w:w="1985" w:type="dxa"/>
            <w:noWrap/>
            <w:hideMark/>
          </w:tcPr>
          <w:p w14:paraId="1702CBB0" w14:textId="72055177" w:rsidR="00821D9C" w:rsidRPr="00EC02CA" w:rsidRDefault="00D47189"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Not published</w:t>
            </w:r>
          </w:p>
        </w:tc>
        <w:tc>
          <w:tcPr>
            <w:tcW w:w="1984" w:type="dxa"/>
            <w:noWrap/>
            <w:hideMark/>
          </w:tcPr>
          <w:p w14:paraId="614CD40F"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135</w:t>
            </w:r>
          </w:p>
        </w:tc>
        <w:tc>
          <w:tcPr>
            <w:tcW w:w="1843" w:type="dxa"/>
            <w:noWrap/>
            <w:hideMark/>
          </w:tcPr>
          <w:p w14:paraId="5B703B55"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137</w:t>
            </w:r>
          </w:p>
        </w:tc>
      </w:tr>
      <w:tr w:rsidR="0091225E" w:rsidRPr="00EC02CA" w14:paraId="2166EC95" w14:textId="77777777" w:rsidTr="00A920EC">
        <w:trPr>
          <w:trHeight w:val="285"/>
        </w:trPr>
        <w:tc>
          <w:tcPr>
            <w:tcW w:w="1696" w:type="dxa"/>
            <w:noWrap/>
            <w:hideMark/>
          </w:tcPr>
          <w:p w14:paraId="6EFD0C21" w14:textId="51132A74"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2021</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22</w:t>
            </w:r>
          </w:p>
        </w:tc>
        <w:tc>
          <w:tcPr>
            <w:tcW w:w="1985" w:type="dxa"/>
            <w:noWrap/>
            <w:hideMark/>
          </w:tcPr>
          <w:p w14:paraId="7CC73F80"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5</w:t>
            </w:r>
          </w:p>
        </w:tc>
        <w:tc>
          <w:tcPr>
            <w:tcW w:w="1984" w:type="dxa"/>
            <w:noWrap/>
            <w:hideMark/>
          </w:tcPr>
          <w:p w14:paraId="02DC18E6"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141</w:t>
            </w:r>
          </w:p>
        </w:tc>
        <w:tc>
          <w:tcPr>
            <w:tcW w:w="1843" w:type="dxa"/>
            <w:noWrap/>
            <w:hideMark/>
          </w:tcPr>
          <w:p w14:paraId="50B3EBB9"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145</w:t>
            </w:r>
          </w:p>
        </w:tc>
      </w:tr>
      <w:tr w:rsidR="0091225E" w:rsidRPr="00EC02CA" w14:paraId="4151CBF8" w14:textId="77777777" w:rsidTr="00A920EC">
        <w:trPr>
          <w:trHeight w:val="285"/>
        </w:trPr>
        <w:tc>
          <w:tcPr>
            <w:tcW w:w="1696" w:type="dxa"/>
            <w:noWrap/>
            <w:hideMark/>
          </w:tcPr>
          <w:p w14:paraId="048EC87B" w14:textId="67509774"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2022</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23</w:t>
            </w:r>
          </w:p>
        </w:tc>
        <w:tc>
          <w:tcPr>
            <w:tcW w:w="1985" w:type="dxa"/>
            <w:noWrap/>
            <w:hideMark/>
          </w:tcPr>
          <w:p w14:paraId="74ADBA92"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0</w:t>
            </w:r>
          </w:p>
        </w:tc>
        <w:tc>
          <w:tcPr>
            <w:tcW w:w="1984" w:type="dxa"/>
            <w:noWrap/>
            <w:hideMark/>
          </w:tcPr>
          <w:p w14:paraId="47DB7377"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135</w:t>
            </w:r>
          </w:p>
        </w:tc>
        <w:tc>
          <w:tcPr>
            <w:tcW w:w="1843" w:type="dxa"/>
            <w:noWrap/>
            <w:hideMark/>
          </w:tcPr>
          <w:p w14:paraId="48E982F5"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135</w:t>
            </w:r>
          </w:p>
        </w:tc>
      </w:tr>
      <w:tr w:rsidR="0091225E" w:rsidRPr="00EC02CA" w14:paraId="5BD94A92" w14:textId="77777777" w:rsidTr="00A920EC">
        <w:trPr>
          <w:trHeight w:val="285"/>
        </w:trPr>
        <w:tc>
          <w:tcPr>
            <w:tcW w:w="1696" w:type="dxa"/>
            <w:noWrap/>
            <w:hideMark/>
          </w:tcPr>
          <w:p w14:paraId="7A0AB033" w14:textId="19CF2BE3" w:rsidR="00821D9C" w:rsidRPr="00EC02CA" w:rsidRDefault="00821D9C"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2023</w:t>
            </w:r>
            <w:r w:rsidR="00483EF9" w:rsidRPr="00EC02CA">
              <w:rPr>
                <w:rFonts w:eastAsia="Times New Roman" w:cs="Times New Roman"/>
                <w:color w:val="000000"/>
                <w:sz w:val="20"/>
                <w:szCs w:val="20"/>
                <w:lang w:eastAsia="en-AU"/>
              </w:rPr>
              <w:t>–</w:t>
            </w:r>
            <w:r w:rsidRPr="00EC02CA">
              <w:rPr>
                <w:rFonts w:eastAsia="Times New Roman" w:cs="Times New Roman"/>
                <w:color w:val="000000"/>
                <w:sz w:val="20"/>
                <w:szCs w:val="20"/>
                <w:lang w:eastAsia="en-AU"/>
              </w:rPr>
              <w:t>24</w:t>
            </w:r>
          </w:p>
        </w:tc>
        <w:tc>
          <w:tcPr>
            <w:tcW w:w="1985" w:type="dxa"/>
            <w:noWrap/>
            <w:hideMark/>
          </w:tcPr>
          <w:p w14:paraId="07167CD5" w14:textId="3BD368C6" w:rsidR="00821D9C" w:rsidRPr="00EC02CA" w:rsidRDefault="00D47189"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Not published</w:t>
            </w:r>
          </w:p>
        </w:tc>
        <w:tc>
          <w:tcPr>
            <w:tcW w:w="1984" w:type="dxa"/>
            <w:noWrap/>
            <w:hideMark/>
          </w:tcPr>
          <w:p w14:paraId="04BFA4DD"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186</w:t>
            </w:r>
          </w:p>
        </w:tc>
        <w:tc>
          <w:tcPr>
            <w:tcW w:w="1843" w:type="dxa"/>
            <w:noWrap/>
            <w:hideMark/>
          </w:tcPr>
          <w:p w14:paraId="47246F94"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186</w:t>
            </w:r>
          </w:p>
        </w:tc>
      </w:tr>
      <w:tr w:rsidR="0091225E" w:rsidRPr="00EC02CA" w14:paraId="6EFCBC85" w14:textId="77777777" w:rsidTr="00A920EC">
        <w:trPr>
          <w:trHeight w:val="285"/>
        </w:trPr>
        <w:tc>
          <w:tcPr>
            <w:tcW w:w="1696" w:type="dxa"/>
            <w:noWrap/>
            <w:hideMark/>
          </w:tcPr>
          <w:p w14:paraId="3A0E99A8" w14:textId="38674E72" w:rsidR="00821D9C" w:rsidRPr="00EC02CA" w:rsidRDefault="0091225E" w:rsidP="00A920EC">
            <w:pPr>
              <w:keepNext/>
              <w:keepLines/>
              <w:spacing w:before="60" w:after="60"/>
              <w:jc w:val="left"/>
              <w:rPr>
                <w:rFonts w:eastAsia="Times New Roman" w:cs="Times New Roman"/>
                <w:color w:val="000000"/>
                <w:sz w:val="20"/>
                <w:szCs w:val="20"/>
                <w:lang w:eastAsia="en-AU"/>
              </w:rPr>
            </w:pPr>
            <w:r w:rsidRPr="00EC02CA">
              <w:rPr>
                <w:rFonts w:eastAsia="Times New Roman" w:cs="Times New Roman"/>
                <w:color w:val="000000"/>
                <w:sz w:val="20"/>
                <w:szCs w:val="20"/>
                <w:lang w:eastAsia="en-AU"/>
              </w:rPr>
              <w:t>Total</w:t>
            </w:r>
          </w:p>
        </w:tc>
        <w:tc>
          <w:tcPr>
            <w:tcW w:w="1985" w:type="dxa"/>
            <w:noWrap/>
            <w:hideMark/>
          </w:tcPr>
          <w:p w14:paraId="5D299AF8"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33</w:t>
            </w:r>
          </w:p>
        </w:tc>
        <w:tc>
          <w:tcPr>
            <w:tcW w:w="1984" w:type="dxa"/>
            <w:noWrap/>
            <w:hideMark/>
          </w:tcPr>
          <w:p w14:paraId="202B0D3D"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1151</w:t>
            </w:r>
          </w:p>
        </w:tc>
        <w:tc>
          <w:tcPr>
            <w:tcW w:w="1843" w:type="dxa"/>
            <w:noWrap/>
            <w:hideMark/>
          </w:tcPr>
          <w:p w14:paraId="2EA79B47" w14:textId="77777777" w:rsidR="00821D9C" w:rsidRPr="00EC02CA" w:rsidRDefault="00821D9C"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1178</w:t>
            </w:r>
          </w:p>
        </w:tc>
      </w:tr>
    </w:tbl>
    <w:p w14:paraId="5C3CA848" w14:textId="7E2E8911" w:rsidR="00821D9C" w:rsidRPr="00EC02CA" w:rsidRDefault="00352A49" w:rsidP="00A920EC">
      <w:pPr>
        <w:keepNext/>
        <w:keepLines/>
        <w:spacing w:before="120"/>
        <w:rPr>
          <w:i/>
          <w:iCs/>
        </w:rPr>
      </w:pPr>
      <w:r w:rsidRPr="00EC02CA">
        <w:rPr>
          <w:i/>
          <w:iCs/>
        </w:rPr>
        <w:t>Source: Unpublished data</w:t>
      </w:r>
      <w:r w:rsidR="003770C1" w:rsidRPr="00EC02CA">
        <w:rPr>
          <w:i/>
          <w:iCs/>
        </w:rPr>
        <w:t>,</w:t>
      </w:r>
      <w:r w:rsidRPr="00EC02CA">
        <w:rPr>
          <w:i/>
          <w:iCs/>
        </w:rPr>
        <w:t xml:space="preserve"> DECYP</w:t>
      </w:r>
      <w:r w:rsidRPr="00EC02CA">
        <w:rPr>
          <w:rStyle w:val="FootnoteReference"/>
        </w:rPr>
        <w:footnoteReference w:id="692"/>
      </w:r>
    </w:p>
    <w:p w14:paraId="5674A60A" w14:textId="601E8E3E" w:rsidR="00144913" w:rsidRPr="00EC02CA" w:rsidRDefault="00144913" w:rsidP="002F0007">
      <w:pPr>
        <w:pStyle w:val="NormalNumberedTextTLRI"/>
      </w:pPr>
      <w:r w:rsidRPr="00EC02CA">
        <w:t>Given the small number of mat</w:t>
      </w:r>
      <w:r w:rsidR="004E01F3" w:rsidRPr="00EC02CA">
        <w:t>t</w:t>
      </w:r>
      <w:r w:rsidRPr="00EC02CA">
        <w:t xml:space="preserve">ers where community </w:t>
      </w:r>
      <w:r w:rsidR="001B113C" w:rsidRPr="00EC02CA">
        <w:t>conferences</w:t>
      </w:r>
      <w:r w:rsidRPr="00EC02CA">
        <w:t xml:space="preserve"> </w:t>
      </w:r>
      <w:r w:rsidR="001B113C" w:rsidRPr="00EC02CA">
        <w:t xml:space="preserve">are convened for sexual offences, sexual offence type has been aggregated over the reporting period, and as with Tasmania Police data, </w:t>
      </w:r>
      <w:r w:rsidR="00965607" w:rsidRPr="00EC02CA">
        <w:t xml:space="preserve">these data </w:t>
      </w:r>
      <w:r w:rsidR="001B113C" w:rsidRPr="00EC02CA">
        <w:t>show that contact sexual offe</w:t>
      </w:r>
      <w:r w:rsidR="004E01F3" w:rsidRPr="00EC02CA">
        <w:t>nces are</w:t>
      </w:r>
      <w:r w:rsidR="0041715C" w:rsidRPr="00EC02CA">
        <w:t xml:space="preserve"> the most common sexual offence type for which community conferences are convened.</w:t>
      </w:r>
    </w:p>
    <w:p w14:paraId="1E10CB51" w14:textId="5AC61247" w:rsidR="00821D9C" w:rsidRPr="00EC02CA" w:rsidRDefault="00821D9C" w:rsidP="00A920EC">
      <w:pPr>
        <w:keepNext/>
        <w:keepLines/>
      </w:pPr>
      <w:r w:rsidRPr="00EC02CA">
        <w:rPr>
          <w:b/>
          <w:bCs/>
        </w:rPr>
        <w:t xml:space="preserve">Table </w:t>
      </w:r>
      <w:r w:rsidR="00A46231" w:rsidRPr="00EC02CA">
        <w:rPr>
          <w:b/>
          <w:bCs/>
        </w:rPr>
        <w:t>7.2</w:t>
      </w:r>
      <w:r w:rsidRPr="00EC02CA">
        <w:t xml:space="preserve"> Sexual offence types for young people with an open Youth Justice Community Conference</w:t>
      </w:r>
      <w:r w:rsidR="000B6656" w:rsidRPr="00EC02CA">
        <w:t xml:space="preserve">, </w:t>
      </w:r>
      <w:r w:rsidRPr="00EC02CA">
        <w:t>2014</w:t>
      </w:r>
      <w:r w:rsidR="000B6656" w:rsidRPr="00EC02CA">
        <w:t>–15</w:t>
      </w:r>
      <w:r w:rsidRPr="00EC02CA">
        <w:t xml:space="preserve"> </w:t>
      </w:r>
      <w:r w:rsidR="000B6656" w:rsidRPr="00EC02CA">
        <w:t>to 2023–</w:t>
      </w:r>
      <w:r w:rsidRPr="00EC02CA">
        <w:t>24</w:t>
      </w: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126"/>
      </w:tblGrid>
      <w:tr w:rsidR="00E162C5" w:rsidRPr="00EC02CA" w14:paraId="1B23FB20" w14:textId="77777777" w:rsidTr="00A920EC">
        <w:trPr>
          <w:trHeight w:val="570"/>
        </w:trPr>
        <w:tc>
          <w:tcPr>
            <w:tcW w:w="2972" w:type="dxa"/>
            <w:vAlign w:val="center"/>
            <w:hideMark/>
          </w:tcPr>
          <w:p w14:paraId="1D20C163" w14:textId="7BB81C9C" w:rsidR="00E162C5" w:rsidRPr="00EC02CA" w:rsidRDefault="00E162C5" w:rsidP="00A920EC">
            <w:pPr>
              <w:keepNext/>
              <w:keepLines/>
              <w:spacing w:before="60" w:after="60"/>
              <w:jc w:val="left"/>
              <w:rPr>
                <w:rFonts w:eastAsia="Times New Roman" w:cs="Times New Roman"/>
                <w:b/>
                <w:bCs/>
                <w:color w:val="000000"/>
                <w:sz w:val="20"/>
                <w:szCs w:val="20"/>
                <w:vertAlign w:val="superscript"/>
                <w:lang w:eastAsia="en-AU"/>
              </w:rPr>
            </w:pPr>
            <w:r w:rsidRPr="00EC02CA">
              <w:rPr>
                <w:rFonts w:eastAsia="Times New Roman" w:cs="Times New Roman"/>
                <w:b/>
                <w:bCs/>
                <w:color w:val="000000"/>
                <w:sz w:val="20"/>
                <w:szCs w:val="20"/>
                <w:lang w:eastAsia="en-AU"/>
              </w:rPr>
              <w:t xml:space="preserve">Offence </w:t>
            </w:r>
            <w:r w:rsidR="0091225E" w:rsidRPr="00EC02CA">
              <w:rPr>
                <w:rFonts w:eastAsia="Times New Roman" w:cs="Times New Roman"/>
                <w:b/>
                <w:bCs/>
                <w:color w:val="000000"/>
                <w:sz w:val="20"/>
                <w:szCs w:val="20"/>
                <w:lang w:eastAsia="en-AU"/>
              </w:rPr>
              <w:t>d</w:t>
            </w:r>
            <w:r w:rsidRPr="00EC02CA">
              <w:rPr>
                <w:rFonts w:eastAsia="Times New Roman" w:cs="Times New Roman"/>
                <w:b/>
                <w:bCs/>
                <w:color w:val="000000"/>
                <w:sz w:val="20"/>
                <w:szCs w:val="20"/>
                <w:lang w:eastAsia="en-AU"/>
              </w:rPr>
              <w:t>escription</w:t>
            </w:r>
          </w:p>
        </w:tc>
        <w:tc>
          <w:tcPr>
            <w:tcW w:w="2126" w:type="dxa"/>
            <w:vAlign w:val="center"/>
            <w:hideMark/>
          </w:tcPr>
          <w:p w14:paraId="0CA7C457" w14:textId="04BF6A49" w:rsidR="00E162C5" w:rsidRPr="00EC02CA" w:rsidRDefault="00E162C5" w:rsidP="00AB59E8">
            <w:pPr>
              <w:keepNext/>
              <w:keepLines/>
              <w:spacing w:before="60" w:after="60"/>
              <w:jc w:val="center"/>
              <w:rPr>
                <w:rFonts w:eastAsia="Times New Roman" w:cs="Times New Roman"/>
                <w:b/>
                <w:bCs/>
                <w:color w:val="000000"/>
                <w:sz w:val="20"/>
                <w:szCs w:val="20"/>
                <w:lang w:eastAsia="en-AU"/>
              </w:rPr>
            </w:pPr>
            <w:r w:rsidRPr="00EC02CA">
              <w:rPr>
                <w:rFonts w:eastAsia="Times New Roman" w:cs="Times New Roman"/>
                <w:b/>
                <w:bCs/>
                <w:color w:val="000000"/>
                <w:sz w:val="20"/>
                <w:szCs w:val="20"/>
                <w:lang w:eastAsia="en-AU"/>
              </w:rPr>
              <w:t xml:space="preserve">Distinct </w:t>
            </w:r>
            <w:r w:rsidR="0091225E" w:rsidRPr="00EC02CA">
              <w:rPr>
                <w:rFonts w:eastAsia="Times New Roman" w:cs="Times New Roman"/>
                <w:b/>
                <w:bCs/>
                <w:color w:val="000000"/>
                <w:sz w:val="20"/>
                <w:szCs w:val="20"/>
                <w:lang w:eastAsia="en-AU"/>
              </w:rPr>
              <w:t>n</w:t>
            </w:r>
            <w:r w:rsidRPr="00EC02CA">
              <w:rPr>
                <w:rFonts w:eastAsia="Times New Roman" w:cs="Times New Roman"/>
                <w:b/>
                <w:bCs/>
                <w:color w:val="000000"/>
                <w:sz w:val="20"/>
                <w:szCs w:val="20"/>
                <w:lang w:eastAsia="en-AU"/>
              </w:rPr>
              <w:t xml:space="preserve">umber of </w:t>
            </w:r>
            <w:r w:rsidR="0091225E" w:rsidRPr="00EC02CA">
              <w:rPr>
                <w:rFonts w:eastAsia="Times New Roman" w:cs="Times New Roman"/>
                <w:b/>
                <w:bCs/>
                <w:color w:val="000000"/>
                <w:sz w:val="20"/>
                <w:szCs w:val="20"/>
                <w:lang w:eastAsia="en-AU"/>
              </w:rPr>
              <w:t>y</w:t>
            </w:r>
            <w:r w:rsidRPr="00EC02CA">
              <w:rPr>
                <w:rFonts w:eastAsia="Times New Roman" w:cs="Times New Roman"/>
                <w:b/>
                <w:bCs/>
                <w:color w:val="000000"/>
                <w:sz w:val="20"/>
                <w:szCs w:val="20"/>
                <w:lang w:eastAsia="en-AU"/>
              </w:rPr>
              <w:t xml:space="preserve">oung </w:t>
            </w:r>
            <w:r w:rsidR="0091225E" w:rsidRPr="00EC02CA">
              <w:rPr>
                <w:rFonts w:eastAsia="Times New Roman" w:cs="Times New Roman"/>
                <w:b/>
                <w:bCs/>
                <w:color w:val="000000"/>
                <w:sz w:val="20"/>
                <w:szCs w:val="20"/>
                <w:lang w:eastAsia="en-AU"/>
              </w:rPr>
              <w:t>p</w:t>
            </w:r>
            <w:r w:rsidRPr="00EC02CA">
              <w:rPr>
                <w:rFonts w:eastAsia="Times New Roman" w:cs="Times New Roman"/>
                <w:b/>
                <w:bCs/>
                <w:color w:val="000000"/>
                <w:sz w:val="20"/>
                <w:szCs w:val="20"/>
                <w:lang w:eastAsia="en-AU"/>
              </w:rPr>
              <w:t>eople</w:t>
            </w:r>
          </w:p>
        </w:tc>
      </w:tr>
      <w:tr w:rsidR="00E162C5" w:rsidRPr="00EC02CA" w14:paraId="5BFC4F49" w14:textId="77777777" w:rsidTr="00A920EC">
        <w:trPr>
          <w:trHeight w:val="285"/>
        </w:trPr>
        <w:tc>
          <w:tcPr>
            <w:tcW w:w="2972" w:type="dxa"/>
            <w:noWrap/>
            <w:vAlign w:val="bottom"/>
            <w:hideMark/>
          </w:tcPr>
          <w:p w14:paraId="2E8FC4B6" w14:textId="77777777" w:rsidR="00E162C5" w:rsidRPr="00EC02CA" w:rsidRDefault="00E162C5"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Child abuse material offences</w:t>
            </w:r>
          </w:p>
        </w:tc>
        <w:tc>
          <w:tcPr>
            <w:tcW w:w="2126" w:type="dxa"/>
            <w:noWrap/>
            <w:vAlign w:val="bottom"/>
            <w:hideMark/>
          </w:tcPr>
          <w:p w14:paraId="5C7A542E" w14:textId="77777777" w:rsidR="00E162C5" w:rsidRPr="00EC02CA" w:rsidRDefault="00E162C5"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5</w:t>
            </w:r>
          </w:p>
        </w:tc>
      </w:tr>
      <w:tr w:rsidR="00E162C5" w:rsidRPr="00EC02CA" w14:paraId="6EFF437C" w14:textId="77777777" w:rsidTr="00A920EC">
        <w:trPr>
          <w:trHeight w:val="285"/>
        </w:trPr>
        <w:tc>
          <w:tcPr>
            <w:tcW w:w="2972" w:type="dxa"/>
            <w:noWrap/>
            <w:vAlign w:val="bottom"/>
            <w:hideMark/>
          </w:tcPr>
          <w:p w14:paraId="6EFC37FE" w14:textId="7298DB1D" w:rsidR="00E162C5" w:rsidRPr="00EC02CA" w:rsidRDefault="00E162C5"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Indecent Assault</w:t>
            </w:r>
          </w:p>
        </w:tc>
        <w:tc>
          <w:tcPr>
            <w:tcW w:w="2126" w:type="dxa"/>
            <w:noWrap/>
            <w:vAlign w:val="bottom"/>
            <w:hideMark/>
          </w:tcPr>
          <w:p w14:paraId="5CFCF2E6" w14:textId="77777777" w:rsidR="00E162C5" w:rsidRPr="00EC02CA" w:rsidRDefault="00E162C5"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9</w:t>
            </w:r>
          </w:p>
        </w:tc>
      </w:tr>
      <w:tr w:rsidR="00E162C5" w:rsidRPr="00EC02CA" w14:paraId="2F211ECA" w14:textId="77777777" w:rsidTr="00A920EC">
        <w:trPr>
          <w:trHeight w:val="285"/>
        </w:trPr>
        <w:tc>
          <w:tcPr>
            <w:tcW w:w="2972" w:type="dxa"/>
            <w:noWrap/>
            <w:vAlign w:val="bottom"/>
            <w:hideMark/>
          </w:tcPr>
          <w:p w14:paraId="3A236C84" w14:textId="77777777" w:rsidR="00E162C5" w:rsidRPr="00EC02CA" w:rsidRDefault="00E162C5"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Other sexual offences</w:t>
            </w:r>
          </w:p>
        </w:tc>
        <w:tc>
          <w:tcPr>
            <w:tcW w:w="2126" w:type="dxa"/>
            <w:noWrap/>
            <w:vAlign w:val="bottom"/>
            <w:hideMark/>
          </w:tcPr>
          <w:p w14:paraId="7C06E236" w14:textId="77777777" w:rsidR="00E162C5" w:rsidRPr="00EC02CA" w:rsidRDefault="00E162C5"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17</w:t>
            </w:r>
          </w:p>
        </w:tc>
      </w:tr>
      <w:tr w:rsidR="00E162C5" w:rsidRPr="00EC02CA" w14:paraId="3870199F" w14:textId="77777777" w:rsidTr="00A920EC">
        <w:trPr>
          <w:trHeight w:val="285"/>
        </w:trPr>
        <w:tc>
          <w:tcPr>
            <w:tcW w:w="2972" w:type="dxa"/>
            <w:noWrap/>
            <w:vAlign w:val="bottom"/>
            <w:hideMark/>
          </w:tcPr>
          <w:p w14:paraId="34808466" w14:textId="77777777" w:rsidR="00E162C5" w:rsidRPr="00EC02CA" w:rsidRDefault="00E162C5"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Sexual assault of a child</w:t>
            </w:r>
          </w:p>
        </w:tc>
        <w:tc>
          <w:tcPr>
            <w:tcW w:w="2126" w:type="dxa"/>
            <w:noWrap/>
            <w:vAlign w:val="bottom"/>
            <w:hideMark/>
          </w:tcPr>
          <w:p w14:paraId="41641B17" w14:textId="77777777" w:rsidR="00E162C5" w:rsidRPr="00EC02CA" w:rsidRDefault="00E162C5"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8</w:t>
            </w:r>
          </w:p>
        </w:tc>
      </w:tr>
      <w:tr w:rsidR="00E162C5" w:rsidRPr="00EC02CA" w14:paraId="72D9F5C4" w14:textId="77777777" w:rsidTr="00A920EC">
        <w:trPr>
          <w:trHeight w:val="285"/>
        </w:trPr>
        <w:tc>
          <w:tcPr>
            <w:tcW w:w="2972" w:type="dxa"/>
            <w:noWrap/>
            <w:vAlign w:val="bottom"/>
            <w:hideMark/>
          </w:tcPr>
          <w:p w14:paraId="2275216E" w14:textId="3E5D1B0E" w:rsidR="00E162C5" w:rsidRPr="00EC02CA" w:rsidRDefault="0091225E" w:rsidP="00A920EC">
            <w:pPr>
              <w:keepNext/>
              <w:keepLines/>
              <w:spacing w:before="60" w:after="60"/>
              <w:rPr>
                <w:rFonts w:eastAsia="Times New Roman" w:cs="Times New Roman"/>
                <w:color w:val="000000"/>
                <w:sz w:val="20"/>
                <w:szCs w:val="20"/>
                <w:lang w:eastAsia="en-AU"/>
              </w:rPr>
            </w:pPr>
            <w:r w:rsidRPr="00EC02CA">
              <w:rPr>
                <w:rFonts w:eastAsia="Times New Roman" w:cs="Times New Roman"/>
                <w:color w:val="000000"/>
                <w:sz w:val="20"/>
                <w:szCs w:val="20"/>
                <w:lang w:eastAsia="en-AU"/>
              </w:rPr>
              <w:t>Total</w:t>
            </w:r>
          </w:p>
        </w:tc>
        <w:tc>
          <w:tcPr>
            <w:tcW w:w="2126" w:type="dxa"/>
            <w:noWrap/>
            <w:vAlign w:val="bottom"/>
            <w:hideMark/>
          </w:tcPr>
          <w:p w14:paraId="02903F53" w14:textId="77777777" w:rsidR="00E162C5" w:rsidRPr="00EC02CA" w:rsidRDefault="00E162C5" w:rsidP="00A920EC">
            <w:pPr>
              <w:keepNext/>
              <w:keepLines/>
              <w:spacing w:before="60" w:after="60"/>
              <w:jc w:val="right"/>
              <w:rPr>
                <w:rFonts w:eastAsia="Times New Roman" w:cs="Times New Roman"/>
                <w:color w:val="000000"/>
                <w:sz w:val="20"/>
                <w:szCs w:val="20"/>
                <w:lang w:eastAsia="en-AU"/>
              </w:rPr>
            </w:pPr>
            <w:r w:rsidRPr="00EC02CA">
              <w:rPr>
                <w:rFonts w:eastAsia="Times New Roman" w:cs="Times New Roman"/>
                <w:color w:val="000000"/>
                <w:sz w:val="20"/>
                <w:szCs w:val="20"/>
                <w:lang w:eastAsia="en-AU"/>
              </w:rPr>
              <w:t>33</w:t>
            </w:r>
          </w:p>
        </w:tc>
      </w:tr>
    </w:tbl>
    <w:p w14:paraId="2EB65D43" w14:textId="2C7A1906" w:rsidR="00821D9C" w:rsidRPr="00EC02CA" w:rsidRDefault="0083228A" w:rsidP="00A920EC">
      <w:pPr>
        <w:keepNext/>
        <w:keepLines/>
        <w:spacing w:before="120"/>
      </w:pPr>
      <w:r w:rsidRPr="00EC02CA">
        <w:rPr>
          <w:i/>
          <w:iCs/>
        </w:rPr>
        <w:t>Source: Unpublished data</w:t>
      </w:r>
      <w:r w:rsidR="00965607" w:rsidRPr="00EC02CA">
        <w:rPr>
          <w:i/>
          <w:iCs/>
        </w:rPr>
        <w:t>,</w:t>
      </w:r>
      <w:r w:rsidRPr="00EC02CA">
        <w:rPr>
          <w:i/>
          <w:iCs/>
        </w:rPr>
        <w:t xml:space="preserve"> DECYP</w:t>
      </w:r>
      <w:r w:rsidRPr="00EC02CA">
        <w:rPr>
          <w:rStyle w:val="FootnoteReference"/>
        </w:rPr>
        <w:footnoteReference w:id="693"/>
      </w:r>
    </w:p>
    <w:p w14:paraId="4C07E6E1" w14:textId="14E3CC31" w:rsidR="006B5BF8" w:rsidRPr="00EC02CA" w:rsidRDefault="006840B2" w:rsidP="002F0007">
      <w:pPr>
        <w:pStyle w:val="NormalNumberedTextTLRI"/>
      </w:pPr>
      <w:r w:rsidRPr="00EC02CA">
        <w:t>Previous Tasmanian research</w:t>
      </w:r>
      <w:r w:rsidR="004E0183" w:rsidRPr="00EC02CA">
        <w:t xml:space="preserve"> on youth offenders </w:t>
      </w:r>
      <w:r w:rsidRPr="00EC02CA">
        <w:t>reported that c</w:t>
      </w:r>
      <w:r w:rsidR="00EC57AF" w:rsidRPr="00EC02CA">
        <w:t xml:space="preserve">ommunity conferences </w:t>
      </w:r>
      <w:r w:rsidRPr="00EC02CA">
        <w:t>we</w:t>
      </w:r>
      <w:r w:rsidR="00EC57AF" w:rsidRPr="00EC02CA">
        <w:t>re used predominantly for crime offences,</w:t>
      </w:r>
      <w:r w:rsidR="00EC57AF" w:rsidRPr="00EC02CA">
        <w:rPr>
          <w:vertAlign w:val="superscript"/>
        </w:rPr>
        <w:footnoteReference w:id="694"/>
      </w:r>
      <w:r w:rsidR="00EC57AF" w:rsidRPr="00EC02CA">
        <w:t>with stealing, assault and injury to property being the most common offence subcategories.</w:t>
      </w:r>
      <w:r w:rsidR="00EC57AF" w:rsidRPr="00EC02CA">
        <w:rPr>
          <w:vertAlign w:val="superscript"/>
        </w:rPr>
        <w:footnoteReference w:id="695"/>
      </w:r>
    </w:p>
    <w:p w14:paraId="142BDE29" w14:textId="77777777" w:rsidR="00D17366" w:rsidRPr="00EC02CA" w:rsidRDefault="00D17366" w:rsidP="00D17366">
      <w:pPr>
        <w:pStyle w:val="NumberedHeadingTLRI"/>
      </w:pPr>
      <w:bookmarkStart w:id="368" w:name="_Toc211849437"/>
      <w:bookmarkStart w:id="369" w:name="_Toc218157339"/>
      <w:bookmarkStart w:id="370" w:name="_Ref218242097"/>
      <w:r w:rsidRPr="00EC02CA">
        <w:t>TLRI Interviews</w:t>
      </w:r>
      <w:bookmarkEnd w:id="368"/>
      <w:bookmarkEnd w:id="369"/>
      <w:bookmarkEnd w:id="370"/>
    </w:p>
    <w:p w14:paraId="1B26E010" w14:textId="2CFBDBF3" w:rsidR="00EC7D23" w:rsidRPr="00EC02CA" w:rsidRDefault="00882C32" w:rsidP="002F0007">
      <w:pPr>
        <w:pStyle w:val="NormalNumberedTextTLRI"/>
        <w:rPr>
          <w:u w:val="single"/>
        </w:rPr>
      </w:pPr>
      <w:r w:rsidRPr="00EC02CA">
        <w:t>In the interviews conducted by the TLRI, d</w:t>
      </w:r>
      <w:r w:rsidR="00D17366" w:rsidRPr="00EC02CA">
        <w:t>iversion</w:t>
      </w:r>
      <w:r w:rsidRPr="00EC02CA">
        <w:t xml:space="preserve"> (</w:t>
      </w:r>
      <w:r w:rsidR="00D17366" w:rsidRPr="00EC02CA">
        <w:t>including conferences and cautions</w:t>
      </w:r>
      <w:r w:rsidRPr="00EC02CA">
        <w:t>)</w:t>
      </w:r>
      <w:r w:rsidR="00D17366" w:rsidRPr="00EC02CA">
        <w:t xml:space="preserve"> was discussed in 2</w:t>
      </w:r>
      <w:r w:rsidR="009667AF" w:rsidRPr="00EC02CA">
        <w:t>5</w:t>
      </w:r>
      <w:r w:rsidR="00D17366" w:rsidRPr="00EC02CA">
        <w:t xml:space="preserve"> interviews. In ten of these interviews, interviewees had some direct experience with</w:t>
      </w:r>
      <w:r w:rsidR="00965607" w:rsidRPr="00EC02CA">
        <w:t>,</w:t>
      </w:r>
      <w:r w:rsidR="00D17366" w:rsidRPr="00EC02CA">
        <w:t xml:space="preserve"> or knowledge of</w:t>
      </w:r>
      <w:r w:rsidR="00965607" w:rsidRPr="00EC02CA">
        <w:t>,</w:t>
      </w:r>
      <w:r w:rsidR="00D17366" w:rsidRPr="00EC02CA">
        <w:t xml:space="preserve"> the use of diversion for sexual offending</w:t>
      </w:r>
      <w:r w:rsidR="009077B1" w:rsidRPr="00EC02CA">
        <w:t xml:space="preserve">. </w:t>
      </w:r>
    </w:p>
    <w:p w14:paraId="641F06A3" w14:textId="48242C29" w:rsidR="00B151CE" w:rsidRPr="00EC02CA" w:rsidRDefault="00C865DD" w:rsidP="002F0007">
      <w:pPr>
        <w:pStyle w:val="NormalNumberedTextTLRI"/>
        <w:rPr>
          <w:u w:val="single"/>
        </w:rPr>
      </w:pPr>
      <w:r w:rsidRPr="00EC02CA">
        <w:t xml:space="preserve">There was </w:t>
      </w:r>
      <w:r w:rsidR="00542533" w:rsidRPr="00EC02CA">
        <w:t xml:space="preserve">general </w:t>
      </w:r>
      <w:r w:rsidRPr="00EC02CA">
        <w:t xml:space="preserve">support for the use of diversion for </w:t>
      </w:r>
      <w:r w:rsidR="00F779F2" w:rsidRPr="00EC02CA">
        <w:t>less serious sexual offences</w:t>
      </w:r>
      <w:r w:rsidR="00965607" w:rsidRPr="00EC02CA">
        <w:t>,</w:t>
      </w:r>
      <w:r w:rsidR="00F779F2" w:rsidRPr="00EC02CA">
        <w:t xml:space="preserve"> with </w:t>
      </w:r>
      <w:r w:rsidR="00BA7EE1" w:rsidRPr="00EC02CA">
        <w:t>view</w:t>
      </w:r>
      <w:r w:rsidR="000B7DE4" w:rsidRPr="00EC02CA">
        <w:t>s</w:t>
      </w:r>
      <w:r w:rsidR="00BA7EE1" w:rsidRPr="00EC02CA">
        <w:t xml:space="preserve"> expressed that there </w:t>
      </w:r>
      <w:r w:rsidR="000B7DE4" w:rsidRPr="00EC02CA">
        <w:t>was scope for</w:t>
      </w:r>
      <w:r w:rsidR="00BA7EE1" w:rsidRPr="00EC02CA">
        <w:t xml:space="preserve"> </w:t>
      </w:r>
      <w:r w:rsidR="008B3334" w:rsidRPr="00EC02CA">
        <w:t>greater use of diversionary procedures</w:t>
      </w:r>
      <w:r w:rsidR="0066143B" w:rsidRPr="00EC02CA">
        <w:t xml:space="preserve"> </w:t>
      </w:r>
      <w:r w:rsidR="007F1A68" w:rsidRPr="00EC02CA">
        <w:t>to</w:t>
      </w:r>
      <w:r w:rsidR="008B3334" w:rsidRPr="00EC02CA">
        <w:t xml:space="preserve"> impress upon a young person the seriousness of their conduct, as well as to provide </w:t>
      </w:r>
      <w:r w:rsidR="006C13A3" w:rsidRPr="00EC02CA">
        <w:t xml:space="preserve">a tangible justice response from the perspective of </w:t>
      </w:r>
      <w:r w:rsidR="003C2332" w:rsidRPr="00EC02CA">
        <w:t>victim-survivors</w:t>
      </w:r>
      <w:r w:rsidR="009077B1" w:rsidRPr="00EC02CA">
        <w:t>.</w:t>
      </w:r>
    </w:p>
    <w:p w14:paraId="71F674DA" w14:textId="021D410E" w:rsidR="00D17366" w:rsidRPr="00EC02CA" w:rsidRDefault="00A9577D" w:rsidP="002F0007">
      <w:pPr>
        <w:pStyle w:val="NormalNumberedTextTLRI"/>
        <w:rPr>
          <w:u w:val="single"/>
        </w:rPr>
      </w:pPr>
      <w:r w:rsidRPr="00EC02CA">
        <w:t>Interviewees discussed the use of</w:t>
      </w:r>
      <w:r w:rsidR="00D17366" w:rsidRPr="00EC02CA">
        <w:t xml:space="preserve"> police diversion </w:t>
      </w:r>
      <w:r w:rsidR="00B151CE" w:rsidRPr="00EC02CA">
        <w:t xml:space="preserve">(informal cautions and formal cautions) </w:t>
      </w:r>
      <w:r w:rsidR="00D17366" w:rsidRPr="00EC02CA">
        <w:t>for low</w:t>
      </w:r>
      <w:r w:rsidR="00B567A3" w:rsidRPr="00EC02CA">
        <w:t>-</w:t>
      </w:r>
      <w:r w:rsidR="00D17366" w:rsidRPr="00EC02CA">
        <w:t xml:space="preserve">level offences, such as </w:t>
      </w:r>
      <w:r w:rsidR="00B151CE" w:rsidRPr="00EC02CA">
        <w:t xml:space="preserve">some </w:t>
      </w:r>
      <w:r w:rsidR="00D17366" w:rsidRPr="00EC02CA">
        <w:t>online offending</w:t>
      </w:r>
      <w:r w:rsidR="00E12692" w:rsidRPr="00EC02CA">
        <w:t xml:space="preserve">, with a focus on providing an </w:t>
      </w:r>
      <w:r w:rsidRPr="00EC02CA">
        <w:t xml:space="preserve">appropriate </w:t>
      </w:r>
      <w:r w:rsidR="00E12692" w:rsidRPr="00EC02CA">
        <w:t>educative response:</w:t>
      </w:r>
    </w:p>
    <w:p w14:paraId="1C2C0194" w14:textId="4336DD4E" w:rsidR="00D17366" w:rsidRPr="00EC02CA" w:rsidRDefault="00D17366" w:rsidP="00A920EC">
      <w:pPr>
        <w:pStyle w:val="Indentedquote"/>
      </w:pPr>
      <w:r w:rsidRPr="00EC02CA">
        <w:t>I was aware of diversionary practices being used in a youth justice context, but it was very much</w:t>
      </w:r>
      <w:r w:rsidR="005D3C45" w:rsidRPr="00EC02CA">
        <w:t xml:space="preserve"> s</w:t>
      </w:r>
      <w:r w:rsidRPr="00EC02CA">
        <w:t>ubject to how serious the allegations were, and rightfully so, I might add</w:t>
      </w:r>
      <w:r w:rsidR="00965607" w:rsidRPr="00EC02CA">
        <w:t>.</w:t>
      </w:r>
      <w:r w:rsidRPr="00EC02CA">
        <w:t xml:space="preserve"> </w:t>
      </w:r>
      <w:r w:rsidR="00965607" w:rsidRPr="00EC02CA">
        <w:t>I</w:t>
      </w:r>
      <w:r w:rsidRPr="00EC02CA">
        <w:t>f</w:t>
      </w:r>
      <w:r w:rsidR="00096123" w:rsidRPr="00EC02CA">
        <w:t xml:space="preserve"> </w:t>
      </w:r>
      <w:r w:rsidRPr="00EC02CA">
        <w:t>they</w:t>
      </w:r>
      <w:r w:rsidR="00965607" w:rsidRPr="00EC02CA">
        <w:t>’</w:t>
      </w:r>
      <w:r w:rsidRPr="00EC02CA">
        <w:t>re very serious allegations they shouldn</w:t>
      </w:r>
      <w:r w:rsidR="00DC7AC6" w:rsidRPr="00EC02CA">
        <w:t>’</w:t>
      </w:r>
      <w:r w:rsidRPr="00EC02CA">
        <w:t xml:space="preserve">t be dealt with on a diversionary basis, but if they were allegations around that sort of posting of photographs, </w:t>
      </w:r>
      <w:r w:rsidR="00965607" w:rsidRPr="00EC02CA">
        <w:t>etc.</w:t>
      </w:r>
      <w:r w:rsidRPr="00EC02CA">
        <w:t>, on social media, I</w:t>
      </w:r>
      <w:r w:rsidR="00DC7AC6" w:rsidRPr="00EC02CA">
        <w:t>’</w:t>
      </w:r>
      <w:r w:rsidRPr="00EC02CA">
        <w:t>m aware of a couple of instances where those sorts of things were dealt with on a diversionary basis.</w:t>
      </w:r>
      <w:r w:rsidR="00B737BF" w:rsidRPr="00EC02CA">
        <w:t xml:space="preserve"> </w:t>
      </w:r>
      <w:r w:rsidRPr="00EC02CA">
        <w:t>And I can recall one in particular that I was informed about had resolved by way of both the victim and the perpetrator attending at a conference</w:t>
      </w:r>
      <w:r w:rsidR="00965607" w:rsidRPr="00EC02CA">
        <w:t xml:space="preserve"> [with] a</w:t>
      </w:r>
      <w:r w:rsidRPr="00EC02CA">
        <w:t>pologies being made, explanations being offered as to the impact the crime had upon the victim.</w:t>
      </w:r>
      <w:r w:rsidR="00096123" w:rsidRPr="00EC02CA">
        <w:rPr>
          <w:rStyle w:val="FootnoteReference"/>
        </w:rPr>
        <w:footnoteReference w:id="696"/>
      </w:r>
    </w:p>
    <w:p w14:paraId="5F454548" w14:textId="3213E237" w:rsidR="00D17366" w:rsidRPr="00EC02CA" w:rsidRDefault="00D17366" w:rsidP="00A920EC">
      <w:pPr>
        <w:pStyle w:val="Indentedquote"/>
      </w:pPr>
      <w:r w:rsidRPr="00EC02CA">
        <w:t>There</w:t>
      </w:r>
      <w:r w:rsidR="00965607" w:rsidRPr="00EC02CA">
        <w:t>’</w:t>
      </w:r>
      <w:r w:rsidRPr="00EC02CA">
        <w:t>s something called</w:t>
      </w:r>
      <w:r w:rsidR="009356BE" w:rsidRPr="00EC02CA">
        <w:t xml:space="preserve"> </w:t>
      </w:r>
      <w:r w:rsidR="00BF18DC" w:rsidRPr="00EC02CA">
        <w:t>‘</w:t>
      </w:r>
      <w:r w:rsidRPr="00EC02CA">
        <w:t>a disruption’</w:t>
      </w:r>
      <w:r w:rsidR="009356BE" w:rsidRPr="00EC02CA">
        <w:t xml:space="preserve"> that used by the AFP </w:t>
      </w:r>
      <w:r w:rsidRPr="00EC02CA">
        <w:t xml:space="preserve">for those online offences </w:t>
      </w:r>
      <w:r w:rsidR="00965607" w:rsidRPr="00EC02CA">
        <w:t xml:space="preserve">… </w:t>
      </w:r>
      <w:r w:rsidRPr="00EC02CA">
        <w:t>they use that when it might be</w:t>
      </w:r>
      <w:r w:rsidR="009356BE" w:rsidRPr="00EC02CA">
        <w:t xml:space="preserve"> where</w:t>
      </w:r>
      <w:r w:rsidRPr="00EC02CA">
        <w:t xml:space="preserve"> a kid distributes three or four images of his ex-girlfriend to a couple of mates. Instead of putting </w:t>
      </w:r>
      <w:r w:rsidR="00806C6D" w:rsidRPr="00EC02CA">
        <w:t>a</w:t>
      </w:r>
      <w:r w:rsidR="00A004A4" w:rsidRPr="00EC02CA">
        <w:t xml:space="preserve"> … </w:t>
      </w:r>
      <w:r w:rsidRPr="00EC02CA">
        <w:t xml:space="preserve">court file together to go through to the youth justice system, a Sergeant of </w:t>
      </w:r>
      <w:r w:rsidR="002B44E4" w:rsidRPr="00EC02CA">
        <w:t>P</w:t>
      </w:r>
      <w:r w:rsidRPr="00EC02CA">
        <w:t xml:space="preserve">olice can sign off </w:t>
      </w:r>
      <w:r w:rsidR="00965607" w:rsidRPr="00EC02CA">
        <w:t xml:space="preserve">[on] </w:t>
      </w:r>
      <w:r w:rsidRPr="00EC02CA">
        <w:t xml:space="preserve">a thing called </w:t>
      </w:r>
      <w:r w:rsidR="00965607" w:rsidRPr="00EC02CA">
        <w:t xml:space="preserve">[a] </w:t>
      </w:r>
      <w:r w:rsidRPr="00EC02CA">
        <w:t>disruption</w:t>
      </w:r>
      <w:r w:rsidR="00FC1986" w:rsidRPr="00EC02CA">
        <w:t>.</w:t>
      </w:r>
      <w:r w:rsidR="002B44E4" w:rsidRPr="00EC02CA">
        <w:rPr>
          <w:rStyle w:val="FootnoteReference"/>
        </w:rPr>
        <w:footnoteReference w:id="697"/>
      </w:r>
    </w:p>
    <w:p w14:paraId="7F7FD609" w14:textId="0F4B480A" w:rsidR="00D17366" w:rsidRPr="00EC02CA" w:rsidRDefault="00D17366" w:rsidP="00A920EC">
      <w:pPr>
        <w:pStyle w:val="Indentedquote"/>
      </w:pPr>
      <w:r w:rsidRPr="00EC02CA">
        <w:t>I say, tha</w:t>
      </w:r>
      <w:r w:rsidR="00344988" w:rsidRPr="00EC02CA">
        <w:t>t</w:t>
      </w:r>
      <w:r w:rsidRPr="00EC02CA">
        <w:t xml:space="preserve"> online stuff, certainly most of the time they would result in a formal caution or sometimes even an informal caution</w:t>
      </w:r>
      <w:r w:rsidR="00B40390" w:rsidRPr="00EC02CA">
        <w:t xml:space="preserve"> and</w:t>
      </w:r>
      <w:r w:rsidRPr="00EC02CA">
        <w:t xml:space="preserve"> if it was a youth who</w:t>
      </w:r>
      <w:r w:rsidR="00965607" w:rsidRPr="00EC02CA">
        <w:t>’</w:t>
      </w:r>
      <w:r w:rsidRPr="00EC02CA">
        <w:t xml:space="preserve">d been offending regularly rather </w:t>
      </w:r>
      <w:r w:rsidR="00B40390" w:rsidRPr="00EC02CA">
        <w:t>it might</w:t>
      </w:r>
      <w:r w:rsidRPr="00EC02CA">
        <w:t xml:space="preserve"> end up with a community</w:t>
      </w:r>
      <w:r w:rsidR="002678C7" w:rsidRPr="00EC02CA">
        <w:t xml:space="preserve"> conference</w:t>
      </w:r>
      <w:r w:rsidR="00FC1986" w:rsidRPr="00EC02CA">
        <w:t>.</w:t>
      </w:r>
      <w:r w:rsidR="00B40390" w:rsidRPr="00EC02CA">
        <w:rPr>
          <w:rStyle w:val="FootnoteReference"/>
        </w:rPr>
        <w:footnoteReference w:id="698"/>
      </w:r>
    </w:p>
    <w:p w14:paraId="7D0F9D50" w14:textId="2774C6B5" w:rsidR="00EF1A7C" w:rsidRPr="00EC02CA" w:rsidRDefault="00EF1A7C" w:rsidP="00A920EC">
      <w:pPr>
        <w:pStyle w:val="Indentedquote"/>
      </w:pPr>
      <w:r w:rsidRPr="00EC02CA">
        <w:t>I’ve seen formal cautions for sexual offences but no community conferences</w:t>
      </w:r>
      <w:r w:rsidR="001171CB" w:rsidRPr="00EC02CA">
        <w:t>. There are m</w:t>
      </w:r>
      <w:r w:rsidRPr="00EC02CA">
        <w:t xml:space="preserve">ore informal </w:t>
      </w:r>
      <w:r w:rsidR="001171CB" w:rsidRPr="00EC02CA">
        <w:t>cautions</w:t>
      </w:r>
      <w:r w:rsidRPr="00EC02CA">
        <w:t xml:space="preserve">. </w:t>
      </w:r>
      <w:r w:rsidR="001171CB" w:rsidRPr="00EC02CA">
        <w:t>[This is] an e</w:t>
      </w:r>
      <w:r w:rsidRPr="00EC02CA">
        <w:t>ducative response rather than punitive response for online offending/</w:t>
      </w:r>
      <w:r w:rsidR="001171CB" w:rsidRPr="00EC02CA">
        <w:t>harassment</w:t>
      </w:r>
      <w:r w:rsidRPr="00EC02CA">
        <w:t xml:space="preserve"> or </w:t>
      </w:r>
      <w:r w:rsidR="001171CB" w:rsidRPr="00EC02CA">
        <w:t>harmful sexual behaviour.</w:t>
      </w:r>
      <w:r w:rsidR="001171CB" w:rsidRPr="00EC02CA">
        <w:rPr>
          <w:rStyle w:val="FootnoteReference"/>
        </w:rPr>
        <w:footnoteReference w:id="699"/>
      </w:r>
    </w:p>
    <w:p w14:paraId="03D41C47" w14:textId="3031DCE9" w:rsidR="00562AAB" w:rsidRPr="00EC02CA" w:rsidRDefault="008374A0" w:rsidP="00A920EC">
      <w:pPr>
        <w:pStyle w:val="Indentedquote"/>
      </w:pPr>
      <w:r w:rsidRPr="00EC02CA">
        <w:t>For lower</w:t>
      </w:r>
      <w:r w:rsidR="00A46B49" w:rsidRPr="00EC02CA">
        <w:t>-</w:t>
      </w:r>
      <w:r w:rsidRPr="00EC02CA">
        <w:t xml:space="preserve">level offending, very rarely would there be an arrest of a youth. </w:t>
      </w:r>
      <w:r w:rsidR="00E12692" w:rsidRPr="00EC02CA">
        <w:t>U</w:t>
      </w:r>
      <w:r w:rsidRPr="00EC02CA">
        <w:t>sually, it was more of an educative opportunity to go and talk to the youth and sometimes they may end up with</w:t>
      </w:r>
      <w:r w:rsidR="00E12692" w:rsidRPr="00EC02CA">
        <w:t xml:space="preserve"> </w:t>
      </w:r>
      <w:r w:rsidRPr="00EC02CA">
        <w:t>a formal caution</w:t>
      </w:r>
      <w:r w:rsidR="002D73F5" w:rsidRPr="00EC02CA">
        <w:t>.</w:t>
      </w:r>
      <w:r w:rsidR="00E12692" w:rsidRPr="00EC02CA">
        <w:rPr>
          <w:rStyle w:val="FootnoteReference"/>
        </w:rPr>
        <w:footnoteReference w:id="700"/>
      </w:r>
    </w:p>
    <w:p w14:paraId="2D8392C7" w14:textId="5CBBDB5F" w:rsidR="00CF4041" w:rsidRPr="00EC02CA" w:rsidRDefault="002D73F5" w:rsidP="00A920EC">
      <w:pPr>
        <w:pStyle w:val="Indentedquote"/>
      </w:pPr>
      <w:r w:rsidRPr="00EC02CA">
        <w:t xml:space="preserve">From a JACET perspective, </w:t>
      </w:r>
      <w:r w:rsidR="00F43115" w:rsidRPr="00EC02CA">
        <w:t>the focus</w:t>
      </w:r>
      <w:r w:rsidRPr="00EC02CA">
        <w:t xml:space="preserve"> for juveniles is on education and disruption. Trying to break the circuit ... If we can stop a kid at any one point, even just thinking about that sort of space, then then it</w:t>
      </w:r>
      <w:r w:rsidR="006B7FA9" w:rsidRPr="00EC02CA">
        <w:t>’</w:t>
      </w:r>
      <w:r w:rsidRPr="00EC02CA">
        <w:t>s a</w:t>
      </w:r>
      <w:r w:rsidR="00F43115" w:rsidRPr="00EC02CA">
        <w:t xml:space="preserve"> w</w:t>
      </w:r>
      <w:r w:rsidRPr="00EC02CA">
        <w:t>in, so it depends on what you want to do with the court system. I think it</w:t>
      </w:r>
      <w:r w:rsidR="006B7FA9" w:rsidRPr="00EC02CA">
        <w:t>’</w:t>
      </w:r>
      <w:r w:rsidRPr="00EC02CA">
        <w:t>s pretty well clogged up already</w:t>
      </w:r>
      <w:r w:rsidR="00335649" w:rsidRPr="00EC02CA">
        <w:t>.</w:t>
      </w:r>
      <w:r w:rsidRPr="00EC02CA">
        <w:rPr>
          <w:rStyle w:val="FootnoteReference"/>
          <w:rFonts w:eastAsia="Aptos"/>
        </w:rPr>
        <w:footnoteReference w:id="701"/>
      </w:r>
    </w:p>
    <w:p w14:paraId="498E2F49" w14:textId="6FB3F4BA" w:rsidR="002D73F5" w:rsidRPr="00EC02CA" w:rsidRDefault="00335649" w:rsidP="00A920EC">
      <w:pPr>
        <w:pStyle w:val="Indentedquote"/>
        <w:rPr>
          <w:vertAlign w:val="superscript"/>
        </w:rPr>
      </w:pPr>
      <w:r w:rsidRPr="00EC02CA">
        <w:t xml:space="preserve">In </w:t>
      </w:r>
      <w:r w:rsidR="002D73F5" w:rsidRPr="00EC02CA">
        <w:t xml:space="preserve">the context of diversionary programs, kids sending </w:t>
      </w:r>
      <w:r w:rsidR="00A004A4" w:rsidRPr="00EC02CA">
        <w:t>c</w:t>
      </w:r>
      <w:r w:rsidR="002D73F5" w:rsidRPr="00EC02CA">
        <w:t xml:space="preserve">hild </w:t>
      </w:r>
      <w:r w:rsidR="00A004A4" w:rsidRPr="00EC02CA">
        <w:t>e</w:t>
      </w:r>
      <w:r w:rsidR="002D73F5" w:rsidRPr="00EC02CA">
        <w:t>xploitation material to one another, it would just be a perfect example where that should exist and would work because I think that it would then dawn on them, the ramifications of it for both parties</w:t>
      </w:r>
      <w:r w:rsidRPr="00EC02CA">
        <w:t>.</w:t>
      </w:r>
      <w:r w:rsidR="002D73F5" w:rsidRPr="00EC02CA">
        <w:rPr>
          <w:rStyle w:val="FootnoteReference"/>
          <w:rFonts w:eastAsia="Aptos"/>
        </w:rPr>
        <w:footnoteReference w:id="702"/>
      </w:r>
    </w:p>
    <w:p w14:paraId="2B7C0F19" w14:textId="14E60AD0" w:rsidR="00572CE6" w:rsidRPr="00EC02CA" w:rsidRDefault="00572CE6" w:rsidP="002F0007">
      <w:pPr>
        <w:pStyle w:val="NormalNumberedTextTLRI"/>
      </w:pPr>
      <w:r w:rsidRPr="00EC02CA">
        <w:t>As noted, several participants discussed the value of the approach to cautioning used by the AF</w:t>
      </w:r>
      <w:r w:rsidR="00744129" w:rsidRPr="00EC02CA">
        <w:t>P</w:t>
      </w:r>
      <w:r w:rsidRPr="00EC02CA">
        <w:t xml:space="preserve"> (</w:t>
      </w:r>
      <w:r w:rsidR="006B7FA9" w:rsidRPr="00EC02CA">
        <w:t xml:space="preserve">with </w:t>
      </w:r>
      <w:r w:rsidRPr="00EC02CA">
        <w:t xml:space="preserve">JACET) in the context of online offending as </w:t>
      </w:r>
      <w:r w:rsidR="00EA3F7E" w:rsidRPr="00EC02CA">
        <w:t xml:space="preserve">an </w:t>
      </w:r>
      <w:r w:rsidR="007225F6" w:rsidRPr="00EC02CA">
        <w:t>efficient</w:t>
      </w:r>
      <w:r w:rsidR="00EA3F7E" w:rsidRPr="00EC02CA">
        <w:t xml:space="preserve"> and </w:t>
      </w:r>
      <w:r w:rsidR="007225F6" w:rsidRPr="00EC02CA">
        <w:t>effective</w:t>
      </w:r>
      <w:r w:rsidR="00EA3F7E" w:rsidRPr="00EC02CA">
        <w:t xml:space="preserve"> response:</w:t>
      </w:r>
    </w:p>
    <w:p w14:paraId="23ED2B54" w14:textId="634E46B8" w:rsidR="00EA3F7E" w:rsidRPr="00EC02CA" w:rsidRDefault="00EA3F7E" w:rsidP="007225F6">
      <w:pPr>
        <w:pStyle w:val="Indentedquote"/>
      </w:pPr>
      <w:r w:rsidRPr="00EC02CA">
        <w:t>The way that [the AFP</w:t>
      </w:r>
      <w:r w:rsidR="007225F6" w:rsidRPr="00EC02CA">
        <w:t xml:space="preserve"> </w:t>
      </w:r>
      <w:r w:rsidRPr="00EC02CA">
        <w:t xml:space="preserve">have] been </w:t>
      </w:r>
      <w:r w:rsidR="007225F6" w:rsidRPr="00EC02CA">
        <w:t>able</w:t>
      </w:r>
      <w:r w:rsidRPr="00EC02CA">
        <w:t xml:space="preserve"> to deal with a lot </w:t>
      </w:r>
      <w:r w:rsidR="007225F6" w:rsidRPr="00EC02CA">
        <w:t>of</w:t>
      </w:r>
      <w:r w:rsidRPr="00EC02CA">
        <w:t xml:space="preserve"> these </w:t>
      </w:r>
      <w:r w:rsidR="007225F6" w:rsidRPr="00EC02CA">
        <w:t>juveniles</w:t>
      </w:r>
      <w:r w:rsidRPr="00EC02CA">
        <w:t xml:space="preserve"> in the past is being quite fruitful and the families are very receptive to [them] coming and </w:t>
      </w:r>
      <w:r w:rsidR="007225F6" w:rsidRPr="00EC02CA">
        <w:t>sitting</w:t>
      </w:r>
      <w:r w:rsidRPr="00EC02CA">
        <w:t xml:space="preserve"> down and </w:t>
      </w:r>
      <w:r w:rsidR="007225F6" w:rsidRPr="00EC02CA">
        <w:t>speaking</w:t>
      </w:r>
      <w:r w:rsidRPr="00EC02CA">
        <w:t xml:space="preserve"> with </w:t>
      </w:r>
      <w:r w:rsidR="007225F6" w:rsidRPr="00EC02CA">
        <w:t>parents</w:t>
      </w:r>
      <w:r w:rsidRPr="00EC02CA">
        <w:t xml:space="preserve"> or </w:t>
      </w:r>
      <w:r w:rsidR="007225F6" w:rsidRPr="00EC02CA">
        <w:t>guardians</w:t>
      </w:r>
      <w:r w:rsidRPr="00EC02CA">
        <w:t xml:space="preserve"> and the young </w:t>
      </w:r>
      <w:r w:rsidR="007225F6" w:rsidRPr="00EC02CA">
        <w:t>person</w:t>
      </w:r>
      <w:r w:rsidRPr="00EC02CA">
        <w:t xml:space="preserve"> and explaining why this is an issue for [police] and if they </w:t>
      </w:r>
      <w:r w:rsidR="007225F6" w:rsidRPr="00EC02CA">
        <w:t>continue</w:t>
      </w:r>
      <w:r w:rsidRPr="00EC02CA">
        <w:t xml:space="preserve"> the </w:t>
      </w:r>
      <w:r w:rsidR="007225F6" w:rsidRPr="00EC02CA">
        <w:t>behaviour</w:t>
      </w:r>
      <w:r w:rsidRPr="00EC02CA">
        <w:t>, why [</w:t>
      </w:r>
      <w:r w:rsidR="007225F6" w:rsidRPr="00EC02CA">
        <w:t>police</w:t>
      </w:r>
      <w:r w:rsidR="006B7FA9" w:rsidRPr="00EC02CA">
        <w:t xml:space="preserve"> will be]</w:t>
      </w:r>
      <w:r w:rsidR="007225F6" w:rsidRPr="00EC02CA">
        <w:t xml:space="preserve"> an issue for them. You know, as soon as they sort of hit 18 and they’re still going.</w:t>
      </w:r>
      <w:r w:rsidR="007225F6" w:rsidRPr="00EC02CA">
        <w:rPr>
          <w:rStyle w:val="FootnoteReference"/>
        </w:rPr>
        <w:footnoteReference w:id="703"/>
      </w:r>
    </w:p>
    <w:p w14:paraId="2C35C0A2" w14:textId="0ED206D3" w:rsidR="00D17366" w:rsidRPr="00EC02CA" w:rsidRDefault="007F4C65" w:rsidP="002F0007">
      <w:pPr>
        <w:pStyle w:val="NormalNumberedTextTLRI"/>
      </w:pPr>
      <w:r w:rsidRPr="00EC02CA">
        <w:t>Some participants were aware of the use of</w:t>
      </w:r>
      <w:r w:rsidR="00BA7EE1" w:rsidRPr="00EC02CA">
        <w:t xml:space="preserve"> </w:t>
      </w:r>
      <w:r w:rsidR="009077B1" w:rsidRPr="00EC02CA">
        <w:t xml:space="preserve">(and value of) </w:t>
      </w:r>
      <w:r w:rsidR="00BA7EE1" w:rsidRPr="00EC02CA">
        <w:t>community conference</w:t>
      </w:r>
      <w:r w:rsidR="006B7FA9" w:rsidRPr="00EC02CA">
        <w:t>s</w:t>
      </w:r>
      <w:r w:rsidR="00BA7EE1" w:rsidRPr="00EC02CA">
        <w:t xml:space="preserve"> for</w:t>
      </w:r>
      <w:r w:rsidR="009077B1" w:rsidRPr="00EC02CA">
        <w:t xml:space="preserve"> </w:t>
      </w:r>
      <w:r w:rsidR="00BA7EE1" w:rsidRPr="00EC02CA">
        <w:t>sexual offending</w:t>
      </w:r>
      <w:r w:rsidR="009077B1" w:rsidRPr="00EC02CA">
        <w:t>, but this was less commonly observed</w:t>
      </w:r>
      <w:r w:rsidR="00CF4041" w:rsidRPr="00EC02CA">
        <w:t xml:space="preserve"> by those who took part in the interviews</w:t>
      </w:r>
      <w:r w:rsidR="009077B1" w:rsidRPr="00EC02CA">
        <w:t>:</w:t>
      </w:r>
      <w:r w:rsidR="00D17366" w:rsidRPr="00EC02CA">
        <w:t xml:space="preserve"> </w:t>
      </w:r>
    </w:p>
    <w:p w14:paraId="252BDD52" w14:textId="4CFBFEA6" w:rsidR="00D17366" w:rsidRPr="00EC02CA" w:rsidRDefault="00D17366" w:rsidP="00A920EC">
      <w:pPr>
        <w:pStyle w:val="Indentedquote"/>
      </w:pPr>
      <w:r w:rsidRPr="00EC02CA">
        <w:t>When everyone</w:t>
      </w:r>
      <w:r w:rsidR="006B7FA9" w:rsidRPr="00EC02CA">
        <w:t>’</w:t>
      </w:r>
      <w:r w:rsidRPr="00EC02CA">
        <w:t>s willing to participate, it does open up that table of conversation and you know a few, when I have been involved in</w:t>
      </w:r>
      <w:r w:rsidR="006B7FA9" w:rsidRPr="00EC02CA">
        <w:t>,</w:t>
      </w:r>
      <w:r w:rsidRPr="00EC02CA">
        <w:t xml:space="preserve"> the offender does go on to actually participate in other programs, to rehabilitate, and is willing to take the steps to actually do the proper behaviours</w:t>
      </w:r>
      <w:r w:rsidR="00984520" w:rsidRPr="00EC02CA">
        <w:t>.</w:t>
      </w:r>
      <w:r w:rsidR="00984520" w:rsidRPr="00EC02CA">
        <w:rPr>
          <w:rStyle w:val="FootnoteReference"/>
        </w:rPr>
        <w:footnoteReference w:id="704"/>
      </w:r>
    </w:p>
    <w:p w14:paraId="06B6509B" w14:textId="65E92879" w:rsidR="00D17366" w:rsidRPr="00EC02CA" w:rsidRDefault="00D17366" w:rsidP="00A920EC">
      <w:pPr>
        <w:pStyle w:val="Indentedquote"/>
      </w:pPr>
      <w:r w:rsidRPr="00EC02CA">
        <w:t>It</w:t>
      </w:r>
      <w:r w:rsidR="006B7FA9" w:rsidRPr="00EC02CA">
        <w:t>’</w:t>
      </w:r>
      <w:r w:rsidRPr="00EC02CA">
        <w:t>s actually pretty effectiv</w:t>
      </w:r>
      <w:r w:rsidR="00D105BB" w:rsidRPr="00EC02CA">
        <w:t>e.</w:t>
      </w:r>
      <w:r w:rsidRPr="00EC02CA">
        <w:t xml:space="preserve"> It was </w:t>
      </w:r>
      <w:r w:rsidR="006B7FA9" w:rsidRPr="00EC02CA">
        <w:t xml:space="preserve">[a] </w:t>
      </w:r>
      <w:r w:rsidRPr="00EC02CA">
        <w:t>very traumatic experience for the victim, but she wanted to be able to have her say and she was an older teen.</w:t>
      </w:r>
      <w:r w:rsidR="00B737BF" w:rsidRPr="00EC02CA">
        <w:t xml:space="preserve"> </w:t>
      </w:r>
      <w:r w:rsidRPr="00EC02CA">
        <w:t>She wasn</w:t>
      </w:r>
      <w:r w:rsidR="006B7FA9" w:rsidRPr="00EC02CA">
        <w:t>’</w:t>
      </w:r>
      <w:r w:rsidRPr="00EC02CA">
        <w:t>t</w:t>
      </w:r>
      <w:r w:rsidR="00A004A4" w:rsidRPr="00EC02CA">
        <w:t xml:space="preserve"> </w:t>
      </w:r>
      <w:r w:rsidRPr="00EC02CA">
        <w:t>11 years old or anything like that. I think she would have been 15 or so. And her mother came with her. And she had a bit of support. So it was quite interesting in that it certainly seemed to have</w:t>
      </w:r>
      <w:r w:rsidR="00B737BF" w:rsidRPr="00EC02CA">
        <w:t xml:space="preserve"> </w:t>
      </w:r>
      <w:r w:rsidR="00D105BB" w:rsidRPr="00EC02CA">
        <w:t>m</w:t>
      </w:r>
      <w:r w:rsidRPr="00EC02CA">
        <w:t>ore of an effect on the offender</w:t>
      </w:r>
      <w:r w:rsidR="00D105BB" w:rsidRPr="00EC02CA">
        <w:t>. H</w:t>
      </w:r>
      <w:r w:rsidRPr="00EC02CA">
        <w:t>e didn</w:t>
      </w:r>
      <w:r w:rsidR="006B7FA9" w:rsidRPr="00EC02CA">
        <w:t>’</w:t>
      </w:r>
      <w:r w:rsidRPr="00EC02CA">
        <w:t xml:space="preserve">t understand up until that time </w:t>
      </w:r>
      <w:r w:rsidR="006B7FA9" w:rsidRPr="00EC02CA">
        <w:t>…</w:t>
      </w:r>
      <w:r w:rsidRPr="00EC02CA">
        <w:t xml:space="preserve"> the seriousness and effect that he had had on the victim. I</w:t>
      </w:r>
      <w:r w:rsidR="00DC7AC6" w:rsidRPr="00EC02CA">
        <w:t>’</w:t>
      </w:r>
      <w:r w:rsidRPr="00EC02CA">
        <w:t>m actually pretty big believer in the community conference process. I think that it works really well.</w:t>
      </w:r>
      <w:r w:rsidR="0096678B" w:rsidRPr="00EC02CA">
        <w:rPr>
          <w:rStyle w:val="FootnoteReference"/>
        </w:rPr>
        <w:footnoteReference w:id="705"/>
      </w:r>
    </w:p>
    <w:p w14:paraId="7F1DDCB1" w14:textId="3CC2A97C" w:rsidR="00AE3732" w:rsidRPr="00EC02CA" w:rsidRDefault="00676BA6" w:rsidP="00A920EC">
      <w:pPr>
        <w:pStyle w:val="NormalNumberedTextTLRI"/>
      </w:pPr>
      <w:r w:rsidRPr="00EC02CA">
        <w:t xml:space="preserve">The need for considerable support to be put in place around the youth offender for conferences to be successful was highlighted. </w:t>
      </w:r>
      <w:r w:rsidR="00AE3732" w:rsidRPr="00EC02CA">
        <w:t xml:space="preserve">One participant had observed two conferences for sexual offences, where the </w:t>
      </w:r>
      <w:r w:rsidR="00886B70" w:rsidRPr="00EC02CA">
        <w:t>victim-survivor</w:t>
      </w:r>
      <w:r w:rsidR="00010E3A" w:rsidRPr="00EC02CA">
        <w:t xml:space="preserve"> </w:t>
      </w:r>
      <w:r w:rsidR="00AE3732" w:rsidRPr="00EC02CA">
        <w:t xml:space="preserve">attended. </w:t>
      </w:r>
      <w:r w:rsidR="00173BD4" w:rsidRPr="00EC02CA">
        <w:t>In one conference, the p</w:t>
      </w:r>
      <w:r w:rsidR="00AE3732" w:rsidRPr="00EC02CA">
        <w:t xml:space="preserve">arents of </w:t>
      </w:r>
      <w:r w:rsidR="006B7FA9" w:rsidRPr="00EC02CA">
        <w:t xml:space="preserve">the </w:t>
      </w:r>
      <w:r w:rsidR="00AE3732" w:rsidRPr="00EC02CA">
        <w:t xml:space="preserve">offender attended and </w:t>
      </w:r>
      <w:r w:rsidR="00173BD4" w:rsidRPr="00EC02CA">
        <w:t xml:space="preserve">were supportive and it was </w:t>
      </w:r>
      <w:r w:rsidR="00AE3732" w:rsidRPr="00EC02CA">
        <w:t xml:space="preserve">very </w:t>
      </w:r>
      <w:r w:rsidR="00173BD4" w:rsidRPr="00EC02CA">
        <w:t>positive</w:t>
      </w:r>
      <w:r w:rsidR="006B7FA9" w:rsidRPr="00EC02CA">
        <w:t>,</w:t>
      </w:r>
      <w:r w:rsidR="00AE3732" w:rsidRPr="00EC02CA">
        <w:t xml:space="preserve"> compared with the other conference where </w:t>
      </w:r>
      <w:r w:rsidR="00173BD4" w:rsidRPr="00EC02CA">
        <w:t>the parents</w:t>
      </w:r>
      <w:r w:rsidR="00AE3732" w:rsidRPr="00EC02CA">
        <w:t xml:space="preserve"> </w:t>
      </w:r>
      <w:r w:rsidR="00173BD4" w:rsidRPr="00EC02CA">
        <w:t xml:space="preserve">were </w:t>
      </w:r>
      <w:r w:rsidR="00AE3732" w:rsidRPr="00EC02CA">
        <w:t>not interested.</w:t>
      </w:r>
      <w:r w:rsidRPr="00EC02CA">
        <w:rPr>
          <w:rStyle w:val="FootnoteReference"/>
        </w:rPr>
        <w:footnoteReference w:id="706"/>
      </w:r>
      <w:r w:rsidR="00AE3732" w:rsidRPr="00EC02CA">
        <w:t xml:space="preserve"> </w:t>
      </w:r>
      <w:r w:rsidR="005A4630" w:rsidRPr="00EC02CA">
        <w:t xml:space="preserve">Other participants could not recall a conference </w:t>
      </w:r>
      <w:r w:rsidR="00181B8D" w:rsidRPr="00EC02CA">
        <w:t>being</w:t>
      </w:r>
      <w:r w:rsidR="005A4630" w:rsidRPr="00EC02CA">
        <w:t xml:space="preserve"> held for </w:t>
      </w:r>
      <w:r w:rsidR="00DA6673" w:rsidRPr="00EC02CA">
        <w:t>a sexual offence</w:t>
      </w:r>
      <w:r w:rsidR="00181B8D" w:rsidRPr="00EC02CA">
        <w:t>.</w:t>
      </w:r>
    </w:p>
    <w:p w14:paraId="1B3EEBCE" w14:textId="03B026DB" w:rsidR="00D17366" w:rsidRPr="00EC02CA" w:rsidRDefault="00D17366" w:rsidP="002F0007">
      <w:pPr>
        <w:pStyle w:val="NormalNumberedTextTLRI"/>
      </w:pPr>
      <w:r w:rsidRPr="00EC02CA">
        <w:t>In 1</w:t>
      </w:r>
      <w:r w:rsidR="00120EA6" w:rsidRPr="00EC02CA">
        <w:t>7</w:t>
      </w:r>
      <w:r w:rsidRPr="00EC02CA">
        <w:t xml:space="preserve"> interviews, it was suggested that there is a need to increase the availability and use of diversionary mechanisms in response to sexual offending. It was noted in two interviews that diversion would also benefit the youth justice system by reducing demand on the legal sector.</w:t>
      </w:r>
      <w:r w:rsidR="00D50AEC" w:rsidRPr="00EC02CA">
        <w:t xml:space="preserve"> Diversion procedures were also seen to provide a </w:t>
      </w:r>
      <w:r w:rsidR="00CF4041" w:rsidRPr="00EC02CA">
        <w:t>timelier</w:t>
      </w:r>
      <w:r w:rsidR="00D50AEC" w:rsidRPr="00EC02CA">
        <w:t xml:space="preserve"> response </w:t>
      </w:r>
      <w:r w:rsidR="006B7FA9" w:rsidRPr="00EC02CA">
        <w:t xml:space="preserve">that </w:t>
      </w:r>
      <w:r w:rsidR="00D50AEC" w:rsidRPr="00EC02CA">
        <w:t>better meet</w:t>
      </w:r>
      <w:r w:rsidR="006B7FA9" w:rsidRPr="00EC02CA">
        <w:t>s</w:t>
      </w:r>
      <w:r w:rsidR="00D50AEC" w:rsidRPr="00EC02CA">
        <w:t xml:space="preserve"> the needs of young people (both offenders and victims), particularly when compared to the considerable delays that ar</w:t>
      </w:r>
      <w:r w:rsidR="006B7FA9" w:rsidRPr="00EC02CA">
        <w:t>i</w:t>
      </w:r>
      <w:r w:rsidR="00D50AEC" w:rsidRPr="00EC02CA">
        <w:t>se in Supreme Court matters:</w:t>
      </w:r>
    </w:p>
    <w:p w14:paraId="1F9AEEEF" w14:textId="0689DF9A" w:rsidR="00D17366" w:rsidRPr="00EC02CA" w:rsidRDefault="00F66DED" w:rsidP="00A920EC">
      <w:pPr>
        <w:pStyle w:val="Indentedquote"/>
        <w:rPr>
          <w:rStyle w:val="FootnoteReference"/>
          <w:rFonts w:eastAsia="Times"/>
          <w:szCs w:val="20"/>
        </w:rPr>
      </w:pPr>
      <w:r w:rsidRPr="00EC02CA">
        <w:t>[T]</w:t>
      </w:r>
      <w:r w:rsidR="00D17366" w:rsidRPr="00EC02CA">
        <w:t>hey</w:t>
      </w:r>
      <w:r w:rsidR="006B7FA9" w:rsidRPr="00EC02CA">
        <w:t>’</w:t>
      </w:r>
      <w:r w:rsidR="00D17366" w:rsidRPr="00EC02CA">
        <w:t>re excellent and they work really well and I think they</w:t>
      </w:r>
      <w:r w:rsidR="006B7FA9" w:rsidRPr="00EC02CA">
        <w:t>’</w:t>
      </w:r>
      <w:r w:rsidR="00D17366" w:rsidRPr="00EC02CA">
        <w:t>re opportunities for, you know, the defendant to come and say sorry and recogni</w:t>
      </w:r>
      <w:r w:rsidR="00312EB5" w:rsidRPr="00EC02CA">
        <w:t>s</w:t>
      </w:r>
      <w:r w:rsidR="00D17366" w:rsidRPr="00EC02CA">
        <w:t>e the impact that they</w:t>
      </w:r>
      <w:r w:rsidR="006B7FA9" w:rsidRPr="00EC02CA">
        <w:t>’</w:t>
      </w:r>
      <w:r w:rsidR="00D17366" w:rsidRPr="00EC02CA">
        <w:t>ve done to someone else. And even at times, they</w:t>
      </w:r>
      <w:r w:rsidR="006B7FA9" w:rsidRPr="00EC02CA">
        <w:t>’</w:t>
      </w:r>
      <w:r w:rsidR="00D17366" w:rsidRPr="00EC02CA">
        <w:t>ve given an opportunity for the victim or the complainant to understand the situation that the defendant was in that led them to do that, particularly dishonesty things and stuff like that. But so I do think if they work and if all parties want to be involved, it would be great.</w:t>
      </w:r>
      <w:r w:rsidR="00737F1E" w:rsidRPr="00EC02CA">
        <w:rPr>
          <w:rStyle w:val="FootnoteReference"/>
        </w:rPr>
        <w:footnoteReference w:id="707"/>
      </w:r>
    </w:p>
    <w:p w14:paraId="15CD07DD" w14:textId="175A0BF9" w:rsidR="00D17366" w:rsidRPr="00EC02CA" w:rsidRDefault="00737F1E" w:rsidP="00A920EC">
      <w:pPr>
        <w:pStyle w:val="Indentedquote"/>
      </w:pPr>
      <w:r w:rsidRPr="00EC02CA">
        <w:t>C</w:t>
      </w:r>
      <w:r w:rsidR="00D17366" w:rsidRPr="00EC02CA">
        <w:t>ommunity conferences are just so much more powerful in comparison to the court system. They</w:t>
      </w:r>
      <w:r w:rsidR="006B7FA9" w:rsidRPr="00EC02CA">
        <w:t>’</w:t>
      </w:r>
      <w:r w:rsidR="00D17366" w:rsidRPr="00EC02CA">
        <w:t>re faster, so you</w:t>
      </w:r>
      <w:r w:rsidR="006B7FA9" w:rsidRPr="00EC02CA">
        <w:t>’</w:t>
      </w:r>
      <w:r w:rsidR="00D17366" w:rsidRPr="00EC02CA">
        <w:t>re really responding to the harm quickly.</w:t>
      </w:r>
      <w:r w:rsidR="003770C1" w:rsidRPr="00EC02CA">
        <w:t xml:space="preserve"> </w:t>
      </w:r>
      <w:r w:rsidR="00D17366" w:rsidRPr="00EC02CA">
        <w:t>There</w:t>
      </w:r>
      <w:r w:rsidR="006B7FA9" w:rsidRPr="00EC02CA">
        <w:t>’</w:t>
      </w:r>
      <w:r w:rsidR="00D17366" w:rsidRPr="00EC02CA">
        <w:t xml:space="preserve">s so much work that the facilitators put in with the young person who has offended. Also, you know, contact with the victims </w:t>
      </w:r>
      <w:r w:rsidR="006B7FA9" w:rsidRPr="00EC02CA">
        <w:t>–</w:t>
      </w:r>
      <w:r w:rsidR="00D17366" w:rsidRPr="00EC02CA">
        <w:t xml:space="preserve"> if they want that </w:t>
      </w:r>
      <w:r w:rsidR="006B7FA9" w:rsidRPr="00EC02CA">
        <w:t>–</w:t>
      </w:r>
      <w:r w:rsidR="00D17366" w:rsidRPr="00EC02CA">
        <w:t xml:space="preserve"> so the victims don</w:t>
      </w:r>
      <w:r w:rsidR="006B7FA9" w:rsidRPr="00EC02CA">
        <w:t>’</w:t>
      </w:r>
      <w:r w:rsidR="00D17366" w:rsidRPr="00EC02CA">
        <w:t xml:space="preserve">t have to be involved. So it might just be other people who may have you know, </w:t>
      </w:r>
      <w:r w:rsidR="006B7FA9" w:rsidRPr="00EC02CA">
        <w:t xml:space="preserve">[if] </w:t>
      </w:r>
      <w:r w:rsidR="00D17366" w:rsidRPr="00EC02CA">
        <w:t xml:space="preserve">it happened in a school setting, maybe someone </w:t>
      </w:r>
      <w:r w:rsidR="006B7FA9" w:rsidRPr="00EC02CA">
        <w:t xml:space="preserve">[like] </w:t>
      </w:r>
      <w:r w:rsidR="00D17366" w:rsidRPr="00EC02CA">
        <w:t>a representative from school would come</w:t>
      </w:r>
      <w:r w:rsidR="006B7FA9" w:rsidRPr="00EC02CA">
        <w:t>,</w:t>
      </w:r>
      <w:r w:rsidR="00D17366" w:rsidRPr="00EC02CA">
        <w:t xml:space="preserve"> rather than the actual victim. Or there may not even be any representative as the victim.</w:t>
      </w:r>
      <w:r w:rsidRPr="00EC02CA">
        <w:rPr>
          <w:rStyle w:val="FootnoteReference"/>
        </w:rPr>
        <w:footnoteReference w:id="708"/>
      </w:r>
    </w:p>
    <w:p w14:paraId="75B3763C" w14:textId="6D9C7C9F" w:rsidR="00D17366" w:rsidRPr="00EC02CA" w:rsidRDefault="00D17366" w:rsidP="00A920EC">
      <w:pPr>
        <w:pStyle w:val="Indentedquote"/>
      </w:pPr>
      <w:r w:rsidRPr="00EC02CA">
        <w:t>There</w:t>
      </w:r>
      <w:r w:rsidR="006B7FA9" w:rsidRPr="00EC02CA">
        <w:t>’</w:t>
      </w:r>
      <w:r w:rsidRPr="00EC02CA">
        <w:t xml:space="preserve">d be advantages if </w:t>
      </w:r>
      <w:r w:rsidR="00D50AEC" w:rsidRPr="00EC02CA">
        <w:t>[there were]</w:t>
      </w:r>
      <w:r w:rsidRPr="00EC02CA">
        <w:t xml:space="preserve"> an option or more discretion to deal with it at </w:t>
      </w:r>
      <w:r w:rsidR="00D028A3" w:rsidRPr="00EC02CA">
        <w:t>[a police]</w:t>
      </w:r>
      <w:r w:rsidRPr="00EC02CA">
        <w:t xml:space="preserve"> level that would solve or save a lot of work. So if there were provisions for </w:t>
      </w:r>
      <w:r w:rsidR="00A03481" w:rsidRPr="00EC02CA">
        <w:t>police</w:t>
      </w:r>
      <w:r w:rsidRPr="00EC02CA">
        <w:t xml:space="preserve"> to deal with it, with these youth sex offenders, that would potentially unclog that work from the DPP or the prosecution service to deal with it at the lowest level. And if </w:t>
      </w:r>
      <w:r w:rsidR="00A03481" w:rsidRPr="00EC02CA">
        <w:t>[police]</w:t>
      </w:r>
      <w:r w:rsidRPr="00EC02CA">
        <w:t xml:space="preserve"> could do the cautions for some of those offences</w:t>
      </w:r>
      <w:r w:rsidR="00A46B49" w:rsidRPr="00EC02CA">
        <w:t>,</w:t>
      </w:r>
      <w:r w:rsidRPr="00EC02CA">
        <w:t xml:space="preserve"> then we really potentially save these kids from becoming adult perpetrators. If </w:t>
      </w:r>
      <w:r w:rsidR="00D80D05" w:rsidRPr="00EC02CA">
        <w:t>[police]</w:t>
      </w:r>
      <w:r w:rsidRPr="00EC02CA">
        <w:t xml:space="preserve"> can deal with them and educate them and caution them</w:t>
      </w:r>
      <w:r w:rsidR="00BD6B2F" w:rsidRPr="00EC02CA">
        <w:t xml:space="preserve">, </w:t>
      </w:r>
      <w:r w:rsidRPr="00EC02CA">
        <w:t>I just think it sets them up for a better life for themselves as well.</w:t>
      </w:r>
      <w:r w:rsidR="00D80D05" w:rsidRPr="00EC02CA">
        <w:rPr>
          <w:rStyle w:val="FootnoteReference"/>
        </w:rPr>
        <w:footnoteReference w:id="709"/>
      </w:r>
    </w:p>
    <w:p w14:paraId="77B3F7B8" w14:textId="0ADD9204" w:rsidR="00147E3E" w:rsidRPr="00EC02CA" w:rsidRDefault="00147E3E" w:rsidP="00A920EC">
      <w:pPr>
        <w:pStyle w:val="Indentedquote"/>
      </w:pPr>
      <w:r w:rsidRPr="00EC02CA">
        <w:t>We don</w:t>
      </w:r>
      <w:r w:rsidR="006B7FA9" w:rsidRPr="00EC02CA">
        <w:t>’</w:t>
      </w:r>
      <w:r w:rsidRPr="00EC02CA">
        <w:t>t want to destroy young people</w:t>
      </w:r>
      <w:r w:rsidR="006B7FA9" w:rsidRPr="00EC02CA">
        <w:t>’</w:t>
      </w:r>
      <w:r w:rsidRPr="00EC02CA">
        <w:t>s lives for some poor decisions made.</w:t>
      </w:r>
      <w:r w:rsidRPr="00EC02CA">
        <w:rPr>
          <w:rStyle w:val="FootnoteReference"/>
          <w:rFonts w:eastAsia="Aptos"/>
        </w:rPr>
        <w:footnoteReference w:id="710"/>
      </w:r>
    </w:p>
    <w:p w14:paraId="00CBCA8C" w14:textId="7DC699A1" w:rsidR="00D17366" w:rsidRPr="00EC02CA" w:rsidRDefault="00D80D05" w:rsidP="002F0007">
      <w:pPr>
        <w:pStyle w:val="NormalNumberedTextTLRI"/>
      </w:pPr>
      <w:r w:rsidRPr="00EC02CA">
        <w:t xml:space="preserve">Even for more serious sexual offences, </w:t>
      </w:r>
      <w:r w:rsidR="00D17366" w:rsidRPr="00EC02CA">
        <w:t xml:space="preserve">diversion </w:t>
      </w:r>
      <w:r w:rsidR="00E3635A" w:rsidRPr="00EC02CA">
        <w:t xml:space="preserve">was seen as potentially </w:t>
      </w:r>
      <w:r w:rsidR="00DB48A9" w:rsidRPr="00EC02CA">
        <w:t xml:space="preserve">appropriate </w:t>
      </w:r>
      <w:r w:rsidR="00E3635A" w:rsidRPr="00EC02CA">
        <w:t>due</w:t>
      </w:r>
      <w:r w:rsidR="00D17366" w:rsidRPr="00EC02CA">
        <w:t xml:space="preserve"> </w:t>
      </w:r>
      <w:r w:rsidR="00E3635A" w:rsidRPr="00EC02CA">
        <w:t xml:space="preserve">to </w:t>
      </w:r>
      <w:r w:rsidR="00D17366" w:rsidRPr="00EC02CA">
        <w:t>the complexities of youth sexual offending, particularly around the lack of understanding of consent.</w:t>
      </w:r>
    </w:p>
    <w:p w14:paraId="2525FBF5" w14:textId="3ACEABC2" w:rsidR="00D17366" w:rsidRPr="00EC02CA" w:rsidRDefault="00D17366" w:rsidP="00A920EC">
      <w:pPr>
        <w:pStyle w:val="Indentedquote"/>
      </w:pPr>
      <w:r w:rsidRPr="00EC02CA">
        <w:t>I mean in that specific</w:t>
      </w:r>
      <w:r w:rsidR="00DB48A9" w:rsidRPr="00EC02CA">
        <w:t xml:space="preserve"> </w:t>
      </w:r>
      <w:r w:rsidRPr="00EC02CA">
        <w:t>situation where it</w:t>
      </w:r>
      <w:r w:rsidR="00FC272D" w:rsidRPr="00EC02CA">
        <w:t>’</w:t>
      </w:r>
      <w:r w:rsidRPr="00EC02CA">
        <w:t>s clear that no one was trying to commit a criminal act, but it still happened</w:t>
      </w:r>
      <w:r w:rsidR="00A8038C" w:rsidRPr="00EC02CA">
        <w:t xml:space="preserve"> … </w:t>
      </w:r>
      <w:r w:rsidRPr="00EC02CA">
        <w:t>It</w:t>
      </w:r>
      <w:r w:rsidR="00FC272D" w:rsidRPr="00EC02CA">
        <w:t>’</w:t>
      </w:r>
      <w:r w:rsidRPr="00EC02CA">
        <w:t>s hard because you</w:t>
      </w:r>
      <w:r w:rsidR="00FC272D" w:rsidRPr="00EC02CA">
        <w:t>’</w:t>
      </w:r>
      <w:r w:rsidRPr="00EC02CA">
        <w:t xml:space="preserve">ve got these victims seeking justice. </w:t>
      </w:r>
      <w:r w:rsidR="00E3635A" w:rsidRPr="00EC02CA">
        <w:t>And</w:t>
      </w:r>
      <w:r w:rsidRPr="00EC02CA">
        <w:t xml:space="preserve"> if you just kind of </w:t>
      </w:r>
      <w:r w:rsidR="00FC272D" w:rsidRPr="00EC02CA">
        <w:t xml:space="preserve">[say] </w:t>
      </w:r>
      <w:r w:rsidRPr="00EC02CA">
        <w:t>like</w:t>
      </w:r>
      <w:r w:rsidR="00FC272D" w:rsidRPr="00EC02CA">
        <w:t>,</w:t>
      </w:r>
      <w:r w:rsidRPr="00EC02CA">
        <w:t xml:space="preserve"> </w:t>
      </w:r>
      <w:r w:rsidR="00E3635A" w:rsidRPr="00EC02CA">
        <w:t>‘</w:t>
      </w:r>
      <w:r w:rsidRPr="00EC02CA">
        <w:t>well</w:t>
      </w:r>
      <w:r w:rsidR="00E3635A" w:rsidRPr="00EC02CA">
        <w:t xml:space="preserve"> t</w:t>
      </w:r>
      <w:r w:rsidRPr="00EC02CA">
        <w:t>hat was that was not ideal</w:t>
      </w:r>
      <w:r w:rsidR="00E3635A" w:rsidRPr="00EC02CA">
        <w:t xml:space="preserve">, </w:t>
      </w:r>
      <w:r w:rsidR="007346C2" w:rsidRPr="00EC02CA">
        <w:t>that</w:t>
      </w:r>
      <w:r w:rsidRPr="00EC02CA">
        <w:t xml:space="preserve"> was the wrong thing, buddy</w:t>
      </w:r>
      <w:r w:rsidR="00E3635A" w:rsidRPr="00EC02CA">
        <w:t>’</w:t>
      </w:r>
      <w:r w:rsidR="001A7DBB" w:rsidRPr="00EC02CA">
        <w:t>, t</w:t>
      </w:r>
      <w:r w:rsidRPr="00EC02CA">
        <w:t>hen you know you</w:t>
      </w:r>
      <w:r w:rsidR="00FC272D" w:rsidRPr="00EC02CA">
        <w:t>’</w:t>
      </w:r>
      <w:r w:rsidRPr="00EC02CA">
        <w:t>re not really doing that victim justice either. But then again, going straight down the charging with rape and going to the Supreme Court doesn</w:t>
      </w:r>
      <w:r w:rsidR="00FC272D" w:rsidRPr="00EC02CA">
        <w:t>’</w:t>
      </w:r>
      <w:r w:rsidRPr="00EC02CA">
        <w:t>t quite necessarily fit the bill either.</w:t>
      </w:r>
      <w:r w:rsidR="00D80D05" w:rsidRPr="00EC02CA">
        <w:rPr>
          <w:rStyle w:val="FootnoteReference"/>
          <w:rFonts w:eastAsia="Aptos"/>
        </w:rPr>
        <w:footnoteReference w:id="711"/>
      </w:r>
    </w:p>
    <w:p w14:paraId="1F0F58B2" w14:textId="7392374F" w:rsidR="00D17366" w:rsidRPr="00EC02CA" w:rsidRDefault="00D17366" w:rsidP="00A920EC">
      <w:pPr>
        <w:pStyle w:val="Indentedquote"/>
      </w:pPr>
      <w:r w:rsidRPr="00EC02CA">
        <w:t>Most of the kids that sent out a nude from a relationship break up, you know, their heart</w:t>
      </w:r>
      <w:r w:rsidR="00FC272D" w:rsidRPr="00EC02CA">
        <w:t>’</w:t>
      </w:r>
      <w:r w:rsidRPr="00EC02CA">
        <w:t>s broken or if it</w:t>
      </w:r>
      <w:r w:rsidR="00FC272D" w:rsidRPr="00EC02CA">
        <w:t>’</w:t>
      </w:r>
      <w:r w:rsidRPr="00EC02CA">
        <w:t>s gone to a friend, they</w:t>
      </w:r>
      <w:r w:rsidR="00FC272D" w:rsidRPr="00EC02CA">
        <w:t>’</w:t>
      </w:r>
      <w:r w:rsidRPr="00EC02CA">
        <w:t>ve sent it out. It</w:t>
      </w:r>
      <w:r w:rsidR="00FC272D" w:rsidRPr="00EC02CA">
        <w:t>’</w:t>
      </w:r>
      <w:r w:rsidRPr="00EC02CA">
        <w:t>s just</w:t>
      </w:r>
      <w:r w:rsidR="001A7DBB" w:rsidRPr="00EC02CA">
        <w:t>, their</w:t>
      </w:r>
      <w:r w:rsidRPr="00EC02CA">
        <w:t xml:space="preserve"> frontal cortex hasn</w:t>
      </w:r>
      <w:r w:rsidR="00FC272D" w:rsidRPr="00EC02CA">
        <w:t>’</w:t>
      </w:r>
      <w:r w:rsidRPr="00EC02CA">
        <w:t>t</w:t>
      </w:r>
      <w:r w:rsidR="003259CD" w:rsidRPr="00EC02CA">
        <w:t xml:space="preserve"> </w:t>
      </w:r>
      <w:r w:rsidRPr="00EC02CA">
        <w:t>joined</w:t>
      </w:r>
      <w:r w:rsidR="003259CD" w:rsidRPr="00EC02CA">
        <w:t>.</w:t>
      </w:r>
      <w:r w:rsidRPr="00EC02CA">
        <w:t xml:space="preserve"> They don</w:t>
      </w:r>
      <w:r w:rsidR="00FC272D" w:rsidRPr="00EC02CA">
        <w:t>’</w:t>
      </w:r>
      <w:r w:rsidRPr="00EC02CA">
        <w:t>t understand what they</w:t>
      </w:r>
      <w:r w:rsidR="00FC272D" w:rsidRPr="00EC02CA">
        <w:t>’</w:t>
      </w:r>
      <w:r w:rsidRPr="00EC02CA">
        <w:t xml:space="preserve">re doing as more </w:t>
      </w:r>
      <w:r w:rsidR="003259CD" w:rsidRPr="00EC02CA">
        <w:t xml:space="preserve">than </w:t>
      </w:r>
      <w:r w:rsidRPr="00EC02CA">
        <w:t>just for a bit of fun at the time</w:t>
      </w:r>
      <w:r w:rsidR="00FC272D" w:rsidRPr="00EC02CA">
        <w:t>,</w:t>
      </w:r>
      <w:r w:rsidRPr="00EC02CA">
        <w:t xml:space="preserve"> and a little bit of</w:t>
      </w:r>
      <w:r w:rsidR="00035070" w:rsidRPr="00EC02CA">
        <w:t xml:space="preserve"> </w:t>
      </w:r>
      <w:r w:rsidRPr="00EC02CA">
        <w:t>their hurt and revenge and stuff</w:t>
      </w:r>
      <w:r w:rsidR="00035070" w:rsidRPr="00EC02CA">
        <w:t xml:space="preserve">. </w:t>
      </w:r>
      <w:r w:rsidRPr="00EC02CA">
        <w:t>It</w:t>
      </w:r>
      <w:r w:rsidR="00FC272D" w:rsidRPr="00EC02CA">
        <w:t>’</w:t>
      </w:r>
      <w:r w:rsidRPr="00EC02CA">
        <w:t>s hard. It</w:t>
      </w:r>
      <w:r w:rsidR="00FC272D" w:rsidRPr="00EC02CA">
        <w:t>’</w:t>
      </w:r>
      <w:r w:rsidRPr="00EC02CA">
        <w:t xml:space="preserve">s not sort of criminal in the big scheme of things, you know, a little bit of education and a little bit of </w:t>
      </w:r>
      <w:r w:rsidR="00FC272D" w:rsidRPr="00EC02CA">
        <w:t>‘</w:t>
      </w:r>
      <w:r w:rsidRPr="00EC02CA">
        <w:t>mate</w:t>
      </w:r>
      <w:r w:rsidR="00FC272D" w:rsidRPr="00EC02CA">
        <w:t>’,</w:t>
      </w:r>
      <w:r w:rsidRPr="00EC02CA">
        <w:t xml:space="preserve"> </w:t>
      </w:r>
      <w:r w:rsidR="00035070" w:rsidRPr="00EC02CA">
        <w:t>(</w:t>
      </w:r>
      <w:r w:rsidRPr="00EC02CA">
        <w:t>and nine out of ten of these are guys</w:t>
      </w:r>
      <w:r w:rsidR="00035070" w:rsidRPr="00EC02CA">
        <w:t>)</w:t>
      </w:r>
      <w:r w:rsidRPr="00EC02CA">
        <w:t xml:space="preserve">, </w:t>
      </w:r>
      <w:r w:rsidR="00FC272D" w:rsidRPr="00EC02CA">
        <w:t>‘</w:t>
      </w:r>
      <w:r w:rsidRPr="00EC02CA">
        <w:t>you stuffed up here, what you</w:t>
      </w:r>
      <w:r w:rsidR="00FC272D" w:rsidRPr="00EC02CA">
        <w:t>’</w:t>
      </w:r>
      <w:r w:rsidRPr="00EC02CA">
        <w:t>re doing is wrong</w:t>
      </w:r>
      <w:r w:rsidR="0002764A" w:rsidRPr="00EC02CA">
        <w:t>, h</w:t>
      </w:r>
      <w:r w:rsidRPr="00EC02CA">
        <w:t>ow would you feel if this was, images of you being sent out</w:t>
      </w:r>
      <w:r w:rsidR="00FC272D" w:rsidRPr="00EC02CA">
        <w:t>?’.</w:t>
      </w:r>
      <w:r w:rsidRPr="00EC02CA">
        <w:t xml:space="preserve"> Yeah, </w:t>
      </w:r>
      <w:r w:rsidR="0002764A" w:rsidRPr="00EC02CA">
        <w:t>a</w:t>
      </w:r>
      <w:r w:rsidRPr="00EC02CA">
        <w:t xml:space="preserve">s opposed to someone who is actively searching the </w:t>
      </w:r>
      <w:r w:rsidR="00F66DED" w:rsidRPr="00EC02CA">
        <w:t>i</w:t>
      </w:r>
      <w:r w:rsidRPr="00EC02CA">
        <w:t xml:space="preserve">nternet for </w:t>
      </w:r>
      <w:r w:rsidR="00F66DED" w:rsidRPr="00EC02CA">
        <w:t>[child exploitation material]</w:t>
      </w:r>
      <w:r w:rsidRPr="00EC02CA">
        <w:t>, depraved stuff</w:t>
      </w:r>
      <w:r w:rsidR="00FC272D" w:rsidRPr="00EC02CA">
        <w:t>, [that]</w:t>
      </w:r>
      <w:r w:rsidRPr="00EC02CA">
        <w:t xml:space="preserve"> is completely different.</w:t>
      </w:r>
      <w:r w:rsidR="00D80D05" w:rsidRPr="00EC02CA">
        <w:rPr>
          <w:rStyle w:val="FootnoteReference"/>
          <w:rFonts w:eastAsia="Aptos"/>
        </w:rPr>
        <w:footnoteReference w:id="712"/>
      </w:r>
    </w:p>
    <w:p w14:paraId="412D329E" w14:textId="3C116798" w:rsidR="00A54609" w:rsidRPr="00EC02CA" w:rsidRDefault="00A54609" w:rsidP="002F0007">
      <w:pPr>
        <w:pStyle w:val="NormalNumberedTextTLRI"/>
        <w:rPr>
          <w:u w:val="single"/>
        </w:rPr>
      </w:pPr>
      <w:r w:rsidRPr="00EC02CA">
        <w:t xml:space="preserve">However, </w:t>
      </w:r>
      <w:r w:rsidR="00AF1EB1" w:rsidRPr="00EC02CA">
        <w:t>there were</w:t>
      </w:r>
      <w:r w:rsidRPr="00EC02CA">
        <w:t xml:space="preserve"> some reservations</w:t>
      </w:r>
      <w:r w:rsidR="00AF1EB1" w:rsidRPr="00EC02CA">
        <w:t xml:space="preserve"> expressed about diversion,</w:t>
      </w:r>
      <w:r w:rsidRPr="00EC02CA">
        <w:t xml:space="preserve"> with eight interviewees suggesting </w:t>
      </w:r>
      <w:r w:rsidR="00AF1EB1" w:rsidRPr="00EC02CA">
        <w:t>that it</w:t>
      </w:r>
      <w:r w:rsidRPr="00EC02CA">
        <w:t xml:space="preserve"> may not be appropriate for some or all cases of sexual offending due to the severe nature of th</w:t>
      </w:r>
      <w:r w:rsidR="00E922D8" w:rsidRPr="00EC02CA">
        <w:t>i</w:t>
      </w:r>
      <w:r w:rsidRPr="00EC02CA">
        <w:t>s type of offen</w:t>
      </w:r>
      <w:r w:rsidR="00E922D8" w:rsidRPr="00EC02CA">
        <w:t>ding</w:t>
      </w:r>
      <w:r w:rsidR="000D4219" w:rsidRPr="00EC02CA">
        <w:t>:</w:t>
      </w:r>
    </w:p>
    <w:p w14:paraId="7DFBBC53" w14:textId="02BFFD73" w:rsidR="00A54609" w:rsidRPr="00EC02CA" w:rsidRDefault="00A54609" w:rsidP="00A920EC">
      <w:pPr>
        <w:pStyle w:val="Indentedquote"/>
      </w:pPr>
      <w:r w:rsidRPr="00EC02CA">
        <w:t>I think you have to be really careful about it, especially for the survivor and make sure that their voice is heard. Some of our survivors still tend to agree with things because of, as I said, a lot of these kids we</w:t>
      </w:r>
      <w:r w:rsidR="00E922D8" w:rsidRPr="00EC02CA">
        <w:t>’</w:t>
      </w:r>
      <w:r w:rsidRPr="00EC02CA">
        <w:t>re talking about are actually really vulnerable.</w:t>
      </w:r>
      <w:r w:rsidRPr="00EC02CA">
        <w:rPr>
          <w:rStyle w:val="FootnoteReference"/>
        </w:rPr>
        <w:footnoteReference w:id="713"/>
      </w:r>
    </w:p>
    <w:p w14:paraId="3D74AFB1" w14:textId="0BDB59EB" w:rsidR="00A54609" w:rsidRPr="00EC02CA" w:rsidRDefault="00A54609" w:rsidP="00A920EC">
      <w:pPr>
        <w:pStyle w:val="Indentedquote"/>
      </w:pPr>
      <w:r w:rsidRPr="00EC02CA">
        <w:t xml:space="preserve">We see that </w:t>
      </w:r>
      <w:r w:rsidR="00F06225" w:rsidRPr="00EC02CA">
        <w:t>…</w:t>
      </w:r>
      <w:r w:rsidRPr="00EC02CA">
        <w:t xml:space="preserve"> more at the other end, the more </w:t>
      </w:r>
      <w:r w:rsidR="00F06225" w:rsidRPr="00EC02CA">
        <w:t>…</w:t>
      </w:r>
      <w:r w:rsidRPr="00EC02CA">
        <w:t xml:space="preserve"> it is a serious sexual offence. You know, there</w:t>
      </w:r>
      <w:r w:rsidR="00F06225" w:rsidRPr="00EC02CA">
        <w:t>’</w:t>
      </w:r>
      <w:r w:rsidRPr="00EC02CA">
        <w:t xml:space="preserve">s violence attached to it, etc. And it </w:t>
      </w:r>
      <w:r w:rsidR="00F06225" w:rsidRPr="00EC02CA">
        <w:t>…</w:t>
      </w:r>
      <w:r w:rsidRPr="00EC02CA">
        <w:t xml:space="preserve"> requires obviously a very different course of action, which is </w:t>
      </w:r>
      <w:r w:rsidR="00F06225" w:rsidRPr="00EC02CA">
        <w:t>the [Magistrates C</w:t>
      </w:r>
      <w:r w:rsidRPr="00EC02CA">
        <w:t>ourt</w:t>
      </w:r>
      <w:r w:rsidR="00F06225" w:rsidRPr="00EC02CA">
        <w:t>]</w:t>
      </w:r>
      <w:r w:rsidRPr="00EC02CA">
        <w:t xml:space="preserve"> and then moving to the Supreme Court.</w:t>
      </w:r>
      <w:r w:rsidRPr="00EC02CA">
        <w:rPr>
          <w:rStyle w:val="FootnoteReference"/>
        </w:rPr>
        <w:footnoteReference w:id="714"/>
      </w:r>
    </w:p>
    <w:p w14:paraId="4084F6BD" w14:textId="3D67CEB7" w:rsidR="00A54609" w:rsidRPr="00EC02CA" w:rsidRDefault="00A54609" w:rsidP="00A920EC">
      <w:pPr>
        <w:pStyle w:val="Indentedquote"/>
      </w:pPr>
      <w:r w:rsidRPr="00EC02CA">
        <w:t xml:space="preserve">Honestly, I think it probably needs to go to court, </w:t>
      </w:r>
      <w:r w:rsidR="00111A58" w:rsidRPr="00EC02CA">
        <w:t>because</w:t>
      </w:r>
      <w:r w:rsidRPr="00EC02CA">
        <w:t xml:space="preserve"> </w:t>
      </w:r>
      <w:r w:rsidR="00F06225" w:rsidRPr="00EC02CA">
        <w:t>…</w:t>
      </w:r>
      <w:r w:rsidRPr="00EC02CA">
        <w:t xml:space="preserve"> there needs to be some sort of</w:t>
      </w:r>
      <w:r w:rsidR="00111A58" w:rsidRPr="00EC02CA">
        <w:t xml:space="preserve"> response</w:t>
      </w:r>
      <w:r w:rsidRPr="00EC02CA">
        <w:t>. And I</w:t>
      </w:r>
      <w:r w:rsidR="00F06225" w:rsidRPr="00EC02CA">
        <w:t>’</w:t>
      </w:r>
      <w:r w:rsidRPr="00EC02CA">
        <w:t>m not saying we send them to jail, lock them up, but whether the court mandates some sort of educational program for them</w:t>
      </w:r>
      <w:r w:rsidR="00F06225" w:rsidRPr="00EC02CA">
        <w:t>,</w:t>
      </w:r>
      <w:r w:rsidRPr="00EC02CA">
        <w:t xml:space="preserve"> or something like that.</w:t>
      </w:r>
      <w:r w:rsidRPr="00EC02CA">
        <w:rPr>
          <w:rStyle w:val="FootnoteReference"/>
        </w:rPr>
        <w:footnoteReference w:id="715"/>
      </w:r>
    </w:p>
    <w:p w14:paraId="3E3826CC" w14:textId="52720D55" w:rsidR="00913B2D" w:rsidRPr="00EC02CA" w:rsidRDefault="00A54609" w:rsidP="00A920EC">
      <w:pPr>
        <w:pStyle w:val="Indentedquote"/>
      </w:pPr>
      <w:r w:rsidRPr="00EC02CA">
        <w:t>It wouldn’t be very trauma</w:t>
      </w:r>
      <w:r w:rsidR="00F06225" w:rsidRPr="00EC02CA">
        <w:t>-</w:t>
      </w:r>
      <w:r w:rsidRPr="00EC02CA">
        <w:t xml:space="preserve">informed, I think, to just engage a victim in a restorative justice process. I think that could </w:t>
      </w:r>
      <w:r w:rsidR="00F06225" w:rsidRPr="00EC02CA">
        <w:t xml:space="preserve">[be] </w:t>
      </w:r>
      <w:r w:rsidRPr="00EC02CA">
        <w:t xml:space="preserve">quite problematic and tricky to manage, and I’m not really sure that </w:t>
      </w:r>
      <w:r w:rsidR="00AE3732" w:rsidRPr="00EC02CA">
        <w:t>[there is]</w:t>
      </w:r>
      <w:r w:rsidRPr="00EC02CA">
        <w:t xml:space="preserve"> a set-up within the justice system at the moment that would allow that. It’s a specialist area, and I think that in other jurisdictions they have specialists to work through restorative justice processes that include sexual offending. I don’t think we have that here – that I’m aware of – so it’s difficult.</w:t>
      </w:r>
      <w:r w:rsidR="00EF459B" w:rsidRPr="00EC02CA">
        <w:rPr>
          <w:rStyle w:val="FootnoteReference"/>
        </w:rPr>
        <w:footnoteReference w:id="716"/>
      </w:r>
    </w:p>
    <w:p w14:paraId="2976523E" w14:textId="6480991F" w:rsidR="00913B2D" w:rsidRPr="00EC02CA" w:rsidRDefault="00E801B7" w:rsidP="00A920EC">
      <w:pPr>
        <w:pStyle w:val="Indentedquote"/>
      </w:pPr>
      <w:r w:rsidRPr="00EC02CA">
        <w:t xml:space="preserve">There is </w:t>
      </w:r>
      <w:r w:rsidR="00913B2D" w:rsidRPr="00EC02CA">
        <w:t xml:space="preserve">not likely to be much appetite for </w:t>
      </w:r>
      <w:r w:rsidRPr="00EC02CA">
        <w:t xml:space="preserve">a </w:t>
      </w:r>
      <w:r w:rsidR="00913B2D" w:rsidRPr="00EC02CA">
        <w:t xml:space="preserve">young person who </w:t>
      </w:r>
      <w:r w:rsidRPr="00EC02CA">
        <w:t>is a victim</w:t>
      </w:r>
      <w:r w:rsidR="00913B2D" w:rsidRPr="00EC02CA">
        <w:t xml:space="preserve"> of sexual abuse to participate in a community conference. There is more of an appetite from a system perspective to use </w:t>
      </w:r>
      <w:r w:rsidRPr="00EC02CA">
        <w:t>cautions and</w:t>
      </w:r>
      <w:r w:rsidR="00913B2D" w:rsidRPr="00EC02CA">
        <w:t xml:space="preserve"> conferences for sexual offences</w:t>
      </w:r>
      <w:r w:rsidR="00F06225" w:rsidRPr="00EC02CA">
        <w:t>,</w:t>
      </w:r>
      <w:r w:rsidR="00913B2D" w:rsidRPr="00EC02CA">
        <w:t xml:space="preserve"> </w:t>
      </w:r>
      <w:r w:rsidRPr="00EC02CA">
        <w:t>particularly</w:t>
      </w:r>
      <w:r w:rsidR="00913B2D" w:rsidRPr="00EC02CA">
        <w:t xml:space="preserve"> </w:t>
      </w:r>
      <w:r w:rsidRPr="00EC02CA">
        <w:t xml:space="preserve">for </w:t>
      </w:r>
      <w:r w:rsidR="00913B2D" w:rsidRPr="00EC02CA">
        <w:t>online offending</w:t>
      </w:r>
      <w:r w:rsidRPr="00EC02CA">
        <w:t>.</w:t>
      </w:r>
      <w:r w:rsidRPr="00EC02CA">
        <w:rPr>
          <w:rStyle w:val="FootnoteReference"/>
        </w:rPr>
        <w:footnoteReference w:id="717"/>
      </w:r>
    </w:p>
    <w:p w14:paraId="245D09C5" w14:textId="0E7D09B8" w:rsidR="0097522F" w:rsidRPr="00EC02CA" w:rsidRDefault="0097522F" w:rsidP="00A920EC">
      <w:pPr>
        <w:pStyle w:val="Indentedquote"/>
      </w:pPr>
      <w:r w:rsidRPr="00EC02CA">
        <w:t>But having some sort of community conference with the victim</w:t>
      </w:r>
      <w:r w:rsidR="00010E3A" w:rsidRPr="00EC02CA">
        <w:t>-</w:t>
      </w:r>
      <w:r w:rsidRPr="00EC02CA">
        <w:t>survivor and other people involved sitting around, I can</w:t>
      </w:r>
      <w:r w:rsidR="00F06225" w:rsidRPr="00EC02CA">
        <w:t>’</w:t>
      </w:r>
      <w:r w:rsidRPr="00EC02CA">
        <w:t>t see how that would be a process that would be psychologically safe for the people involved.</w:t>
      </w:r>
      <w:r w:rsidRPr="00EC02CA">
        <w:rPr>
          <w:rStyle w:val="FootnoteReference"/>
        </w:rPr>
        <w:footnoteReference w:id="718"/>
      </w:r>
    </w:p>
    <w:p w14:paraId="6B4B78F8" w14:textId="77777777" w:rsidR="00F06225" w:rsidRPr="00EC02CA" w:rsidRDefault="00E801B7" w:rsidP="002F0007">
      <w:pPr>
        <w:pStyle w:val="NormalNumberedTextTLRI"/>
      </w:pPr>
      <w:r w:rsidRPr="00EC02CA">
        <w:t xml:space="preserve">It was also stressed the value of any </w:t>
      </w:r>
      <w:r w:rsidR="00C23C8B" w:rsidRPr="00EC02CA">
        <w:t xml:space="preserve">diversionary process rested on there being a genuine engagement with the process by the </w:t>
      </w:r>
      <w:r w:rsidR="00EA1169" w:rsidRPr="00EC02CA">
        <w:t>young sexual offender, so that it was not tokenistic but legitimate.</w:t>
      </w:r>
      <w:r w:rsidR="00EA1169" w:rsidRPr="00EC02CA">
        <w:rPr>
          <w:rStyle w:val="FootnoteReference"/>
        </w:rPr>
        <w:footnoteReference w:id="719"/>
      </w:r>
      <w:r w:rsidR="0097522F" w:rsidRPr="00EC02CA">
        <w:t xml:space="preserve"> Concerns were also </w:t>
      </w:r>
      <w:r w:rsidR="008447C0" w:rsidRPr="00EC02CA">
        <w:t>expressed</w:t>
      </w:r>
      <w:r w:rsidR="0097522F" w:rsidRPr="00EC02CA">
        <w:t xml:space="preserve"> that </w:t>
      </w:r>
      <w:r w:rsidR="008447C0" w:rsidRPr="00EC02CA">
        <w:t>participation</w:t>
      </w:r>
      <w:r w:rsidR="0097522F" w:rsidRPr="00EC02CA">
        <w:t xml:space="preserve"> in a diversionary </w:t>
      </w:r>
      <w:r w:rsidR="008447C0" w:rsidRPr="00EC02CA">
        <w:t xml:space="preserve">process may be undermined if the </w:t>
      </w:r>
      <w:r w:rsidR="00B309D6" w:rsidRPr="00EC02CA">
        <w:t xml:space="preserve">broader context of the offending </w:t>
      </w:r>
      <w:r w:rsidR="00E34E28" w:rsidRPr="00EC02CA">
        <w:t>behaviour</w:t>
      </w:r>
      <w:r w:rsidR="00B309D6" w:rsidRPr="00EC02CA">
        <w:t xml:space="preserve"> was not address</w:t>
      </w:r>
      <w:r w:rsidR="00E34E28" w:rsidRPr="00EC02CA">
        <w:t>ed</w:t>
      </w:r>
      <w:r w:rsidR="00B309D6" w:rsidRPr="00EC02CA">
        <w:t xml:space="preserve">: </w:t>
      </w:r>
    </w:p>
    <w:p w14:paraId="25C21C2B" w14:textId="3B96AD92" w:rsidR="00E801B7" w:rsidRPr="00EC02CA" w:rsidRDefault="00E34E28" w:rsidP="00A920EC">
      <w:pPr>
        <w:pStyle w:val="Indentedquote"/>
      </w:pPr>
      <w:r w:rsidRPr="00EC02CA">
        <w:t>I think there</w:t>
      </w:r>
      <w:r w:rsidR="00F06225" w:rsidRPr="00EC02CA">
        <w:t>’</w:t>
      </w:r>
      <w:r w:rsidRPr="00EC02CA">
        <w:t>s a level of stupidity to that because you</w:t>
      </w:r>
      <w:r w:rsidR="00F06225" w:rsidRPr="00EC02CA">
        <w:t>’</w:t>
      </w:r>
      <w:r w:rsidRPr="00EC02CA">
        <w:t>re not addressing the underlying issues. So, if the child is going home to see dad be sexually violent towards mum every single night, how would giving someone a caution assist them in any space, other than don</w:t>
      </w:r>
      <w:r w:rsidR="00F06225" w:rsidRPr="00EC02CA">
        <w:t>’</w:t>
      </w:r>
      <w:r w:rsidRPr="00EC02CA">
        <w:t>t get caught?</w:t>
      </w:r>
      <w:r w:rsidRPr="00EC02CA">
        <w:rPr>
          <w:rStyle w:val="FootnoteReference"/>
        </w:rPr>
        <w:footnoteReference w:id="720"/>
      </w:r>
    </w:p>
    <w:p w14:paraId="78422EDB" w14:textId="1E8D8E13" w:rsidR="0008186D" w:rsidRPr="00EC02CA" w:rsidRDefault="008D274F" w:rsidP="002F0007">
      <w:pPr>
        <w:pStyle w:val="NormalNumberedTextTLRI"/>
      </w:pPr>
      <w:r w:rsidRPr="00EC02CA">
        <w:t>It was also reported in 14 interviews, that police may regularly work with schools to contribute to the educative response to youth-perpetrated harm</w:t>
      </w:r>
      <w:r w:rsidR="00E34E28" w:rsidRPr="00EC02CA">
        <w:t xml:space="preserve">. This was said to be the first level of response from police to </w:t>
      </w:r>
      <w:r w:rsidR="00ED24EB" w:rsidRPr="00EC02CA">
        <w:t>allegation</w:t>
      </w:r>
      <w:r w:rsidR="00F06225" w:rsidRPr="00EC02CA">
        <w:t>s</w:t>
      </w:r>
      <w:r w:rsidR="00ED24EB" w:rsidRPr="00EC02CA">
        <w:t xml:space="preserve"> of posting </w:t>
      </w:r>
      <w:r w:rsidR="00F06225" w:rsidRPr="00EC02CA">
        <w:t xml:space="preserve">intimate images </w:t>
      </w:r>
      <w:r w:rsidR="00ED24EB" w:rsidRPr="00EC02CA">
        <w:t>online</w:t>
      </w:r>
      <w:r w:rsidR="0008186D" w:rsidRPr="00EC02CA">
        <w:t>:</w:t>
      </w:r>
    </w:p>
    <w:p w14:paraId="5206EF66" w14:textId="54AF6B60" w:rsidR="00706FF7" w:rsidRPr="00EC02CA" w:rsidRDefault="00706FF7" w:rsidP="00A920EC">
      <w:pPr>
        <w:pStyle w:val="Indentedquote"/>
      </w:pPr>
      <w:r w:rsidRPr="00EC02CA">
        <w:t>[</w:t>
      </w:r>
      <w:r w:rsidR="00B737BF" w:rsidRPr="00EC02CA">
        <w:t>P</w:t>
      </w:r>
      <w:r w:rsidRPr="00EC02CA">
        <w:t>olice] have done formal cautions on minor distribution of CEM, when there</w:t>
      </w:r>
      <w:r w:rsidR="00F06225" w:rsidRPr="00EC02CA">
        <w:t>’</w:t>
      </w:r>
      <w:r w:rsidRPr="00EC02CA">
        <w:t>s been a boyfriend, girlfriend or a friend</w:t>
      </w:r>
      <w:r w:rsidR="00F06225" w:rsidRPr="00EC02CA">
        <w:t>’</w:t>
      </w:r>
      <w:r w:rsidRPr="00EC02CA">
        <w:t>s got a nude or something and shared it. And … usually it</w:t>
      </w:r>
      <w:r w:rsidR="00F06225" w:rsidRPr="00EC02CA">
        <w:t>’</w:t>
      </w:r>
      <w:r w:rsidRPr="00EC02CA">
        <w:t>s not straight up a formal caution</w:t>
      </w:r>
      <w:r w:rsidR="008D33F5" w:rsidRPr="00EC02CA">
        <w:t>. [Instead, police have]</w:t>
      </w:r>
      <w:r w:rsidRPr="00EC02CA">
        <w:t xml:space="preserve"> gone out </w:t>
      </w:r>
      <w:r w:rsidR="008D33F5" w:rsidRPr="00EC02CA">
        <w:t xml:space="preserve">and </w:t>
      </w:r>
      <w:r w:rsidRPr="00EC02CA">
        <w:t>spoken to them and</w:t>
      </w:r>
      <w:r w:rsidR="008D33F5" w:rsidRPr="00EC02CA">
        <w:t xml:space="preserve"> </w:t>
      </w:r>
      <w:r w:rsidRPr="00EC02CA">
        <w:t>done education around that and whether that</w:t>
      </w:r>
      <w:r w:rsidR="00F06225" w:rsidRPr="00EC02CA">
        <w:t>’</w:t>
      </w:r>
      <w:r w:rsidRPr="00EC02CA">
        <w:t xml:space="preserve">s been in the whole of </w:t>
      </w:r>
      <w:r w:rsidR="00F06225" w:rsidRPr="00EC02CA">
        <w:t>[the]</w:t>
      </w:r>
      <w:r w:rsidR="00757869" w:rsidRPr="00EC02CA">
        <w:t xml:space="preserve"> </w:t>
      </w:r>
      <w:r w:rsidRPr="00EC02CA">
        <w:t xml:space="preserve">school or individually. If they continue that behaviour, then </w:t>
      </w:r>
      <w:r w:rsidR="008D33F5" w:rsidRPr="00EC02CA">
        <w:t>[police may use]</w:t>
      </w:r>
      <w:r w:rsidRPr="00EC02CA">
        <w:t xml:space="preserve"> a formal caution around </w:t>
      </w:r>
      <w:r w:rsidR="008D33F5" w:rsidRPr="00EC02CA">
        <w:t xml:space="preserve">the </w:t>
      </w:r>
      <w:r w:rsidRPr="00EC02CA">
        <w:t>distribution of images.</w:t>
      </w:r>
    </w:p>
    <w:p w14:paraId="6520436C" w14:textId="38B98AB8" w:rsidR="00687B23" w:rsidRPr="00EC02CA" w:rsidRDefault="001668EC" w:rsidP="00A920EC">
      <w:pPr>
        <w:pStyle w:val="Indentedquote"/>
      </w:pPr>
      <w:r w:rsidRPr="00EC02CA">
        <w:t>[</w:t>
      </w:r>
      <w:r w:rsidR="00B737BF" w:rsidRPr="00EC02CA">
        <w:t>P</w:t>
      </w:r>
      <w:r w:rsidRPr="00EC02CA">
        <w:t xml:space="preserve">olice] </w:t>
      </w:r>
      <w:r w:rsidR="008D274F" w:rsidRPr="00EC02CA">
        <w:t>met with the school principals</w:t>
      </w:r>
      <w:r w:rsidR="006D5E2B" w:rsidRPr="00EC02CA">
        <w:t xml:space="preserve"> [and] … </w:t>
      </w:r>
      <w:r w:rsidR="008D274F" w:rsidRPr="00EC02CA">
        <w:t xml:space="preserve">identified some schools where </w:t>
      </w:r>
      <w:r w:rsidR="006D5E2B" w:rsidRPr="00EC02CA">
        <w:t>[they]</w:t>
      </w:r>
      <w:r w:rsidR="008D274F" w:rsidRPr="00EC02CA">
        <w:t xml:space="preserve"> thought </w:t>
      </w:r>
      <w:r w:rsidR="006D5E2B" w:rsidRPr="00EC02CA">
        <w:t xml:space="preserve">[they] </w:t>
      </w:r>
      <w:r w:rsidR="008D274F" w:rsidRPr="00EC02CA">
        <w:t xml:space="preserve">could </w:t>
      </w:r>
      <w:r w:rsidR="00757869" w:rsidRPr="00EC02CA">
        <w:t>…</w:t>
      </w:r>
      <w:r w:rsidR="008D274F" w:rsidRPr="00EC02CA">
        <w:t xml:space="preserve"> have the greatest impact and started interacting with those schools and </w:t>
      </w:r>
      <w:r w:rsidR="006D5E2B" w:rsidRPr="00EC02CA">
        <w:t>[they</w:t>
      </w:r>
      <w:r w:rsidR="00757869" w:rsidRPr="00EC02CA">
        <w:t>’</w:t>
      </w:r>
      <w:r w:rsidR="008D274F" w:rsidRPr="00EC02CA">
        <w:t>d</w:t>
      </w:r>
      <w:r w:rsidR="00687B23" w:rsidRPr="00EC02CA">
        <w:t>]</w:t>
      </w:r>
      <w:r w:rsidR="008D274F" w:rsidRPr="00EC02CA">
        <w:t xml:space="preserve"> go and work with the high-risk students and that sort of thing. And whilst that wasn</w:t>
      </w:r>
      <w:r w:rsidR="00757869" w:rsidRPr="00EC02CA">
        <w:t>’</w:t>
      </w:r>
      <w:r w:rsidR="008D274F" w:rsidRPr="00EC02CA">
        <w:t>t purely a sexual</w:t>
      </w:r>
      <w:r w:rsidR="00757869" w:rsidRPr="00EC02CA">
        <w:t>-</w:t>
      </w:r>
      <w:r w:rsidR="008D274F" w:rsidRPr="00EC02CA">
        <w:t xml:space="preserve">violence focused activity, that was certainly a big part of it. It was about encouraging those respectful relationships, trying to have a positive influence on particular kids </w:t>
      </w:r>
      <w:r w:rsidR="00687B23" w:rsidRPr="00EC02CA">
        <w:t>[they]</w:t>
      </w:r>
      <w:r w:rsidR="008D274F" w:rsidRPr="00EC02CA">
        <w:t xml:space="preserve"> would identify that weren</w:t>
      </w:r>
      <w:r w:rsidR="00757869" w:rsidRPr="00EC02CA">
        <w:t>’</w:t>
      </w:r>
      <w:r w:rsidR="008D274F" w:rsidRPr="00EC02CA">
        <w:t>t getting that at home.</w:t>
      </w:r>
      <w:r w:rsidR="0008186D" w:rsidRPr="00EC02CA">
        <w:rPr>
          <w:rStyle w:val="FootnoteReference"/>
        </w:rPr>
        <w:footnoteReference w:id="721"/>
      </w:r>
      <w:r w:rsidR="0008186D" w:rsidRPr="00EC02CA">
        <w:t xml:space="preserve"> </w:t>
      </w:r>
    </w:p>
    <w:p w14:paraId="63409F8E" w14:textId="326E9E92" w:rsidR="0008186D" w:rsidRPr="00EC02CA" w:rsidRDefault="0008186D" w:rsidP="00A920EC">
      <w:pPr>
        <w:pStyle w:val="Indentedquote"/>
      </w:pPr>
      <w:r w:rsidRPr="00EC02CA">
        <w:t xml:space="preserve">So in terms of disruption? </w:t>
      </w:r>
      <w:r w:rsidR="00687B23" w:rsidRPr="00EC02CA">
        <w:t xml:space="preserve">[Police] </w:t>
      </w:r>
      <w:r w:rsidRPr="00EC02CA">
        <w:t xml:space="preserve">in the past met with different schools that are having an influx of </w:t>
      </w:r>
      <w:r w:rsidR="005D62A2" w:rsidRPr="00EC02CA">
        <w:t>those sorts of issues of online sexual offending</w:t>
      </w:r>
      <w:r w:rsidRPr="00EC02CA">
        <w:t xml:space="preserve">. </w:t>
      </w:r>
      <w:r w:rsidR="00687B23" w:rsidRPr="00EC02CA">
        <w:t>Police would t</w:t>
      </w:r>
      <w:r w:rsidRPr="00EC02CA">
        <w:t>alk to the teachers, talk to the counsellors and haven</w:t>
      </w:r>
      <w:r w:rsidR="00757869" w:rsidRPr="00EC02CA">
        <w:t>’</w:t>
      </w:r>
      <w:r w:rsidRPr="00EC02CA">
        <w:t>t necessarily been looking at criminality unless you know, maybe the one kid that</w:t>
      </w:r>
      <w:r w:rsidR="00757869" w:rsidRPr="00EC02CA">
        <w:t>’</w:t>
      </w:r>
      <w:r w:rsidRPr="00EC02CA">
        <w:t>s showing it to 15 other kids</w:t>
      </w:r>
      <w:r w:rsidR="005D62A2" w:rsidRPr="00EC02CA">
        <w:t>.</w:t>
      </w:r>
      <w:r w:rsidRPr="00EC02CA">
        <w:t xml:space="preserve"> </w:t>
      </w:r>
      <w:r w:rsidR="00224F99" w:rsidRPr="00EC02CA">
        <w:t>M</w:t>
      </w:r>
      <w:r w:rsidRPr="00EC02CA">
        <w:t>aybe that</w:t>
      </w:r>
      <w:r w:rsidR="00757869" w:rsidRPr="00EC02CA">
        <w:t>’</w:t>
      </w:r>
      <w:r w:rsidRPr="00EC02CA">
        <w:t>s someone to look at talking to, but stopping the behaviour is probably more important at that point.</w:t>
      </w:r>
      <w:r w:rsidR="00224F99" w:rsidRPr="00EC02CA">
        <w:rPr>
          <w:rStyle w:val="FootnoteReference"/>
        </w:rPr>
        <w:footnoteReference w:id="722"/>
      </w:r>
      <w:r w:rsidRPr="00EC02CA">
        <w:t xml:space="preserve"> </w:t>
      </w:r>
    </w:p>
    <w:p w14:paraId="4135E985" w14:textId="71D559F7" w:rsidR="0008186D" w:rsidRPr="00EC02CA" w:rsidRDefault="00AE1E71" w:rsidP="00A920EC">
      <w:pPr>
        <w:pStyle w:val="Indentedquote"/>
      </w:pPr>
      <w:r w:rsidRPr="00EC02CA">
        <w:t xml:space="preserve">[A </w:t>
      </w:r>
      <w:r w:rsidR="0008186D" w:rsidRPr="00EC02CA">
        <w:t xml:space="preserve">high school] had a real problem and </w:t>
      </w:r>
      <w:r w:rsidRPr="00EC02CA">
        <w:t>[police went]</w:t>
      </w:r>
      <w:r w:rsidR="0008186D" w:rsidRPr="00EC02CA">
        <w:t xml:space="preserve"> three times </w:t>
      </w:r>
      <w:r w:rsidRPr="00EC02CA">
        <w:t>…</w:t>
      </w:r>
      <w:r w:rsidR="0008186D" w:rsidRPr="00EC02CA">
        <w:t xml:space="preserve"> to the same group</w:t>
      </w:r>
      <w:r w:rsidR="00D94D67" w:rsidRPr="00EC02CA">
        <w:t>,</w:t>
      </w:r>
      <w:r w:rsidR="0008186D" w:rsidRPr="00EC02CA">
        <w:t xml:space="preserve"> I think grade eight students. In the end, we had the whole </w:t>
      </w:r>
      <w:r w:rsidR="00BE3887" w:rsidRPr="00EC02CA">
        <w:t>g</w:t>
      </w:r>
      <w:r w:rsidR="0008186D" w:rsidRPr="00EC02CA">
        <w:t xml:space="preserve">rade </w:t>
      </w:r>
      <w:r w:rsidR="002F7877" w:rsidRPr="00EC02CA">
        <w:t>…</w:t>
      </w:r>
      <w:r w:rsidR="0008186D" w:rsidRPr="00EC02CA">
        <w:t xml:space="preserve"> cohort there and </w:t>
      </w:r>
      <w:r w:rsidRPr="00EC02CA">
        <w:t>[police were</w:t>
      </w:r>
      <w:r w:rsidR="005E3AE9" w:rsidRPr="00EC02CA">
        <w:t>]</w:t>
      </w:r>
      <w:r w:rsidR="0008186D" w:rsidRPr="00EC02CA">
        <w:t xml:space="preserve"> talking to them and </w:t>
      </w:r>
      <w:r w:rsidR="005E3AE9" w:rsidRPr="00EC02CA">
        <w:t>…</w:t>
      </w:r>
      <w:r w:rsidR="0008186D" w:rsidRPr="00EC02CA">
        <w:t xml:space="preserve"> said</w:t>
      </w:r>
      <w:r w:rsidR="00757869" w:rsidRPr="00EC02CA">
        <w:t>,</w:t>
      </w:r>
      <w:r w:rsidR="0008186D" w:rsidRPr="00EC02CA">
        <w:t xml:space="preserve"> ‘right, whoever</w:t>
      </w:r>
      <w:r w:rsidR="00757869" w:rsidRPr="00EC02CA">
        <w:t>’</w:t>
      </w:r>
      <w:r w:rsidR="0008186D" w:rsidRPr="00EC02CA">
        <w:t>s willing to stand up in front of this class now without your gear on and just stand there so that everyone can laugh and make fun of you, come and do it right now, because that</w:t>
      </w:r>
      <w:r w:rsidR="00757869" w:rsidRPr="00EC02CA">
        <w:t>’</w:t>
      </w:r>
      <w:r w:rsidR="0008186D" w:rsidRPr="00EC02CA">
        <w:t xml:space="preserve">s exactly, yeah’. </w:t>
      </w:r>
      <w:r w:rsidR="005E3AE9" w:rsidRPr="00EC02CA">
        <w:t>[Police]</w:t>
      </w:r>
      <w:r w:rsidR="0008186D" w:rsidRPr="00EC02CA">
        <w:t xml:space="preserve"> pitched it that way to them to try and, get it through to them that what they</w:t>
      </w:r>
      <w:r w:rsidR="00757869" w:rsidRPr="00EC02CA">
        <w:t>’</w:t>
      </w:r>
      <w:r w:rsidR="0008186D" w:rsidRPr="00EC02CA">
        <w:t>re doing is harming others, and what the consequences will be.</w:t>
      </w:r>
      <w:r w:rsidR="005E3AE9" w:rsidRPr="00EC02CA">
        <w:rPr>
          <w:rStyle w:val="FootnoteReference"/>
        </w:rPr>
        <w:footnoteReference w:id="723"/>
      </w:r>
    </w:p>
    <w:p w14:paraId="49CC2A23" w14:textId="4F6AB5AD" w:rsidR="00B3168C" w:rsidRPr="00EC02CA" w:rsidRDefault="0008186D" w:rsidP="00A920EC">
      <w:pPr>
        <w:pStyle w:val="Indentedquote"/>
      </w:pPr>
      <w:r w:rsidRPr="00EC02CA">
        <w:t>Last year</w:t>
      </w:r>
      <w:r w:rsidR="00D94D67" w:rsidRPr="00EC02CA">
        <w:t>,</w:t>
      </w:r>
      <w:r w:rsidRPr="00EC02CA">
        <w:t xml:space="preserve"> or the year before might have been, </w:t>
      </w:r>
      <w:r w:rsidR="005E3AE9" w:rsidRPr="00EC02CA">
        <w:t xml:space="preserve">[there was] </w:t>
      </w:r>
      <w:r w:rsidRPr="00EC02CA">
        <w:t xml:space="preserve">a ring, a group of kids </w:t>
      </w:r>
      <w:r w:rsidR="00D94D67" w:rsidRPr="00EC02CA">
        <w:t>…</w:t>
      </w:r>
      <w:r w:rsidRPr="00EC02CA">
        <w:t xml:space="preserve"> at </w:t>
      </w:r>
      <w:r w:rsidR="00D94D67" w:rsidRPr="00EC02CA">
        <w:t>…</w:t>
      </w:r>
      <w:r w:rsidRPr="00EC02CA">
        <w:t xml:space="preserve"> a local high school and it was out of control. This sending, taking photos, not accessing, but it kept going.</w:t>
      </w:r>
      <w:r w:rsidR="00B737BF" w:rsidRPr="00EC02CA">
        <w:t xml:space="preserve"> </w:t>
      </w:r>
      <w:r w:rsidRPr="00EC02CA">
        <w:t xml:space="preserve">So what </w:t>
      </w:r>
      <w:r w:rsidR="005E3AE9" w:rsidRPr="00EC02CA">
        <w:t>[police]</w:t>
      </w:r>
      <w:r w:rsidRPr="00EC02CA">
        <w:t xml:space="preserve"> did with the school was identified the ringleader, who was a </w:t>
      </w:r>
      <w:r w:rsidR="00BE3887" w:rsidRPr="00EC02CA">
        <w:t>…</w:t>
      </w:r>
      <w:r w:rsidRPr="00EC02CA">
        <w:t xml:space="preserve"> boy, </w:t>
      </w:r>
      <w:r w:rsidR="005E3AE9" w:rsidRPr="00EC02CA">
        <w:t xml:space="preserve">[police] </w:t>
      </w:r>
      <w:r w:rsidRPr="00EC02CA">
        <w:t>spoke to his parents</w:t>
      </w:r>
      <w:r w:rsidR="00A46B49" w:rsidRPr="00EC02CA">
        <w:t>,</w:t>
      </w:r>
      <w:r w:rsidRPr="00EC02CA">
        <w:t xml:space="preserve"> and they had no idea, so they were shocked, but they were very supportive of educating all of these kids. What </w:t>
      </w:r>
      <w:r w:rsidR="005E3AE9" w:rsidRPr="00EC02CA">
        <w:t xml:space="preserve">[police] </w:t>
      </w:r>
      <w:r w:rsidRPr="00EC02CA">
        <w:t xml:space="preserve">actually did was </w:t>
      </w:r>
      <w:r w:rsidR="00D94D67" w:rsidRPr="00EC02CA">
        <w:t xml:space="preserve">[they] </w:t>
      </w:r>
      <w:r w:rsidRPr="00EC02CA">
        <w:t xml:space="preserve">got a warrant and went to the school and </w:t>
      </w:r>
      <w:r w:rsidR="005E3AE9" w:rsidRPr="00EC02CA">
        <w:t>[took]</w:t>
      </w:r>
      <w:r w:rsidRPr="00EC02CA">
        <w:t xml:space="preserve"> that child out of class, took his phone </w:t>
      </w:r>
      <w:r w:rsidR="00D94D67" w:rsidRPr="00EC02CA">
        <w:t>…</w:t>
      </w:r>
      <w:r w:rsidRPr="00EC02CA">
        <w:t xml:space="preserve"> and his parents knew, and did a full police interview with the parents </w:t>
      </w:r>
      <w:r w:rsidR="00D94D67" w:rsidRPr="00EC02CA">
        <w:t xml:space="preserve">[and] </w:t>
      </w:r>
      <w:r w:rsidRPr="00EC02CA">
        <w:t>this child. And he wasn</w:t>
      </w:r>
      <w:r w:rsidR="00DC7AC6" w:rsidRPr="00EC02CA">
        <w:t>’</w:t>
      </w:r>
      <w:r w:rsidRPr="00EC02CA">
        <w:t xml:space="preserve">t charged, it was very educative, but he went back to school and the education that he could give as a peer </w:t>
      </w:r>
      <w:r w:rsidR="00D94D67" w:rsidRPr="00EC02CA">
        <w:t xml:space="preserve">[from] </w:t>
      </w:r>
      <w:r w:rsidRPr="00EC02CA">
        <w:t>his experience, realising how serious this was, it stopped everything.</w:t>
      </w:r>
      <w:r w:rsidR="005E3AE9" w:rsidRPr="00EC02CA">
        <w:rPr>
          <w:rStyle w:val="FootnoteReference"/>
        </w:rPr>
        <w:footnoteReference w:id="724"/>
      </w:r>
    </w:p>
    <w:p w14:paraId="737A4CCD" w14:textId="4FFCD5AC" w:rsidR="007E4FBF" w:rsidRPr="00EC02CA" w:rsidRDefault="00EE5B97" w:rsidP="00A920EC">
      <w:pPr>
        <w:pStyle w:val="NumberedHeadingTLRI"/>
        <w:keepNext/>
        <w:keepLines/>
      </w:pPr>
      <w:bookmarkStart w:id="371" w:name="_Toc211849438"/>
      <w:bookmarkStart w:id="372" w:name="_Toc218157340"/>
      <w:r w:rsidRPr="00EC02CA">
        <w:t xml:space="preserve">The Tasmanian </w:t>
      </w:r>
      <w:r w:rsidR="007E4FBF" w:rsidRPr="00EC02CA">
        <w:t>Commission of Inquiry and government response</w:t>
      </w:r>
      <w:bookmarkEnd w:id="371"/>
      <w:bookmarkEnd w:id="372"/>
    </w:p>
    <w:p w14:paraId="3C2649CF" w14:textId="46250F03" w:rsidR="00B41EF9" w:rsidRPr="00EC02CA" w:rsidRDefault="004654CA" w:rsidP="00A920EC">
      <w:pPr>
        <w:pStyle w:val="NormalNumberedTextTLRI"/>
        <w:keepNext/>
        <w:keepLines/>
      </w:pPr>
      <w:r w:rsidRPr="00EC02CA">
        <w:t xml:space="preserve">As with </w:t>
      </w:r>
      <w:r w:rsidR="0021494B" w:rsidRPr="00EC02CA">
        <w:t>previous</w:t>
      </w:r>
      <w:r w:rsidR="001F101D" w:rsidRPr="00EC02CA">
        <w:t xml:space="preserve"> Tasmanian</w:t>
      </w:r>
      <w:r w:rsidRPr="00EC02CA">
        <w:t xml:space="preserve"> research</w:t>
      </w:r>
      <w:r w:rsidR="0021494B" w:rsidRPr="00EC02CA">
        <w:t xml:space="preserve"> examining the use of police diversion</w:t>
      </w:r>
      <w:r w:rsidRPr="00EC02CA">
        <w:t xml:space="preserve">, </w:t>
      </w:r>
      <w:r w:rsidR="001F101D" w:rsidRPr="00EC02CA">
        <w:t>t</w:t>
      </w:r>
      <w:r w:rsidR="00DC18E8" w:rsidRPr="00EC02CA">
        <w:t xml:space="preserve">he Commission of Inquiry </w:t>
      </w:r>
      <w:r w:rsidR="001F101D" w:rsidRPr="00EC02CA">
        <w:t>made observations about the declining rates of diversion for youth offenders.</w:t>
      </w:r>
      <w:r w:rsidR="001F101D" w:rsidRPr="00EC02CA">
        <w:rPr>
          <w:rStyle w:val="FootnoteReference"/>
        </w:rPr>
        <w:footnoteReference w:id="725"/>
      </w:r>
      <w:r w:rsidR="001F101D" w:rsidRPr="00EC02CA">
        <w:t xml:space="preserve"> </w:t>
      </w:r>
      <w:r w:rsidR="00A7281B" w:rsidRPr="00EC02CA">
        <w:t>In</w:t>
      </w:r>
      <w:r w:rsidR="003312CF" w:rsidRPr="00EC02CA">
        <w:t xml:space="preserve"> the context of responding to </w:t>
      </w:r>
      <w:r w:rsidR="00242E90" w:rsidRPr="00EC02CA">
        <w:t>harmful sexual behaviour, t</w:t>
      </w:r>
      <w:r w:rsidR="000F12F7" w:rsidRPr="00EC02CA">
        <w:t xml:space="preserve">he Commission </w:t>
      </w:r>
      <w:r w:rsidR="00DC18E8" w:rsidRPr="00EC02CA">
        <w:t xml:space="preserve">made recommendations that </w:t>
      </w:r>
      <w:r w:rsidR="00560667" w:rsidRPr="00EC02CA">
        <w:t>were directed to increasing the use of diversionary processes for youth offenders</w:t>
      </w:r>
      <w:r w:rsidR="009B5F2F" w:rsidRPr="00EC02CA">
        <w:t>,</w:t>
      </w:r>
      <w:r w:rsidR="000F12F7" w:rsidRPr="00EC02CA">
        <w:t xml:space="preserve"> including i</w:t>
      </w:r>
      <w:r w:rsidR="00560667" w:rsidRPr="00EC02CA">
        <w:t xml:space="preserve">ntroducing legislation to widen the range of offences where diversion may be used and </w:t>
      </w:r>
      <w:r w:rsidR="009B5F2F" w:rsidRPr="00EC02CA">
        <w:t xml:space="preserve">to </w:t>
      </w:r>
      <w:r w:rsidR="00560667" w:rsidRPr="00EC02CA">
        <w:t>create a presumption in favour of pre-court diversion</w:t>
      </w:r>
      <w:r w:rsidR="00381448" w:rsidRPr="00EC02CA">
        <w:t>.</w:t>
      </w:r>
      <w:r w:rsidR="00381448" w:rsidRPr="00EC02CA">
        <w:rPr>
          <w:rStyle w:val="FootnoteReference"/>
        </w:rPr>
        <w:footnoteReference w:id="726"/>
      </w:r>
      <w:r w:rsidR="00560667" w:rsidRPr="00EC02CA">
        <w:t xml:space="preserve"> </w:t>
      </w:r>
      <w:r w:rsidR="00907E60" w:rsidRPr="00EC02CA">
        <w:t>Diversion in th</w:t>
      </w:r>
      <w:r w:rsidR="009511CB" w:rsidRPr="00EC02CA">
        <w:t xml:space="preserve">is context refers to informal cautioning, formal cautioning and community conferences. The Commission </w:t>
      </w:r>
      <w:r w:rsidR="009B5F2F" w:rsidRPr="00EC02CA">
        <w:t>also</w:t>
      </w:r>
      <w:r w:rsidR="009511CB" w:rsidRPr="00EC02CA">
        <w:t xml:space="preserve"> recom</w:t>
      </w:r>
      <w:r w:rsidR="003137B4" w:rsidRPr="00EC02CA">
        <w:t>mended</w:t>
      </w:r>
      <w:r w:rsidR="00EC33BD" w:rsidRPr="00EC02CA">
        <w:t xml:space="preserve"> </w:t>
      </w:r>
      <w:r w:rsidR="008C48DF" w:rsidRPr="00EC02CA">
        <w:t xml:space="preserve">reconsidering the list of </w:t>
      </w:r>
      <w:r w:rsidR="00B41EF9" w:rsidRPr="00EC02CA">
        <w:t>prescribed</w:t>
      </w:r>
      <w:r w:rsidR="008C48DF" w:rsidRPr="00EC02CA">
        <w:t xml:space="preserve"> offences to allow pre-court diversion to be maximised, as well as en</w:t>
      </w:r>
      <w:r w:rsidR="006F3662" w:rsidRPr="00EC02CA">
        <w:t>s</w:t>
      </w:r>
      <w:r w:rsidR="008C48DF" w:rsidRPr="00EC02CA">
        <w:t xml:space="preserve">uring that ‘prescribed offences do not exclude </w:t>
      </w:r>
      <w:r w:rsidR="00B41EF9" w:rsidRPr="00EC02CA">
        <w:t>children</w:t>
      </w:r>
      <w:r w:rsidR="008C48DF" w:rsidRPr="00EC02CA">
        <w:t xml:space="preserve"> </w:t>
      </w:r>
      <w:r w:rsidR="00B41EF9" w:rsidRPr="00EC02CA">
        <w:t>engaging</w:t>
      </w:r>
      <w:r w:rsidR="008C48DF" w:rsidRPr="00EC02CA">
        <w:t xml:space="preserve"> in </w:t>
      </w:r>
      <w:r w:rsidR="00B41EF9" w:rsidRPr="00EC02CA">
        <w:t>harmful</w:t>
      </w:r>
      <w:r w:rsidR="008C48DF" w:rsidRPr="00EC02CA">
        <w:t xml:space="preserve"> sexual </w:t>
      </w:r>
      <w:r w:rsidR="00B41EF9" w:rsidRPr="00EC02CA">
        <w:t>behaviours</w:t>
      </w:r>
      <w:r w:rsidR="008C48DF" w:rsidRPr="00EC02CA">
        <w:t xml:space="preserve"> from broader </w:t>
      </w:r>
      <w:r w:rsidR="00B41EF9" w:rsidRPr="00EC02CA">
        <w:t>therapeutic</w:t>
      </w:r>
      <w:r w:rsidR="008C48DF" w:rsidRPr="00EC02CA">
        <w:t xml:space="preserve"> and diversionary </w:t>
      </w:r>
      <w:r w:rsidR="00B41EF9" w:rsidRPr="00EC02CA">
        <w:t>opportunities</w:t>
      </w:r>
      <w:r w:rsidR="008C48DF" w:rsidRPr="00EC02CA">
        <w:t>’.</w:t>
      </w:r>
      <w:r w:rsidR="008C48DF" w:rsidRPr="00EC02CA">
        <w:rPr>
          <w:rStyle w:val="FootnoteReference"/>
        </w:rPr>
        <w:footnoteReference w:id="727"/>
      </w:r>
      <w:r w:rsidR="00702B5D" w:rsidRPr="00EC02CA">
        <w:t xml:space="preserve"> </w:t>
      </w:r>
      <w:r w:rsidR="003137B4" w:rsidRPr="00EC02CA">
        <w:t xml:space="preserve">The Commission </w:t>
      </w:r>
      <w:r w:rsidR="00702B5D" w:rsidRPr="00EC02CA">
        <w:t xml:space="preserve">noted that the </w:t>
      </w:r>
      <w:r w:rsidR="00776D18" w:rsidRPr="00EC02CA">
        <w:t>Commissioner</w:t>
      </w:r>
      <w:r w:rsidR="00702B5D" w:rsidRPr="00EC02CA">
        <w:t xml:space="preserve"> for </w:t>
      </w:r>
      <w:r w:rsidR="00776D18" w:rsidRPr="00EC02CA">
        <w:t>Children</w:t>
      </w:r>
      <w:r w:rsidR="00702B5D" w:rsidRPr="00EC02CA">
        <w:t xml:space="preserve"> and Young P</w:t>
      </w:r>
      <w:r w:rsidR="00776D18" w:rsidRPr="00EC02CA">
        <w:t>eople</w:t>
      </w:r>
      <w:r w:rsidR="00702B5D" w:rsidRPr="00EC02CA">
        <w:t xml:space="preserve"> had </w:t>
      </w:r>
      <w:r w:rsidR="00776D18" w:rsidRPr="00EC02CA">
        <w:t>advocated</w:t>
      </w:r>
      <w:r w:rsidR="00702B5D" w:rsidRPr="00EC02CA">
        <w:t xml:space="preserve"> for repe</w:t>
      </w:r>
      <w:r w:rsidR="00776D18" w:rsidRPr="00EC02CA">
        <w:t>al</w:t>
      </w:r>
      <w:r w:rsidR="00702B5D" w:rsidRPr="00EC02CA">
        <w:t xml:space="preserve">ing </w:t>
      </w:r>
      <w:r w:rsidR="00776D18" w:rsidRPr="00EC02CA">
        <w:t>prescribed</w:t>
      </w:r>
      <w:r w:rsidR="00702B5D" w:rsidRPr="00EC02CA">
        <w:t xml:space="preserve"> offences from the </w:t>
      </w:r>
      <w:r w:rsidR="00702B5D" w:rsidRPr="00EC02CA">
        <w:rPr>
          <w:i/>
          <w:iCs/>
        </w:rPr>
        <w:t>Youth Justice Act</w:t>
      </w:r>
      <w:r w:rsidR="00A07C0F" w:rsidRPr="00EC02CA">
        <w:rPr>
          <w:i/>
          <w:iCs/>
        </w:rPr>
        <w:t xml:space="preserve"> 1997 </w:t>
      </w:r>
      <w:r w:rsidR="00A07C0F" w:rsidRPr="00EC02CA">
        <w:t>(Tas)</w:t>
      </w:r>
      <w:r w:rsidR="00702B5D" w:rsidRPr="00EC02CA">
        <w:t xml:space="preserve">, so that </w:t>
      </w:r>
      <w:r w:rsidR="00776D18" w:rsidRPr="00EC02CA">
        <w:t>all offences, including serious offences</w:t>
      </w:r>
      <w:r w:rsidR="009B5F2F" w:rsidRPr="00EC02CA">
        <w:t>,</w:t>
      </w:r>
      <w:r w:rsidR="00776D18" w:rsidRPr="00EC02CA">
        <w:t xml:space="preserve"> could ‘be dealt with in a trauma informed, child centred way that is consistent with best practice’.</w:t>
      </w:r>
      <w:r w:rsidR="00776D18" w:rsidRPr="00EC02CA">
        <w:rPr>
          <w:rStyle w:val="FootnoteReference"/>
        </w:rPr>
        <w:footnoteReference w:id="728"/>
      </w:r>
    </w:p>
    <w:p w14:paraId="3212B3A6" w14:textId="45151B3E" w:rsidR="009A2248" w:rsidRPr="00EC02CA" w:rsidRDefault="005F769D" w:rsidP="002F0007">
      <w:pPr>
        <w:pStyle w:val="NormalNumberedTextTLRI"/>
      </w:pPr>
      <w:r w:rsidRPr="00EC02CA">
        <w:t>The</w:t>
      </w:r>
      <w:r w:rsidR="009470E3" w:rsidRPr="00EC02CA">
        <w:t xml:space="preserve"> Tasmanian Government has committed to reviewing the </w:t>
      </w:r>
      <w:r w:rsidR="009B5F2F" w:rsidRPr="00EC02CA">
        <w:t xml:space="preserve">operation </w:t>
      </w:r>
      <w:r w:rsidR="00DC18E8" w:rsidRPr="00EC02CA">
        <w:t xml:space="preserve">and effectiveness of </w:t>
      </w:r>
      <w:r w:rsidR="003B31B9" w:rsidRPr="00EC02CA">
        <w:t>d</w:t>
      </w:r>
      <w:r w:rsidR="00A91F0C" w:rsidRPr="00EC02CA">
        <w:t>iversionary</w:t>
      </w:r>
      <w:r w:rsidR="00DC18E8" w:rsidRPr="00EC02CA">
        <w:t xml:space="preserve"> processes </w:t>
      </w:r>
      <w:r w:rsidR="003B31B9" w:rsidRPr="00EC02CA">
        <w:t>and also reviewing</w:t>
      </w:r>
      <w:r w:rsidR="00DC18E8" w:rsidRPr="00EC02CA">
        <w:t xml:space="preserve"> </w:t>
      </w:r>
      <w:r w:rsidR="00A91F0C" w:rsidRPr="00EC02CA">
        <w:t>legislation</w:t>
      </w:r>
      <w:r w:rsidR="00DC18E8" w:rsidRPr="00EC02CA">
        <w:t xml:space="preserve"> that relates to </w:t>
      </w:r>
      <w:r w:rsidR="00A91F0C" w:rsidRPr="00EC02CA">
        <w:t>increasing</w:t>
      </w:r>
      <w:r w:rsidR="00DC18E8" w:rsidRPr="00EC02CA">
        <w:t xml:space="preserve"> children and young people’s access to </w:t>
      </w:r>
      <w:r w:rsidR="00A91F0C" w:rsidRPr="00EC02CA">
        <w:t>diversion</w:t>
      </w:r>
      <w:r w:rsidR="00DC18E8" w:rsidRPr="00EC02CA">
        <w:t xml:space="preserve"> at multiple points in the youth justice system</w:t>
      </w:r>
      <w:r w:rsidR="00DF4CA5" w:rsidRPr="00EC02CA">
        <w:t>.</w:t>
      </w:r>
      <w:r w:rsidR="00DF4CA5" w:rsidRPr="00EC02CA">
        <w:rPr>
          <w:rStyle w:val="FootnoteReference"/>
        </w:rPr>
        <w:footnoteReference w:id="729"/>
      </w:r>
      <w:r w:rsidR="00DC18E8" w:rsidRPr="00EC02CA">
        <w:t xml:space="preserve"> </w:t>
      </w:r>
      <w:r w:rsidR="009A2248" w:rsidRPr="00EC02CA">
        <w:t xml:space="preserve">The </w:t>
      </w:r>
      <w:r w:rsidR="00236F0A" w:rsidRPr="00EC02CA">
        <w:t>Youth</w:t>
      </w:r>
      <w:r w:rsidR="009A2248" w:rsidRPr="00EC02CA">
        <w:t xml:space="preserve"> </w:t>
      </w:r>
      <w:r w:rsidR="00236F0A" w:rsidRPr="00EC02CA">
        <w:t>Justice</w:t>
      </w:r>
      <w:r w:rsidR="009A2248" w:rsidRPr="00EC02CA">
        <w:t xml:space="preserve"> Reform Team </w:t>
      </w:r>
      <w:r w:rsidR="00D60405" w:rsidRPr="00EC02CA">
        <w:t xml:space="preserve">is currently </w:t>
      </w:r>
      <w:r w:rsidR="00236F0A" w:rsidRPr="00EC02CA">
        <w:t>undertaking</w:t>
      </w:r>
      <w:r w:rsidR="00D60405" w:rsidRPr="00EC02CA">
        <w:t xml:space="preserve"> a review of </w:t>
      </w:r>
      <w:r w:rsidR="00236F0A" w:rsidRPr="00EC02CA">
        <w:t xml:space="preserve">cautioning </w:t>
      </w:r>
      <w:r w:rsidR="00D60405" w:rsidRPr="00EC02CA">
        <w:t xml:space="preserve">and community </w:t>
      </w:r>
      <w:r w:rsidR="00236F0A" w:rsidRPr="00EC02CA">
        <w:t>conferences</w:t>
      </w:r>
      <w:r w:rsidR="00D60405" w:rsidRPr="00EC02CA">
        <w:t xml:space="preserve"> and </w:t>
      </w:r>
      <w:r w:rsidR="00236F0A" w:rsidRPr="00EC02CA">
        <w:t>identifying</w:t>
      </w:r>
      <w:r w:rsidR="00D60405" w:rsidRPr="00EC02CA">
        <w:t xml:space="preserve"> any </w:t>
      </w:r>
      <w:r w:rsidR="00236F0A" w:rsidRPr="00EC02CA">
        <w:t>opportunities</w:t>
      </w:r>
      <w:r w:rsidR="00D60405" w:rsidRPr="00EC02CA">
        <w:t xml:space="preserve"> for change and to </w:t>
      </w:r>
      <w:r w:rsidR="00236F0A" w:rsidRPr="00EC02CA">
        <w:t>reduce</w:t>
      </w:r>
      <w:r w:rsidR="00D60405" w:rsidRPr="00EC02CA">
        <w:t xml:space="preserve"> </w:t>
      </w:r>
      <w:r w:rsidR="00236F0A" w:rsidRPr="00EC02CA">
        <w:t>barriers</w:t>
      </w:r>
      <w:r w:rsidR="00D60405" w:rsidRPr="00EC02CA">
        <w:t xml:space="preserve"> </w:t>
      </w:r>
      <w:r w:rsidR="00B45B65" w:rsidRPr="00EC02CA">
        <w:t>for young people to access th</w:t>
      </w:r>
      <w:r w:rsidR="00236F0A" w:rsidRPr="00EC02CA">
        <w:t>ese</w:t>
      </w:r>
      <w:r w:rsidR="00B45B65" w:rsidRPr="00EC02CA">
        <w:t xml:space="preserve"> options.</w:t>
      </w:r>
      <w:r w:rsidR="00B45B65" w:rsidRPr="00EC02CA">
        <w:rPr>
          <w:rStyle w:val="FootnoteReference"/>
        </w:rPr>
        <w:footnoteReference w:id="730"/>
      </w:r>
      <w:r w:rsidR="00236F0A" w:rsidRPr="00EC02CA">
        <w:t xml:space="preserve"> In </w:t>
      </w:r>
      <w:r w:rsidR="00067749" w:rsidRPr="00EC02CA">
        <w:t>addition</w:t>
      </w:r>
      <w:r w:rsidR="00236F0A" w:rsidRPr="00EC02CA">
        <w:t>,</w:t>
      </w:r>
      <w:r w:rsidR="00067749" w:rsidRPr="00EC02CA">
        <w:t xml:space="preserve"> </w:t>
      </w:r>
      <w:r w:rsidR="00DF4CA5" w:rsidRPr="00EC02CA">
        <w:t xml:space="preserve">it is </w:t>
      </w:r>
      <w:r w:rsidR="00067749" w:rsidRPr="00EC02CA">
        <w:t xml:space="preserve">engaging with work to </w:t>
      </w:r>
      <w:r w:rsidR="00EC4C15" w:rsidRPr="00EC02CA">
        <w:t>complement</w:t>
      </w:r>
      <w:r w:rsidR="00067749" w:rsidRPr="00EC02CA">
        <w:t xml:space="preserve"> other </w:t>
      </w:r>
      <w:r w:rsidR="00EC4C15" w:rsidRPr="00EC02CA">
        <w:t>justice</w:t>
      </w:r>
      <w:r w:rsidR="009B5F2F" w:rsidRPr="00EC02CA">
        <w:t>-</w:t>
      </w:r>
      <w:r w:rsidR="00EC4C15" w:rsidRPr="00EC02CA">
        <w:t>related</w:t>
      </w:r>
      <w:r w:rsidR="0041458F" w:rsidRPr="00EC02CA">
        <w:t xml:space="preserve"> Commission of Inquiry</w:t>
      </w:r>
      <w:r w:rsidR="00067749" w:rsidRPr="00EC02CA">
        <w:t xml:space="preserve"> recommendations, especially the review of the </w:t>
      </w:r>
      <w:r w:rsidR="0041458F" w:rsidRPr="00EC02CA">
        <w:rPr>
          <w:i/>
          <w:iCs/>
        </w:rPr>
        <w:t xml:space="preserve">Youth Justice Act 1997 </w:t>
      </w:r>
      <w:r w:rsidR="0041458F" w:rsidRPr="00EC02CA">
        <w:t>(Tas)</w:t>
      </w:r>
      <w:r w:rsidR="009B5F2F" w:rsidRPr="00EC02CA">
        <w:t>,</w:t>
      </w:r>
      <w:r w:rsidR="0041458F" w:rsidRPr="00EC02CA">
        <w:t xml:space="preserve"> </w:t>
      </w:r>
      <w:r w:rsidR="00EC4C15" w:rsidRPr="00EC02CA">
        <w:t>prioritis</w:t>
      </w:r>
      <w:r w:rsidR="009B5F2F" w:rsidRPr="00EC02CA">
        <w:t>ing</w:t>
      </w:r>
      <w:r w:rsidR="00EC4C15" w:rsidRPr="00EC02CA">
        <w:t xml:space="preserve"> rehabilitation in sentencing, a</w:t>
      </w:r>
      <w:r w:rsidR="00357A70" w:rsidRPr="00EC02CA">
        <w:t xml:space="preserve">s well as </w:t>
      </w:r>
      <w:r w:rsidR="00EC4C15" w:rsidRPr="00EC02CA">
        <w:t>reducing barriers to accessing diversion, such as the requirement to admit guilt</w:t>
      </w:r>
      <w:r w:rsidR="000A2463" w:rsidRPr="00EC02CA">
        <w:t>.</w:t>
      </w:r>
      <w:r w:rsidR="000A2463" w:rsidRPr="00EC02CA">
        <w:rPr>
          <w:rStyle w:val="FootnoteReference"/>
        </w:rPr>
        <w:footnoteReference w:id="731"/>
      </w:r>
      <w:r w:rsidR="00EC4C15" w:rsidRPr="00EC02CA">
        <w:t xml:space="preserve"> </w:t>
      </w:r>
    </w:p>
    <w:p w14:paraId="2277F0CB" w14:textId="1D4EDE3B" w:rsidR="00D86046" w:rsidRPr="00EC02CA" w:rsidRDefault="002D4DA5" w:rsidP="002F0007">
      <w:pPr>
        <w:pStyle w:val="NormalNumberedTextTLRI"/>
      </w:pPr>
      <w:r w:rsidRPr="00EC02CA">
        <w:t xml:space="preserve">As part of the </w:t>
      </w:r>
      <w:r w:rsidR="001C4424" w:rsidRPr="00EC02CA">
        <w:t>government</w:t>
      </w:r>
      <w:r w:rsidRPr="00EC02CA">
        <w:t xml:space="preserve"> implementation of the recommendations of the Com</w:t>
      </w:r>
      <w:r w:rsidR="001C4424" w:rsidRPr="00EC02CA">
        <w:t>m</w:t>
      </w:r>
      <w:r w:rsidRPr="00EC02CA">
        <w:t>i</w:t>
      </w:r>
      <w:r w:rsidR="001C4424" w:rsidRPr="00EC02CA">
        <w:t>s</w:t>
      </w:r>
      <w:r w:rsidRPr="00EC02CA">
        <w:t xml:space="preserve">sion of </w:t>
      </w:r>
      <w:r w:rsidR="001C4424" w:rsidRPr="00EC02CA">
        <w:t>Inquiry</w:t>
      </w:r>
      <w:r w:rsidRPr="00EC02CA">
        <w:t xml:space="preserve">, as noted, the </w:t>
      </w:r>
      <w:r w:rsidRPr="00EC02CA">
        <w:rPr>
          <w:i/>
          <w:iCs/>
        </w:rPr>
        <w:t>Youth Justice Diversionary Services Framework</w:t>
      </w:r>
      <w:r w:rsidRPr="00EC02CA">
        <w:t xml:space="preserve"> </w:t>
      </w:r>
      <w:r w:rsidR="004F177F" w:rsidRPr="00EC02CA">
        <w:t xml:space="preserve">and a </w:t>
      </w:r>
      <w:r w:rsidR="004F177F" w:rsidRPr="00EC02CA">
        <w:rPr>
          <w:i/>
          <w:iCs/>
        </w:rPr>
        <w:t xml:space="preserve">Youth Justice Model of Care </w:t>
      </w:r>
      <w:r w:rsidRPr="00EC02CA">
        <w:t>ha</w:t>
      </w:r>
      <w:r w:rsidR="004F177F" w:rsidRPr="00EC02CA">
        <w:t>ve</w:t>
      </w:r>
      <w:r w:rsidRPr="00EC02CA">
        <w:t xml:space="preserve"> been created</w:t>
      </w:r>
      <w:r w:rsidR="001C4424" w:rsidRPr="00EC02CA">
        <w:t>.</w:t>
      </w:r>
      <w:r w:rsidR="00D86046" w:rsidRPr="00EC02CA">
        <w:rPr>
          <w:rStyle w:val="FootnoteReference"/>
        </w:rPr>
        <w:footnoteReference w:id="732"/>
      </w:r>
      <w:r w:rsidR="00D86046" w:rsidRPr="00EC02CA">
        <w:t xml:space="preserve"> </w:t>
      </w:r>
      <w:r w:rsidR="001C4424" w:rsidRPr="00EC02CA">
        <w:t>Th</w:t>
      </w:r>
      <w:r w:rsidR="008E3BEC" w:rsidRPr="00EC02CA">
        <w:t>ese</w:t>
      </w:r>
      <w:r w:rsidR="001C4424" w:rsidRPr="00EC02CA">
        <w:t xml:space="preserve"> </w:t>
      </w:r>
      <w:r w:rsidR="009B5F2F" w:rsidRPr="00EC02CA">
        <w:t>model</w:t>
      </w:r>
      <w:r w:rsidR="008E3BEC" w:rsidRPr="00EC02CA">
        <w:t>s</w:t>
      </w:r>
      <w:r w:rsidR="009B5F2F" w:rsidRPr="00EC02CA">
        <w:t xml:space="preserve"> </w:t>
      </w:r>
      <w:r w:rsidR="001C4424" w:rsidRPr="00EC02CA">
        <w:t xml:space="preserve">define </w:t>
      </w:r>
      <w:r w:rsidR="00D86046" w:rsidRPr="00EC02CA">
        <w:t>diversion to encompass both diversionary processes and diversionary services:</w:t>
      </w:r>
    </w:p>
    <w:p w14:paraId="6E5D62ED" w14:textId="55C2F815" w:rsidR="00D86046" w:rsidRPr="00EC02CA" w:rsidRDefault="00D86046" w:rsidP="00D86046">
      <w:pPr>
        <w:pStyle w:val="Indentedquote"/>
      </w:pPr>
      <w:r w:rsidRPr="00EC02CA">
        <w:t>Diversionary processes aim to provide pathways through which children and young people aged 10</w:t>
      </w:r>
      <w:r w:rsidR="009B5F2F" w:rsidRPr="00EC02CA">
        <w:t>–</w:t>
      </w:r>
      <w:r w:rsidRPr="00EC02CA">
        <w:t xml:space="preserve">17 years who have committed offences can be directed away from further involvement in the justice system. … </w:t>
      </w:r>
    </w:p>
    <w:p w14:paraId="0FA90D5F" w14:textId="77777777" w:rsidR="00D86046" w:rsidRPr="00EC02CA" w:rsidRDefault="00D86046" w:rsidP="00D86046">
      <w:pPr>
        <w:pStyle w:val="Indentedquote"/>
      </w:pPr>
      <w:r w:rsidRPr="00EC02CA">
        <w:t>Diversionary services contribute to achieving the aim of reducing the likelihood of future offending, by responding proportionately to the needs of children and young people including services that address a child or young person’s unmet needs. In addition, diversion can facilitate engagement or re-engagement with prosocial pathways such as education, training, and employment.</w:t>
      </w:r>
      <w:r w:rsidRPr="00EC02CA">
        <w:rPr>
          <w:rStyle w:val="FootnoteReference"/>
        </w:rPr>
        <w:footnoteReference w:id="733"/>
      </w:r>
    </w:p>
    <w:p w14:paraId="0F4F0AD7" w14:textId="081C68E0" w:rsidR="00D86046" w:rsidRPr="00EC02CA" w:rsidRDefault="00D86046" w:rsidP="00A920EC">
      <w:pPr>
        <w:pStyle w:val="NormalNumberedTextTLRI"/>
      </w:pPr>
      <w:r w:rsidRPr="00EC02CA">
        <w:t xml:space="preserve">This Framework states that </w:t>
      </w:r>
      <w:r w:rsidR="009B5F2F" w:rsidRPr="00EC02CA">
        <w:t xml:space="preserve">its </w:t>
      </w:r>
      <w:r w:rsidRPr="00EC02CA">
        <w:t>vision is that</w:t>
      </w:r>
      <w:r w:rsidR="00AE0132" w:rsidRPr="00EC02CA">
        <w:t>:</w:t>
      </w:r>
      <w:r w:rsidRPr="00EC02CA">
        <w:t xml:space="preserve"> ‘</w:t>
      </w:r>
      <w:r w:rsidR="009B5F2F" w:rsidRPr="00EC02CA">
        <w:t>C</w:t>
      </w:r>
      <w:r w:rsidRPr="00EC02CA">
        <w:t>hildren and young people are kept out of the youth justice system using diversion that is early and lasting’.</w:t>
      </w:r>
      <w:r w:rsidRPr="00EC02CA">
        <w:rPr>
          <w:rStyle w:val="FootnoteReference"/>
        </w:rPr>
        <w:footnoteReference w:id="734"/>
      </w:r>
      <w:r w:rsidRPr="00EC02CA">
        <w:t xml:space="preserve"> It says that diversionary services ‘should be available at the earliest point that a child or young person comes into contact with the youth justice system, such as through police referrals, and also for children and young people who have more advanced or complex offending behaviour’.</w:t>
      </w:r>
      <w:r w:rsidRPr="00EC02CA">
        <w:rPr>
          <w:rStyle w:val="FootnoteReference"/>
        </w:rPr>
        <w:footnoteReference w:id="735"/>
      </w:r>
    </w:p>
    <w:p w14:paraId="420C9C21" w14:textId="03D752B8" w:rsidR="00EE5B97" w:rsidRPr="00EC02CA" w:rsidRDefault="00EE5B97" w:rsidP="00EE5B97">
      <w:pPr>
        <w:pStyle w:val="NumberedHeadingTLRI"/>
      </w:pPr>
      <w:bookmarkStart w:id="373" w:name="_Toc211849439"/>
      <w:bookmarkStart w:id="374" w:name="_Toc218157341"/>
      <w:r w:rsidRPr="00EC02CA">
        <w:t>Use of diversion for sexual offence</w:t>
      </w:r>
      <w:r w:rsidR="00AE0132" w:rsidRPr="00EC02CA">
        <w:t>s</w:t>
      </w:r>
      <w:r w:rsidRPr="00EC02CA">
        <w:t xml:space="preserve"> committed by youth offenders in other jurisdictions</w:t>
      </w:r>
      <w:bookmarkEnd w:id="373"/>
      <w:bookmarkEnd w:id="374"/>
    </w:p>
    <w:p w14:paraId="5959AD77" w14:textId="3C501213" w:rsidR="00AD7A5A" w:rsidRPr="00EC02CA" w:rsidRDefault="00EE5B97" w:rsidP="002F0007">
      <w:pPr>
        <w:pStyle w:val="NormalNumberedTextTLRI"/>
      </w:pPr>
      <w:r w:rsidRPr="00EC02CA">
        <w:t>The use of police diversion through cautions and participation in conferencing has been a feature of other Australian youth justice systems, particularly in relation to low-level offending.</w:t>
      </w:r>
      <w:bookmarkStart w:id="375" w:name="_Ref217996306"/>
      <w:r w:rsidRPr="00EC02CA">
        <w:rPr>
          <w:rStyle w:val="FootnoteReference"/>
        </w:rPr>
        <w:footnoteReference w:id="736"/>
      </w:r>
      <w:bookmarkEnd w:id="375"/>
      <w:r w:rsidR="007239FB" w:rsidRPr="00EC02CA">
        <w:t xml:space="preserve"> </w:t>
      </w:r>
      <w:r w:rsidR="00505927" w:rsidRPr="00EC02CA">
        <w:t xml:space="preserve">Appendix </w:t>
      </w:r>
      <w:r w:rsidR="00DE38F8" w:rsidRPr="00EC02CA">
        <w:t>I</w:t>
      </w:r>
      <w:r w:rsidR="00C43BEF" w:rsidRPr="00EC02CA">
        <w:t xml:space="preserve"> sets out the </w:t>
      </w:r>
      <w:r w:rsidR="00505927" w:rsidRPr="00EC02CA">
        <w:t xml:space="preserve">different </w:t>
      </w:r>
      <w:r w:rsidR="00C43BEF" w:rsidRPr="00EC02CA">
        <w:t>approaches relating to police powers of diversion in other jurisdictions</w:t>
      </w:r>
      <w:r w:rsidR="00FE19ED" w:rsidRPr="00EC02CA">
        <w:t>,</w:t>
      </w:r>
      <w:r w:rsidR="00C43BEF" w:rsidRPr="00EC02CA">
        <w:t xml:space="preserve"> with a particular focus on diversion for sexual offences.</w:t>
      </w:r>
    </w:p>
    <w:p w14:paraId="11EEC15C" w14:textId="6D3A9A17" w:rsidR="00C43BEF" w:rsidRPr="00EC02CA" w:rsidRDefault="00C43BEF" w:rsidP="00ED2E47">
      <w:pPr>
        <w:pStyle w:val="Sub-HeadingTLRI"/>
      </w:pPr>
      <w:bookmarkStart w:id="376" w:name="_Toc211849440"/>
      <w:bookmarkStart w:id="377" w:name="_Toc218157342"/>
      <w:r w:rsidRPr="00EC02CA">
        <w:t>Police cautions</w:t>
      </w:r>
      <w:bookmarkEnd w:id="376"/>
      <w:bookmarkEnd w:id="377"/>
    </w:p>
    <w:p w14:paraId="3216B492" w14:textId="0B298BB8" w:rsidR="00F94B5F" w:rsidRPr="00EC02CA" w:rsidRDefault="00C43BEF" w:rsidP="002F0007">
      <w:pPr>
        <w:pStyle w:val="NormalNumberedTextTLRI"/>
      </w:pPr>
      <w:r w:rsidRPr="00EC02CA">
        <w:t>In</w:t>
      </w:r>
      <w:r w:rsidR="00505927" w:rsidRPr="00EC02CA">
        <w:t xml:space="preserve"> </w:t>
      </w:r>
      <w:r w:rsidR="006E0D5C" w:rsidRPr="00EC02CA">
        <w:t>Victoria</w:t>
      </w:r>
      <w:r w:rsidR="00AA7516" w:rsidRPr="00EC02CA">
        <w:t xml:space="preserve">, </w:t>
      </w:r>
      <w:r w:rsidR="006E0D5C" w:rsidRPr="00EC02CA">
        <w:t>the common</w:t>
      </w:r>
      <w:r w:rsidR="00AA7516" w:rsidRPr="00EC02CA">
        <w:t xml:space="preserve"> law allow</w:t>
      </w:r>
      <w:r w:rsidR="002B7450" w:rsidRPr="00EC02CA">
        <w:t>s</w:t>
      </w:r>
      <w:r w:rsidR="00AA7516" w:rsidRPr="00EC02CA">
        <w:t xml:space="preserve"> police to divert young offenders if a young person admits </w:t>
      </w:r>
      <w:r w:rsidR="001406B9" w:rsidRPr="00EC02CA">
        <w:t xml:space="preserve">to </w:t>
      </w:r>
      <w:r w:rsidR="00AA7516" w:rsidRPr="00EC02CA">
        <w:t xml:space="preserve">the offence and </w:t>
      </w:r>
      <w:r w:rsidR="006E0D5C" w:rsidRPr="00EC02CA">
        <w:t xml:space="preserve">the offence is not </w:t>
      </w:r>
      <w:r w:rsidR="00CF6800" w:rsidRPr="00EC02CA">
        <w:t xml:space="preserve">considered to be </w:t>
      </w:r>
      <w:r w:rsidR="006E0D5C" w:rsidRPr="00EC02CA">
        <w:t xml:space="preserve">too serious. </w:t>
      </w:r>
      <w:r w:rsidR="00D84916" w:rsidRPr="00EC02CA">
        <w:t xml:space="preserve">For sexual offences, a </w:t>
      </w:r>
      <w:r w:rsidR="00DC452A" w:rsidRPr="00EC02CA">
        <w:t>caution</w:t>
      </w:r>
      <w:r w:rsidR="00D84916" w:rsidRPr="00EC02CA">
        <w:t xml:space="preserve"> is only given </w:t>
      </w:r>
      <w:r w:rsidR="00DC452A" w:rsidRPr="00EC02CA">
        <w:t>in exceptional circumstances.</w:t>
      </w:r>
      <w:r w:rsidR="00DC452A" w:rsidRPr="00EC02CA">
        <w:rPr>
          <w:rStyle w:val="FootnoteReference"/>
        </w:rPr>
        <w:footnoteReference w:id="737"/>
      </w:r>
      <w:r w:rsidR="00DC452A" w:rsidRPr="00EC02CA">
        <w:t xml:space="preserve"> </w:t>
      </w:r>
      <w:r w:rsidR="009512DC" w:rsidRPr="00EC02CA">
        <w:t>Police</w:t>
      </w:r>
      <w:r w:rsidR="004942C0" w:rsidRPr="00EC02CA">
        <w:t xml:space="preserve"> also have power to refer a young person to the Secretary of the Department for a </w:t>
      </w:r>
      <w:r w:rsidR="009512DC" w:rsidRPr="00EC02CA">
        <w:t>therapeutic treatment order as a diversionary measure.</w:t>
      </w:r>
      <w:r w:rsidR="009512DC" w:rsidRPr="00EC02CA">
        <w:rPr>
          <w:rStyle w:val="FootnoteReference"/>
        </w:rPr>
        <w:footnoteReference w:id="738"/>
      </w:r>
      <w:r w:rsidR="003B4F78" w:rsidRPr="00EC02CA">
        <w:t xml:space="preserve"> Common law powers to caution are also relied upon by police in the Australian Capital Territory.</w:t>
      </w:r>
      <w:r w:rsidR="009512DC" w:rsidRPr="00EC02CA">
        <w:t xml:space="preserve"> </w:t>
      </w:r>
      <w:r w:rsidR="006E0D5C" w:rsidRPr="00EC02CA">
        <w:t>The common law also</w:t>
      </w:r>
      <w:r w:rsidR="007C3143" w:rsidRPr="00EC02CA">
        <w:t xml:space="preserve"> provides the basis for </w:t>
      </w:r>
      <w:r w:rsidR="00AD7A5A" w:rsidRPr="00EC02CA">
        <w:t>the AFP to exercise discretion to caution</w:t>
      </w:r>
      <w:r w:rsidR="007C3143" w:rsidRPr="00EC02CA">
        <w:t xml:space="preserve"> for </w:t>
      </w:r>
      <w:r w:rsidRPr="00EC02CA">
        <w:t>C</w:t>
      </w:r>
      <w:r w:rsidR="007C3143" w:rsidRPr="00EC02CA">
        <w:t>ommonwealth offences</w:t>
      </w:r>
      <w:r w:rsidR="00025D99" w:rsidRPr="00EC02CA">
        <w:t xml:space="preserve"> </w:t>
      </w:r>
      <w:r w:rsidR="00AD7A5A" w:rsidRPr="00EC02CA">
        <w:t>(</w:t>
      </w:r>
      <w:r w:rsidR="007C3143" w:rsidRPr="00EC02CA">
        <w:t xml:space="preserve">see </w:t>
      </w:r>
      <w:r w:rsidR="007479A4" w:rsidRPr="00EC02CA">
        <w:t>[</w:t>
      </w:r>
      <w:r w:rsidR="00CA443E" w:rsidRPr="00EC02CA">
        <w:fldChar w:fldCharType="begin"/>
      </w:r>
      <w:r w:rsidR="00CA443E" w:rsidRPr="00EC02CA">
        <w:instrText xml:space="preserve"> REF _Ref218252923 \r \h </w:instrText>
      </w:r>
      <w:r w:rsidR="00CA443E" w:rsidRPr="00EC02CA">
        <w:fldChar w:fldCharType="separate"/>
      </w:r>
      <w:r w:rsidR="007D7830">
        <w:t>5.7</w:t>
      </w:r>
      <w:r w:rsidR="00CA443E" w:rsidRPr="00EC02CA">
        <w:fldChar w:fldCharType="end"/>
      </w:r>
      <w:r w:rsidR="007479A4" w:rsidRPr="00EC02CA">
        <w:t>]</w:t>
      </w:r>
      <w:r w:rsidR="00AD7A5A" w:rsidRPr="00EC02CA">
        <w:t>)</w:t>
      </w:r>
      <w:r w:rsidRPr="00EC02CA">
        <w:t xml:space="preserve"> where a young person takes responsibility for the offence</w:t>
      </w:r>
      <w:r w:rsidR="007C3143" w:rsidRPr="00EC02CA">
        <w:t xml:space="preserve">. </w:t>
      </w:r>
      <w:r w:rsidRPr="00EC02CA">
        <w:t xml:space="preserve">Based on information </w:t>
      </w:r>
      <w:r w:rsidR="00F94B5F" w:rsidRPr="00EC02CA">
        <w:t>provided</w:t>
      </w:r>
      <w:r w:rsidRPr="00EC02CA">
        <w:t xml:space="preserve"> in interviews, </w:t>
      </w:r>
      <w:r w:rsidR="00F94B5F" w:rsidRPr="00EC02CA">
        <w:t xml:space="preserve">this is used by the AFP for online offending by young people. </w:t>
      </w:r>
    </w:p>
    <w:p w14:paraId="3D420304" w14:textId="7AC036E0" w:rsidR="00241071" w:rsidRPr="00EC02CA" w:rsidRDefault="00E65D45" w:rsidP="00BF5DA7">
      <w:pPr>
        <w:pStyle w:val="NormalNumberedTextTLRI"/>
        <w:rPr>
          <w:sz w:val="20"/>
        </w:rPr>
      </w:pPr>
      <w:r w:rsidRPr="00EC02CA">
        <w:t xml:space="preserve">In </w:t>
      </w:r>
      <w:r w:rsidR="00F94B5F" w:rsidRPr="00EC02CA">
        <w:t xml:space="preserve">other </w:t>
      </w:r>
      <w:r w:rsidR="007D12C6" w:rsidRPr="00EC02CA">
        <w:t>jurisdictions</w:t>
      </w:r>
      <w:r w:rsidRPr="00EC02CA">
        <w:t xml:space="preserve">, </w:t>
      </w:r>
      <w:r w:rsidR="00D779E9" w:rsidRPr="00EC02CA">
        <w:t xml:space="preserve">the powers of police to </w:t>
      </w:r>
      <w:r w:rsidR="001406B9" w:rsidRPr="00EC02CA">
        <w:t xml:space="preserve">administer or issue </w:t>
      </w:r>
      <w:r w:rsidR="00D779E9" w:rsidRPr="00EC02CA">
        <w:t xml:space="preserve">a caution </w:t>
      </w:r>
      <w:r w:rsidR="00425DB1" w:rsidRPr="00EC02CA">
        <w:t>are contained</w:t>
      </w:r>
      <w:r w:rsidR="00D779E9" w:rsidRPr="00EC02CA">
        <w:t xml:space="preserve"> in legislation</w:t>
      </w:r>
      <w:r w:rsidR="00F94B5F" w:rsidRPr="00EC02CA">
        <w:t xml:space="preserve"> </w:t>
      </w:r>
      <w:r w:rsidR="001406B9" w:rsidRPr="00EC02CA">
        <w:t>that</w:t>
      </w:r>
      <w:r w:rsidR="00F94B5F" w:rsidRPr="00EC02CA">
        <w:t xml:space="preserve"> </w:t>
      </w:r>
      <w:r w:rsidR="00B97FD5" w:rsidRPr="00EC02CA">
        <w:t xml:space="preserve">does not </w:t>
      </w:r>
      <w:r w:rsidR="001406B9" w:rsidRPr="00EC02CA">
        <w:t xml:space="preserve">explicitly </w:t>
      </w:r>
      <w:r w:rsidR="00B97FD5" w:rsidRPr="00EC02CA">
        <w:t xml:space="preserve">preclude the use of </w:t>
      </w:r>
      <w:r w:rsidR="00D779E9" w:rsidRPr="00EC02CA">
        <w:t>a caution</w:t>
      </w:r>
      <w:r w:rsidR="00B15E10" w:rsidRPr="00EC02CA">
        <w:t xml:space="preserve"> </w:t>
      </w:r>
      <w:r w:rsidR="00F61F0B" w:rsidRPr="00EC02CA">
        <w:t>for</w:t>
      </w:r>
      <w:r w:rsidR="002F087B" w:rsidRPr="00EC02CA">
        <w:t xml:space="preserve"> </w:t>
      </w:r>
      <w:r w:rsidR="001406B9" w:rsidRPr="00EC02CA">
        <w:rPr>
          <w:i/>
          <w:iCs/>
        </w:rPr>
        <w:t>all</w:t>
      </w:r>
      <w:r w:rsidR="001406B9" w:rsidRPr="00EC02CA">
        <w:t xml:space="preserve"> </w:t>
      </w:r>
      <w:r w:rsidR="00F61F0B" w:rsidRPr="00EC02CA">
        <w:t xml:space="preserve">sexual offences. </w:t>
      </w:r>
      <w:r w:rsidR="00482CC8" w:rsidRPr="00EC02CA">
        <w:t xml:space="preserve">In Queensland, there are no </w:t>
      </w:r>
      <w:r w:rsidR="001406B9" w:rsidRPr="00EC02CA">
        <w:t xml:space="preserve">legislative </w:t>
      </w:r>
      <w:r w:rsidR="00482CC8" w:rsidRPr="00EC02CA">
        <w:t xml:space="preserve">restrictions on the </w:t>
      </w:r>
      <w:r w:rsidR="001406B9" w:rsidRPr="00EC02CA">
        <w:t xml:space="preserve">type of </w:t>
      </w:r>
      <w:r w:rsidR="00482CC8" w:rsidRPr="00EC02CA">
        <w:t xml:space="preserve">offences for which </w:t>
      </w:r>
      <w:r w:rsidR="0053082B" w:rsidRPr="00EC02CA">
        <w:t xml:space="preserve">police </w:t>
      </w:r>
      <w:r w:rsidR="00482CC8" w:rsidRPr="00EC02CA">
        <w:t xml:space="preserve">can </w:t>
      </w:r>
      <w:r w:rsidR="001406B9" w:rsidRPr="00EC02CA">
        <w:t xml:space="preserve">issue a </w:t>
      </w:r>
      <w:r w:rsidR="00482CC8" w:rsidRPr="00EC02CA">
        <w:t>caution</w:t>
      </w:r>
      <w:r w:rsidR="001406B9" w:rsidRPr="00EC02CA">
        <w:t>,</w:t>
      </w:r>
      <w:r w:rsidR="009714D7" w:rsidRPr="00EC02CA">
        <w:t xml:space="preserve"> </w:t>
      </w:r>
      <w:r w:rsidR="00482CC8" w:rsidRPr="00EC02CA">
        <w:t xml:space="preserve">but </w:t>
      </w:r>
      <w:r w:rsidR="00D779E9" w:rsidRPr="00EC02CA">
        <w:t xml:space="preserve">cautions </w:t>
      </w:r>
      <w:r w:rsidR="00482CC8" w:rsidRPr="00EC02CA">
        <w:t>are operationally restricted to offences that are not serious offences</w:t>
      </w:r>
      <w:r w:rsidR="00482CC8" w:rsidRPr="00EC02CA">
        <w:rPr>
          <w:szCs w:val="22"/>
        </w:rPr>
        <w:t>.</w:t>
      </w:r>
      <w:r w:rsidR="00762D40" w:rsidRPr="00EC02CA">
        <w:rPr>
          <w:szCs w:val="22"/>
        </w:rPr>
        <w:t xml:space="preserve"> </w:t>
      </w:r>
      <w:r w:rsidR="00C2099A" w:rsidRPr="00EC02CA">
        <w:rPr>
          <w:szCs w:val="22"/>
        </w:rPr>
        <w:t>However</w:t>
      </w:r>
      <w:r w:rsidR="00762D40" w:rsidRPr="00EC02CA">
        <w:rPr>
          <w:szCs w:val="22"/>
        </w:rPr>
        <w:t xml:space="preserve">, the Police Guidelines </w:t>
      </w:r>
      <w:r w:rsidR="009D145A" w:rsidRPr="00EC02CA">
        <w:rPr>
          <w:szCs w:val="22"/>
        </w:rPr>
        <w:t>direct</w:t>
      </w:r>
      <w:r w:rsidR="00C2099A" w:rsidRPr="00EC02CA">
        <w:rPr>
          <w:szCs w:val="22"/>
        </w:rPr>
        <w:t xml:space="preserve"> police to give </w:t>
      </w:r>
      <w:r w:rsidR="009D145A" w:rsidRPr="00EC02CA">
        <w:rPr>
          <w:szCs w:val="22"/>
        </w:rPr>
        <w:t>consideration to cautions for lower</w:t>
      </w:r>
      <w:r w:rsidR="00B567A3" w:rsidRPr="00EC02CA">
        <w:rPr>
          <w:szCs w:val="22"/>
        </w:rPr>
        <w:t>-</w:t>
      </w:r>
      <w:r w:rsidR="009D145A" w:rsidRPr="00EC02CA">
        <w:rPr>
          <w:szCs w:val="22"/>
        </w:rPr>
        <w:t>level sexual offending</w:t>
      </w:r>
      <w:r w:rsidR="00E93ED5" w:rsidRPr="00EC02CA">
        <w:rPr>
          <w:szCs w:val="22"/>
        </w:rPr>
        <w:t>:</w:t>
      </w:r>
      <w:r w:rsidR="00BF5DA7" w:rsidRPr="00EC02CA">
        <w:rPr>
          <w:szCs w:val="22"/>
        </w:rPr>
        <w:t xml:space="preserve"> ‘</w:t>
      </w:r>
      <w:r w:rsidR="00E93ED5" w:rsidRPr="00EC02CA">
        <w:t>i</w:t>
      </w:r>
      <w:r w:rsidR="00762D40" w:rsidRPr="00EC02CA">
        <w:t>f a child commits a sexual offence, officers are to consider and comply with the provision of guidelines 5(i) and 5(v) of the D</w:t>
      </w:r>
      <w:r w:rsidR="00E93ED5" w:rsidRPr="00EC02CA">
        <w:t xml:space="preserve">irector of </w:t>
      </w:r>
      <w:r w:rsidR="00762D40" w:rsidRPr="00EC02CA">
        <w:t>P</w:t>
      </w:r>
      <w:r w:rsidR="00E93ED5" w:rsidRPr="00EC02CA">
        <w:t xml:space="preserve">ublic </w:t>
      </w:r>
      <w:r w:rsidR="00762D40" w:rsidRPr="00EC02CA">
        <w:t>P</w:t>
      </w:r>
      <w:r w:rsidR="00E93ED5" w:rsidRPr="00EC02CA">
        <w:t>rosecution</w:t>
      </w:r>
      <w:r w:rsidR="00762D40" w:rsidRPr="00EC02CA">
        <w:t xml:space="preserve"> Guidelines</w:t>
      </w:r>
      <w:r w:rsidR="00276AD3" w:rsidRPr="00EC02CA">
        <w:t>’</w:t>
      </w:r>
      <w:r w:rsidR="00762D40" w:rsidRPr="00EC02CA">
        <w:t xml:space="preserve">. These provide for special considerations relating to the prosecution of child offenders </w:t>
      </w:r>
      <w:r w:rsidR="00236618" w:rsidRPr="00EC02CA">
        <w:t>(</w:t>
      </w:r>
      <w:r w:rsidR="00762D40" w:rsidRPr="00EC02CA">
        <w:t>5(i</w:t>
      </w:r>
      <w:r w:rsidR="00236618" w:rsidRPr="00EC02CA">
        <w:t>)</w:t>
      </w:r>
      <w:r w:rsidR="00762D40" w:rsidRPr="00EC02CA">
        <w:t xml:space="preserve">) and set out that child may be prosecuted for a sexual offence where the child has exercised force, coerced someone younger, or otherwise acted without the consent of the other person. </w:t>
      </w:r>
      <w:r w:rsidR="00B35135" w:rsidRPr="00EC02CA">
        <w:t>Further the guidelines provide</w:t>
      </w:r>
      <w:r w:rsidR="00762D40" w:rsidRPr="00EC02CA">
        <w:t xml:space="preserve"> that a child should not be prosecuted for sexual experimentation involving children of similar ages in consensual activity (5(v)).</w:t>
      </w:r>
      <w:r w:rsidR="00482CC8" w:rsidRPr="00EC02CA">
        <w:rPr>
          <w:rStyle w:val="FootnoteReference"/>
        </w:rPr>
        <w:footnoteReference w:id="739"/>
      </w:r>
      <w:r w:rsidR="00482CC8" w:rsidRPr="00EC02CA">
        <w:t xml:space="preserve"> </w:t>
      </w:r>
    </w:p>
    <w:p w14:paraId="154A3499" w14:textId="170B3016" w:rsidR="00351EDB" w:rsidRPr="00EC02CA" w:rsidRDefault="001A3F95" w:rsidP="00A920EC">
      <w:pPr>
        <w:pStyle w:val="NormalNumberedTextTLRI"/>
        <w:rPr>
          <w:sz w:val="20"/>
        </w:rPr>
      </w:pPr>
      <w:r w:rsidRPr="00EC02CA">
        <w:t>Related, p</w:t>
      </w:r>
      <w:r w:rsidR="005B2D84" w:rsidRPr="00EC02CA">
        <w:t>olice</w:t>
      </w:r>
      <w:r w:rsidR="00F47433" w:rsidRPr="00EC02CA">
        <w:t xml:space="preserve"> cautions were used </w:t>
      </w:r>
      <w:r w:rsidRPr="00EC02CA">
        <w:t xml:space="preserve">for young people </w:t>
      </w:r>
      <w:r w:rsidR="00F47433" w:rsidRPr="00EC02CA">
        <w:t xml:space="preserve">in </w:t>
      </w:r>
      <w:r w:rsidR="00CF36E4" w:rsidRPr="00EC02CA">
        <w:t xml:space="preserve">79% of </w:t>
      </w:r>
      <w:r w:rsidR="00EC3397" w:rsidRPr="00EC02CA">
        <w:t>offences re</w:t>
      </w:r>
      <w:r w:rsidR="005B2D84" w:rsidRPr="00EC02CA">
        <w:t>lating to C</w:t>
      </w:r>
      <w:r w:rsidR="00D76D1F" w:rsidRPr="00EC02CA">
        <w:t>S</w:t>
      </w:r>
      <w:r w:rsidR="005B2D84" w:rsidRPr="00EC02CA">
        <w:t xml:space="preserve">EM offences in </w:t>
      </w:r>
      <w:r w:rsidR="00C97063" w:rsidRPr="00EC02CA">
        <w:t>Queensland</w:t>
      </w:r>
      <w:r w:rsidR="00462C6C" w:rsidRPr="00EC02CA">
        <w:t xml:space="preserve"> (see </w:t>
      </w:r>
      <w:r w:rsidR="00111CBE" w:rsidRPr="00EC02CA">
        <w:t>[</w:t>
      </w:r>
      <w:r w:rsidR="003E7CFF" w:rsidRPr="00EC02CA">
        <w:rPr>
          <w:highlight w:val="yellow"/>
        </w:rPr>
        <w:fldChar w:fldCharType="begin"/>
      </w:r>
      <w:r w:rsidR="003E7CFF" w:rsidRPr="00EC02CA">
        <w:instrText xml:space="preserve"> REF _Ref217995348 \r \h </w:instrText>
      </w:r>
      <w:r w:rsidR="003E7CFF" w:rsidRPr="00EC02CA">
        <w:rPr>
          <w:highlight w:val="yellow"/>
        </w:rPr>
      </w:r>
      <w:r w:rsidR="003E7CFF" w:rsidRPr="00EC02CA">
        <w:rPr>
          <w:highlight w:val="yellow"/>
        </w:rPr>
        <w:fldChar w:fldCharType="separate"/>
      </w:r>
      <w:r w:rsidR="007D7830">
        <w:t>7.5.11</w:t>
      </w:r>
      <w:r w:rsidR="003E7CFF" w:rsidRPr="00EC02CA">
        <w:rPr>
          <w:highlight w:val="yellow"/>
        </w:rPr>
        <w:fldChar w:fldCharType="end"/>
      </w:r>
      <w:r w:rsidR="00111CBE" w:rsidRPr="00EC02CA">
        <w:t>]</w:t>
      </w:r>
      <w:r w:rsidR="00462C6C" w:rsidRPr="00EC02CA">
        <w:t>)</w:t>
      </w:r>
      <w:r w:rsidR="00ED28CD" w:rsidRPr="00EC02CA">
        <w:t xml:space="preserve">. Cautions are also used </w:t>
      </w:r>
      <w:r w:rsidR="00241071" w:rsidRPr="00EC02CA">
        <w:t xml:space="preserve">for physical </w:t>
      </w:r>
      <w:r w:rsidR="009D145A" w:rsidRPr="00EC02CA">
        <w:t xml:space="preserve">sexual </w:t>
      </w:r>
      <w:r w:rsidR="00241071" w:rsidRPr="00EC02CA">
        <w:t>offending charges</w:t>
      </w:r>
      <w:r w:rsidR="00EB0E0F" w:rsidRPr="00EC02CA">
        <w:t>.</w:t>
      </w:r>
      <w:r w:rsidR="00EB0E0F" w:rsidRPr="00EC02CA">
        <w:rPr>
          <w:rStyle w:val="FootnoteReference"/>
        </w:rPr>
        <w:footnoteReference w:id="740"/>
      </w:r>
      <w:r w:rsidR="005B2D84" w:rsidRPr="00EC02CA">
        <w:t xml:space="preserve"> </w:t>
      </w:r>
    </w:p>
    <w:p w14:paraId="12E765A5" w14:textId="1D8908B8" w:rsidR="0054033D" w:rsidRPr="00EC02CA" w:rsidRDefault="0054033D" w:rsidP="002F0007">
      <w:pPr>
        <w:pStyle w:val="NormalNumberedTextTLRI"/>
        <w:rPr>
          <w:sz w:val="20"/>
        </w:rPr>
      </w:pPr>
      <w:r w:rsidRPr="00EC02CA">
        <w:t xml:space="preserve">In </w:t>
      </w:r>
      <w:r w:rsidR="008A46DF" w:rsidRPr="00EC02CA">
        <w:t xml:space="preserve">South </w:t>
      </w:r>
      <w:r w:rsidR="00551097" w:rsidRPr="00EC02CA">
        <w:t>Australia</w:t>
      </w:r>
      <w:r w:rsidR="00D779E9" w:rsidRPr="00EC02CA">
        <w:t xml:space="preserve">, </w:t>
      </w:r>
      <w:r w:rsidR="00551097" w:rsidRPr="00EC02CA">
        <w:t xml:space="preserve">police are able to give a caution for minor offences, including minor sexual offending. </w:t>
      </w:r>
      <w:r w:rsidRPr="00EC02CA">
        <w:t xml:space="preserve">This would include </w:t>
      </w:r>
      <w:r w:rsidR="001406B9" w:rsidRPr="00EC02CA">
        <w:t xml:space="preserve">some </w:t>
      </w:r>
      <w:r w:rsidR="00E55EEA" w:rsidRPr="00EC02CA">
        <w:t xml:space="preserve">types of </w:t>
      </w:r>
      <w:r w:rsidRPr="00EC02CA">
        <w:t xml:space="preserve">online and physical </w:t>
      </w:r>
      <w:r w:rsidR="00E55EEA" w:rsidRPr="00EC02CA">
        <w:t xml:space="preserve">sexual </w:t>
      </w:r>
      <w:r w:rsidRPr="00EC02CA">
        <w:t>offending.</w:t>
      </w:r>
      <w:r w:rsidRPr="00EC02CA">
        <w:rPr>
          <w:rStyle w:val="FootnoteReference"/>
        </w:rPr>
        <w:footnoteReference w:id="741"/>
      </w:r>
    </w:p>
    <w:p w14:paraId="0C81F34C" w14:textId="7A640E52" w:rsidR="0054033D" w:rsidRPr="00EC02CA" w:rsidRDefault="006A287A" w:rsidP="002F0007">
      <w:pPr>
        <w:pStyle w:val="NormalNumberedTextTLRI"/>
        <w:rPr>
          <w:sz w:val="20"/>
        </w:rPr>
      </w:pPr>
      <w:r w:rsidRPr="00EC02CA">
        <w:t>As with Tasmania, i</w:t>
      </w:r>
      <w:r w:rsidR="00025D99" w:rsidRPr="00EC02CA">
        <w:t xml:space="preserve">n the Northern Territory, </w:t>
      </w:r>
      <w:r w:rsidR="00C028A3" w:rsidRPr="00EC02CA">
        <w:t xml:space="preserve">legislation relies on </w:t>
      </w:r>
      <w:r w:rsidR="00025D99" w:rsidRPr="00EC02CA">
        <w:t>the definition of ‘prescribed offences’ to limit the use of diversion</w:t>
      </w:r>
      <w:r w:rsidR="00C028A3" w:rsidRPr="00EC02CA">
        <w:t xml:space="preserve"> for sexual offences</w:t>
      </w:r>
      <w:r w:rsidR="00025D99" w:rsidRPr="00EC02CA">
        <w:t>.</w:t>
      </w:r>
      <w:r w:rsidR="00025D99" w:rsidRPr="00EC02CA">
        <w:rPr>
          <w:rStyle w:val="FootnoteReference"/>
        </w:rPr>
        <w:footnoteReference w:id="742"/>
      </w:r>
      <w:r w:rsidR="00025D99" w:rsidRPr="00EC02CA">
        <w:t xml:space="preserve"> </w:t>
      </w:r>
      <w:r w:rsidR="00AD4506" w:rsidRPr="00EC02CA">
        <w:t>However, unlike Tasmania, i</w:t>
      </w:r>
      <w:r w:rsidR="005B107A" w:rsidRPr="00EC02CA">
        <w:t xml:space="preserve">n the </w:t>
      </w:r>
      <w:r w:rsidR="00EE71E7" w:rsidRPr="00EC02CA">
        <w:t>N</w:t>
      </w:r>
      <w:r w:rsidR="005B107A" w:rsidRPr="00EC02CA">
        <w:t xml:space="preserve">orthern </w:t>
      </w:r>
      <w:r w:rsidR="00551097" w:rsidRPr="00EC02CA">
        <w:t>Territory</w:t>
      </w:r>
      <w:r w:rsidR="005B107A" w:rsidRPr="00EC02CA">
        <w:t xml:space="preserve">, the offence of </w:t>
      </w:r>
      <w:r w:rsidR="0068401D" w:rsidRPr="00EC02CA">
        <w:t xml:space="preserve">production or </w:t>
      </w:r>
      <w:r w:rsidR="00902E40" w:rsidRPr="00EC02CA">
        <w:t>possessio</w:t>
      </w:r>
      <w:r w:rsidR="00C028A3" w:rsidRPr="00EC02CA">
        <w:t>n</w:t>
      </w:r>
      <w:r w:rsidR="00902E40" w:rsidRPr="00EC02CA">
        <w:t xml:space="preserve"> of child abuse material is included in the definition of prescribed offences</w:t>
      </w:r>
      <w:r w:rsidR="009D145A" w:rsidRPr="00EC02CA">
        <w:t>, and so precluded from cautioning</w:t>
      </w:r>
      <w:r w:rsidR="00FA01AE" w:rsidRPr="00EC02CA">
        <w:t>.</w:t>
      </w:r>
      <w:r w:rsidR="0054033D" w:rsidRPr="00EC02CA">
        <w:rPr>
          <w:rStyle w:val="FootnoteReference"/>
        </w:rPr>
        <w:footnoteReference w:id="743"/>
      </w:r>
    </w:p>
    <w:p w14:paraId="681577E8" w14:textId="6B86471D" w:rsidR="00805C5A" w:rsidRPr="00EC02CA" w:rsidRDefault="00FA01AE" w:rsidP="002F0007">
      <w:pPr>
        <w:pStyle w:val="NormalNumberedTextTLRI"/>
        <w:rPr>
          <w:sz w:val="20"/>
        </w:rPr>
      </w:pPr>
      <w:r w:rsidRPr="00EC02CA">
        <w:t xml:space="preserve"> In</w:t>
      </w:r>
      <w:r w:rsidR="00025D99" w:rsidRPr="00EC02CA">
        <w:t xml:space="preserve"> Western Australia and New South Wales, legislation </w:t>
      </w:r>
      <w:r w:rsidRPr="00EC02CA">
        <w:t>prevents cautions from being given</w:t>
      </w:r>
      <w:r w:rsidR="00025D99" w:rsidRPr="00EC02CA">
        <w:t xml:space="preserve"> for several physical sexual offences</w:t>
      </w:r>
      <w:r w:rsidR="00C028A3" w:rsidRPr="00EC02CA">
        <w:t xml:space="preserve"> </w:t>
      </w:r>
      <w:r w:rsidRPr="00EC02CA">
        <w:t xml:space="preserve">(as </w:t>
      </w:r>
      <w:r w:rsidR="00C028A3" w:rsidRPr="00EC02CA">
        <w:t>set out in legislation</w:t>
      </w:r>
      <w:r w:rsidRPr="00EC02CA">
        <w:t xml:space="preserve">) but there </w:t>
      </w:r>
      <w:r w:rsidR="001406B9" w:rsidRPr="00EC02CA">
        <w:t xml:space="preserve">are </w:t>
      </w:r>
      <w:r w:rsidR="00025D99" w:rsidRPr="00EC02CA">
        <w:t>no such restriction</w:t>
      </w:r>
      <w:r w:rsidR="001406B9" w:rsidRPr="00EC02CA">
        <w:t>s</w:t>
      </w:r>
      <w:r w:rsidR="00025D99" w:rsidRPr="00EC02CA">
        <w:t xml:space="preserve"> for online offending.</w:t>
      </w:r>
      <w:r w:rsidR="0054033D" w:rsidRPr="00EC02CA">
        <w:rPr>
          <w:rStyle w:val="FootnoteReference"/>
        </w:rPr>
        <w:footnoteReference w:id="744"/>
      </w:r>
      <w:r w:rsidR="00714D1B" w:rsidRPr="00EC02CA">
        <w:t xml:space="preserve"> </w:t>
      </w:r>
    </w:p>
    <w:p w14:paraId="6D3CC513" w14:textId="2870D94E" w:rsidR="00351EDB" w:rsidRPr="00EC02CA" w:rsidRDefault="00351EDB" w:rsidP="00ED2E47">
      <w:pPr>
        <w:pStyle w:val="Sub-HeadingTLRI"/>
      </w:pPr>
      <w:bookmarkStart w:id="378" w:name="_Toc211849441"/>
      <w:bookmarkStart w:id="379" w:name="_Toc218157343"/>
      <w:r w:rsidRPr="00EC02CA">
        <w:t>Referral to conferences</w:t>
      </w:r>
      <w:bookmarkEnd w:id="378"/>
      <w:bookmarkEnd w:id="379"/>
    </w:p>
    <w:p w14:paraId="76E82FB0" w14:textId="5104AF0C" w:rsidR="00BD77C7" w:rsidRPr="00EC02CA" w:rsidRDefault="00D25BCE" w:rsidP="002F0007">
      <w:pPr>
        <w:pStyle w:val="NormalNumberedTextTLRI"/>
      </w:pPr>
      <w:r w:rsidRPr="00EC02CA">
        <w:t xml:space="preserve">As with Tasmania, </w:t>
      </w:r>
      <w:r w:rsidR="00714D1B" w:rsidRPr="00EC02CA">
        <w:t>in other jurisdiction</w:t>
      </w:r>
      <w:r w:rsidR="00805C5A" w:rsidRPr="00EC02CA">
        <w:t>s</w:t>
      </w:r>
      <w:r w:rsidR="00714D1B" w:rsidRPr="00EC02CA">
        <w:t xml:space="preserve"> </w:t>
      </w:r>
      <w:r w:rsidRPr="00EC02CA">
        <w:t>p</w:t>
      </w:r>
      <w:r w:rsidR="00BE270E" w:rsidRPr="00EC02CA">
        <w:t>olice have power</w:t>
      </w:r>
      <w:r w:rsidR="00857C57" w:rsidRPr="00EC02CA">
        <w:t>s</w:t>
      </w:r>
      <w:r w:rsidR="00BE270E" w:rsidRPr="00EC02CA">
        <w:t xml:space="preserve"> to refer </w:t>
      </w:r>
      <w:r w:rsidR="007D09DE" w:rsidRPr="00EC02CA">
        <w:t xml:space="preserve">a young person to a restorative justice </w:t>
      </w:r>
      <w:r w:rsidR="003537B7" w:rsidRPr="00EC02CA">
        <w:t>process</w:t>
      </w:r>
      <w:r w:rsidR="007D09DE" w:rsidRPr="00EC02CA">
        <w:t>.</w:t>
      </w:r>
      <w:r w:rsidR="00E22904" w:rsidRPr="00EC02CA">
        <w:t xml:space="preserve"> </w:t>
      </w:r>
      <w:r w:rsidR="0054033D" w:rsidRPr="00EC02CA">
        <w:t>Any r</w:t>
      </w:r>
      <w:r w:rsidR="00E22904" w:rsidRPr="00EC02CA">
        <w:t xml:space="preserve">estrictions on referrals to </w:t>
      </w:r>
      <w:r w:rsidR="0054033D" w:rsidRPr="00EC02CA">
        <w:t xml:space="preserve">conferences generally </w:t>
      </w:r>
      <w:r w:rsidR="00857C57" w:rsidRPr="00EC02CA">
        <w:t xml:space="preserve">mirror </w:t>
      </w:r>
      <w:r w:rsidR="00065830" w:rsidRPr="00EC02CA">
        <w:t>the</w:t>
      </w:r>
      <w:r w:rsidR="00E22904" w:rsidRPr="00EC02CA">
        <w:t xml:space="preserve"> restrictions </w:t>
      </w:r>
      <w:r w:rsidR="00065830" w:rsidRPr="00EC02CA">
        <w:t xml:space="preserve">that exist in the </w:t>
      </w:r>
      <w:r w:rsidR="00857C57" w:rsidRPr="00EC02CA">
        <w:t xml:space="preserve">particular </w:t>
      </w:r>
      <w:r w:rsidR="00065830" w:rsidRPr="00EC02CA">
        <w:t xml:space="preserve">jurisdiction </w:t>
      </w:r>
      <w:r w:rsidR="00E22904" w:rsidRPr="00EC02CA">
        <w:t xml:space="preserve">on </w:t>
      </w:r>
      <w:r w:rsidR="00714D1B" w:rsidRPr="00EC02CA">
        <w:t xml:space="preserve">the use of </w:t>
      </w:r>
      <w:r w:rsidR="00E22904" w:rsidRPr="00EC02CA">
        <w:t>formal cautions.</w:t>
      </w:r>
      <w:r w:rsidR="00E22904" w:rsidRPr="00EC02CA">
        <w:rPr>
          <w:rStyle w:val="FootnoteReference"/>
        </w:rPr>
        <w:footnoteReference w:id="745"/>
      </w:r>
      <w:r w:rsidR="00EA61B2" w:rsidRPr="00EC02CA">
        <w:t xml:space="preserve"> </w:t>
      </w:r>
      <w:r w:rsidR="00976580" w:rsidRPr="00EC02CA">
        <w:t xml:space="preserve">This means that </w:t>
      </w:r>
      <w:r w:rsidR="00277CAC" w:rsidRPr="00EC02CA">
        <w:t xml:space="preserve">diversion </w:t>
      </w:r>
      <w:r w:rsidR="00C65CD0" w:rsidRPr="00EC02CA">
        <w:t xml:space="preserve">to conferencing by police </w:t>
      </w:r>
      <w:r w:rsidR="00277CAC" w:rsidRPr="00EC02CA">
        <w:t xml:space="preserve">is not available </w:t>
      </w:r>
      <w:r w:rsidR="00C65CD0" w:rsidRPr="00EC02CA">
        <w:t xml:space="preserve">in New South Wales and Western </w:t>
      </w:r>
      <w:r w:rsidR="00865229" w:rsidRPr="00EC02CA">
        <w:t>Australia</w:t>
      </w:r>
      <w:r w:rsidR="00C65CD0" w:rsidRPr="00EC02CA">
        <w:t xml:space="preserve"> </w:t>
      </w:r>
      <w:r w:rsidR="00277CAC" w:rsidRPr="00EC02CA">
        <w:t xml:space="preserve">for </w:t>
      </w:r>
      <w:r w:rsidR="00C65CD0" w:rsidRPr="00EC02CA">
        <w:t xml:space="preserve">a range of </w:t>
      </w:r>
      <w:r w:rsidR="00065830" w:rsidRPr="00EC02CA">
        <w:t xml:space="preserve">serious </w:t>
      </w:r>
      <w:r w:rsidR="00C65CD0" w:rsidRPr="00EC02CA">
        <w:t xml:space="preserve">physical sexual </w:t>
      </w:r>
      <w:r w:rsidR="00865229" w:rsidRPr="00EC02CA">
        <w:t>offen</w:t>
      </w:r>
      <w:r w:rsidR="00857C57" w:rsidRPr="00EC02CA">
        <w:t>ces, but t</w:t>
      </w:r>
      <w:r w:rsidR="00865229" w:rsidRPr="00EC02CA">
        <w:t>h</w:t>
      </w:r>
      <w:r w:rsidR="00BD77C7" w:rsidRPr="00EC02CA">
        <w:t xml:space="preserve">is </w:t>
      </w:r>
      <w:r w:rsidR="00857C57" w:rsidRPr="00EC02CA">
        <w:t xml:space="preserve">restriction </w:t>
      </w:r>
      <w:r w:rsidR="00BD77C7" w:rsidRPr="00EC02CA">
        <w:t>does not apply to online offending.</w:t>
      </w:r>
      <w:r w:rsidR="006F6EE1" w:rsidRPr="00EC02CA">
        <w:t xml:space="preserve"> There are also limits on diversio</w:t>
      </w:r>
      <w:r w:rsidR="008226F8" w:rsidRPr="00EC02CA">
        <w:t>n for conferences for prescribed offences in the Northern Territory.</w:t>
      </w:r>
    </w:p>
    <w:p w14:paraId="5B8043BA" w14:textId="3BBC2FE8" w:rsidR="001B2CF8" w:rsidRPr="00EC02CA" w:rsidRDefault="00856D6F" w:rsidP="002F0007">
      <w:pPr>
        <w:pStyle w:val="NormalNumberedTextTLRI"/>
      </w:pPr>
      <w:r w:rsidRPr="00EC02CA">
        <w:t xml:space="preserve">In South Australia, police can refer </w:t>
      </w:r>
      <w:r w:rsidR="003E6A87" w:rsidRPr="00EC02CA">
        <w:t>a</w:t>
      </w:r>
      <w:r w:rsidR="000F637B" w:rsidRPr="00EC02CA">
        <w:t xml:space="preserve"> young person to a family</w:t>
      </w:r>
      <w:r w:rsidR="003E6A87" w:rsidRPr="00EC02CA">
        <w:t xml:space="preserve"> conference for</w:t>
      </w:r>
      <w:r w:rsidR="001B2CF8" w:rsidRPr="00EC02CA">
        <w:t xml:space="preserve"> </w:t>
      </w:r>
      <w:r w:rsidR="00482941" w:rsidRPr="00EC02CA">
        <w:t xml:space="preserve">minor </w:t>
      </w:r>
      <w:r w:rsidR="00746344" w:rsidRPr="00EC02CA">
        <w:t>sexual offending</w:t>
      </w:r>
      <w:r w:rsidR="005363D1" w:rsidRPr="00EC02CA">
        <w:t xml:space="preserve">. </w:t>
      </w:r>
      <w:r w:rsidR="003C2332" w:rsidRPr="00EC02CA">
        <w:t>Victim-survivors</w:t>
      </w:r>
      <w:r w:rsidR="005363D1" w:rsidRPr="00EC02CA">
        <w:t xml:space="preserve"> who have been harmed </w:t>
      </w:r>
      <w:r w:rsidR="00050025" w:rsidRPr="00EC02CA">
        <w:t xml:space="preserve">can be invited </w:t>
      </w:r>
      <w:r w:rsidR="00425041" w:rsidRPr="00EC02CA">
        <w:t xml:space="preserve">(along with their </w:t>
      </w:r>
      <w:r w:rsidR="00482941" w:rsidRPr="00EC02CA">
        <w:t>guardians</w:t>
      </w:r>
      <w:r w:rsidR="00425041" w:rsidRPr="00EC02CA">
        <w:t>) to</w:t>
      </w:r>
      <w:r w:rsidR="00482941" w:rsidRPr="00EC02CA">
        <w:t xml:space="preserve"> attend</w:t>
      </w:r>
      <w:r w:rsidR="0079073C" w:rsidRPr="00EC02CA">
        <w:t>,</w:t>
      </w:r>
      <w:r w:rsidR="00482941" w:rsidRPr="00EC02CA">
        <w:t xml:space="preserve"> but conferences can </w:t>
      </w:r>
      <w:r w:rsidR="0079073C" w:rsidRPr="00EC02CA">
        <w:t xml:space="preserve">also </w:t>
      </w:r>
      <w:r w:rsidR="00482941" w:rsidRPr="00EC02CA">
        <w:t>go ahead</w:t>
      </w:r>
      <w:r w:rsidR="003355E5" w:rsidRPr="00EC02CA">
        <w:t xml:space="preserve"> without their </w:t>
      </w:r>
      <w:r w:rsidR="005D0E96" w:rsidRPr="00EC02CA">
        <w:t>involvement</w:t>
      </w:r>
      <w:r w:rsidR="003355E5" w:rsidRPr="00EC02CA">
        <w:t>.</w:t>
      </w:r>
      <w:r w:rsidR="003355E5" w:rsidRPr="00EC02CA">
        <w:rPr>
          <w:rStyle w:val="FootnoteReference"/>
        </w:rPr>
        <w:footnoteReference w:id="746"/>
      </w:r>
    </w:p>
    <w:p w14:paraId="1ECBDD78" w14:textId="3D86BB3C" w:rsidR="009C6959" w:rsidRPr="00EC02CA" w:rsidRDefault="009C6959" w:rsidP="002F0007">
      <w:pPr>
        <w:pStyle w:val="NormalNumberedTextTLRI"/>
      </w:pPr>
      <w:r w:rsidRPr="00EC02CA">
        <w:t xml:space="preserve">In Queensland, </w:t>
      </w:r>
      <w:r w:rsidR="005C627E" w:rsidRPr="00EC02CA">
        <w:t>police can divert sexual offen</w:t>
      </w:r>
      <w:r w:rsidR="00083D87" w:rsidRPr="00EC02CA">
        <w:t>ders</w:t>
      </w:r>
      <w:r w:rsidR="005C627E" w:rsidRPr="00EC02CA">
        <w:t xml:space="preserve"> to a </w:t>
      </w:r>
      <w:r w:rsidR="006E12C6" w:rsidRPr="00EC02CA">
        <w:t xml:space="preserve">conference (where the </w:t>
      </w:r>
      <w:r w:rsidR="00886B70" w:rsidRPr="00EC02CA">
        <w:t>victim-survivor</w:t>
      </w:r>
      <w:r w:rsidR="00707CA9" w:rsidRPr="00EC02CA">
        <w:t xml:space="preserve"> </w:t>
      </w:r>
      <w:r w:rsidR="006E12C6" w:rsidRPr="00EC02CA">
        <w:t>attends)</w:t>
      </w:r>
      <w:r w:rsidR="005C627E" w:rsidRPr="00EC02CA">
        <w:t xml:space="preserve"> </w:t>
      </w:r>
      <w:r w:rsidR="000F637B" w:rsidRPr="00EC02CA">
        <w:t xml:space="preserve">or an </w:t>
      </w:r>
      <w:r w:rsidR="005D7DD0" w:rsidRPr="00EC02CA">
        <w:t>alternative diversion program</w:t>
      </w:r>
      <w:r w:rsidR="005C627E" w:rsidRPr="00EC02CA">
        <w:t xml:space="preserve"> </w:t>
      </w:r>
      <w:r w:rsidR="006E12C6" w:rsidRPr="00EC02CA">
        <w:t>(</w:t>
      </w:r>
      <w:r w:rsidR="005C627E" w:rsidRPr="00EC02CA">
        <w:t xml:space="preserve">where a </w:t>
      </w:r>
      <w:r w:rsidR="00886B70" w:rsidRPr="00EC02CA">
        <w:t>victim-survivor</w:t>
      </w:r>
      <w:r w:rsidR="005C627E" w:rsidRPr="00EC02CA">
        <w:t xml:space="preserve"> is not willing to participate in a conference</w:t>
      </w:r>
      <w:r w:rsidR="000F637B" w:rsidRPr="00EC02CA">
        <w:t>)</w:t>
      </w:r>
      <w:r w:rsidR="005C627E" w:rsidRPr="00EC02CA">
        <w:t>.</w:t>
      </w:r>
      <w:r w:rsidR="00172CAB" w:rsidRPr="00EC02CA">
        <w:t xml:space="preserve"> In </w:t>
      </w:r>
      <w:r w:rsidR="00152F9B" w:rsidRPr="00EC02CA">
        <w:t>Queensland</w:t>
      </w:r>
      <w:r w:rsidR="0079073C" w:rsidRPr="00EC02CA">
        <w:t>,</w:t>
      </w:r>
      <w:r w:rsidR="00172CAB" w:rsidRPr="00EC02CA">
        <w:t xml:space="preserve"> for a restorative justice conference</w:t>
      </w:r>
      <w:r w:rsidR="00F817FF" w:rsidRPr="00EC02CA">
        <w:t>, the person harm</w:t>
      </w:r>
      <w:r w:rsidR="005D7DD0" w:rsidRPr="00EC02CA">
        <w:t>ed</w:t>
      </w:r>
      <w:r w:rsidR="00F817FF" w:rsidRPr="00EC02CA">
        <w:t xml:space="preserve"> needs to participate either directly or through a </w:t>
      </w:r>
      <w:r w:rsidR="00152F9B" w:rsidRPr="00EC02CA">
        <w:t>representative</w:t>
      </w:r>
      <w:r w:rsidR="00175B37" w:rsidRPr="00EC02CA">
        <w:t xml:space="preserve">. The </w:t>
      </w:r>
      <w:r w:rsidR="00152F9B" w:rsidRPr="00EC02CA">
        <w:t>representative</w:t>
      </w:r>
      <w:r w:rsidR="00175B37" w:rsidRPr="00EC02CA">
        <w:t xml:space="preserve"> can include someone f</w:t>
      </w:r>
      <w:r w:rsidR="00974DC0" w:rsidRPr="00EC02CA">
        <w:t>ro</w:t>
      </w:r>
      <w:r w:rsidR="00175B37" w:rsidRPr="00EC02CA">
        <w:t xml:space="preserve">m a </w:t>
      </w:r>
      <w:r w:rsidR="00152F9B" w:rsidRPr="00EC02CA">
        <w:t>victims</w:t>
      </w:r>
      <w:r w:rsidR="00175B37" w:rsidRPr="00EC02CA">
        <w:t xml:space="preserve">’ advocacy </w:t>
      </w:r>
      <w:r w:rsidR="00152F9B" w:rsidRPr="00EC02CA">
        <w:t>group</w:t>
      </w:r>
      <w:r w:rsidR="00175B37" w:rsidRPr="00EC02CA">
        <w:t xml:space="preserve">. </w:t>
      </w:r>
      <w:r w:rsidR="00152F9B" w:rsidRPr="00EC02CA">
        <w:t>Participation</w:t>
      </w:r>
      <w:r w:rsidR="00175B37" w:rsidRPr="00EC02CA">
        <w:t xml:space="preserve"> can include pre-</w:t>
      </w:r>
      <w:r w:rsidR="00152F9B" w:rsidRPr="00EC02CA">
        <w:t>recorded</w:t>
      </w:r>
      <w:r w:rsidR="00175B37" w:rsidRPr="00EC02CA">
        <w:t xml:space="preserve"> communication.</w:t>
      </w:r>
      <w:r w:rsidR="00175B37" w:rsidRPr="00EC02CA">
        <w:rPr>
          <w:rStyle w:val="FootnoteReference"/>
          <w:sz w:val="20"/>
        </w:rPr>
        <w:footnoteReference w:id="747"/>
      </w:r>
      <w:r w:rsidR="005D7DD0" w:rsidRPr="00EC02CA">
        <w:t xml:space="preserve"> If the person harmed does not </w:t>
      </w:r>
      <w:r w:rsidR="001D626E" w:rsidRPr="00EC02CA">
        <w:t>participate</w:t>
      </w:r>
      <w:r w:rsidR="005D7DD0" w:rsidRPr="00EC02CA">
        <w:t>, then the young person can be diverted to a</w:t>
      </w:r>
      <w:r w:rsidR="001D626E" w:rsidRPr="00EC02CA">
        <w:t>n alternative diversion program.</w:t>
      </w:r>
    </w:p>
    <w:p w14:paraId="05882BB2" w14:textId="441D8084" w:rsidR="00BC5C9F" w:rsidRPr="00EC02CA" w:rsidRDefault="00974DC0" w:rsidP="002F0007">
      <w:pPr>
        <w:pStyle w:val="NormalNumberedTextTLRI"/>
      </w:pPr>
      <w:bookmarkStart w:id="380" w:name="_Ref217995348"/>
      <w:r w:rsidRPr="00EC02CA">
        <w:t>Available data</w:t>
      </w:r>
      <w:r w:rsidR="004E0F18" w:rsidRPr="00EC02CA">
        <w:t xml:space="preserve"> show that</w:t>
      </w:r>
      <w:r w:rsidR="00083D87" w:rsidRPr="00EC02CA">
        <w:t>,</w:t>
      </w:r>
      <w:r w:rsidR="004E0F18" w:rsidRPr="00EC02CA">
        <w:t xml:space="preserve"> in </w:t>
      </w:r>
      <w:r w:rsidR="007142C6" w:rsidRPr="00EC02CA">
        <w:t>Queensland</w:t>
      </w:r>
      <w:r w:rsidR="00083D87" w:rsidRPr="00EC02CA">
        <w:t>,</w:t>
      </w:r>
      <w:r w:rsidR="007142C6" w:rsidRPr="00EC02CA">
        <w:t xml:space="preserve"> for the offence of making, </w:t>
      </w:r>
      <w:r w:rsidR="007F2D23" w:rsidRPr="00EC02CA">
        <w:t>distribution</w:t>
      </w:r>
      <w:r w:rsidR="007142C6" w:rsidRPr="00EC02CA">
        <w:t xml:space="preserve"> and possession </w:t>
      </w:r>
      <w:r w:rsidR="00D76D1F" w:rsidRPr="00EC02CA">
        <w:t xml:space="preserve">of </w:t>
      </w:r>
      <w:r w:rsidR="000C6716" w:rsidRPr="00EC02CA">
        <w:t>C</w:t>
      </w:r>
      <w:r w:rsidR="00D76D1F" w:rsidRPr="00EC02CA">
        <w:t>S</w:t>
      </w:r>
      <w:r w:rsidR="000C6716" w:rsidRPr="00EC02CA">
        <w:t xml:space="preserve">EM </w:t>
      </w:r>
      <w:r w:rsidR="001C674D" w:rsidRPr="00EC02CA">
        <w:t>between 1 July 2019 and 30</w:t>
      </w:r>
      <w:r w:rsidR="000C6716" w:rsidRPr="00EC02CA">
        <w:t xml:space="preserve"> June 2021,</w:t>
      </w:r>
      <w:r w:rsidR="00BC5C9F" w:rsidRPr="00EC02CA">
        <w:rPr>
          <w:i/>
          <w:iCs/>
        </w:rPr>
        <w:t xml:space="preserve"> </w:t>
      </w:r>
      <w:r w:rsidR="00BC5C9F" w:rsidRPr="00EC02CA">
        <w:t>738 children aged 10 to 17 came to police attention for child exploitation materia</w:t>
      </w:r>
      <w:r w:rsidR="000C6716" w:rsidRPr="00EC02CA">
        <w:t>l.</w:t>
      </w:r>
      <w:r w:rsidR="000C6716" w:rsidRPr="00EC02CA">
        <w:rPr>
          <w:rStyle w:val="FootnoteReference"/>
        </w:rPr>
        <w:footnoteReference w:id="748"/>
      </w:r>
      <w:r w:rsidR="000C6716" w:rsidRPr="00EC02CA">
        <w:t xml:space="preserve"> In relation to these o</w:t>
      </w:r>
      <w:r w:rsidR="00BC5C9F" w:rsidRPr="00EC02CA">
        <w:t>ffences</w:t>
      </w:r>
      <w:r w:rsidR="00083D87" w:rsidRPr="00EC02CA">
        <w:t xml:space="preserve"> –</w:t>
      </w:r>
      <w:r w:rsidR="00BC5C9F" w:rsidRPr="00EC02CA">
        <w:t xml:space="preserve"> </w:t>
      </w:r>
      <w:r w:rsidR="00B026B9" w:rsidRPr="00EC02CA">
        <w:t xml:space="preserve">which </w:t>
      </w:r>
      <w:r w:rsidR="00BC5C9F" w:rsidRPr="00EC02CA">
        <w:t>included</w:t>
      </w:r>
      <w:r w:rsidR="00B026B9" w:rsidRPr="00EC02CA">
        <w:t xml:space="preserve"> the</w:t>
      </w:r>
      <w:r w:rsidR="00BC5C9F" w:rsidRPr="00EC02CA">
        <w:t xml:space="preserve"> making, distributing and possessing C</w:t>
      </w:r>
      <w:r w:rsidR="00083D87" w:rsidRPr="00EC02CA">
        <w:t>S</w:t>
      </w:r>
      <w:r w:rsidR="00BC5C9F" w:rsidRPr="00EC02CA">
        <w:t>EM</w:t>
      </w:r>
      <w:r w:rsidR="00083D87" w:rsidRPr="00EC02CA">
        <w:t xml:space="preserve"> –</w:t>
      </w:r>
      <w:r w:rsidR="00BC5C9F" w:rsidRPr="00EC02CA">
        <w:t xml:space="preserve"> 98% </w:t>
      </w:r>
      <w:r w:rsidR="00083D87" w:rsidRPr="00EC02CA">
        <w:t>(726) were</w:t>
      </w:r>
      <w:r w:rsidR="00BC5C9F" w:rsidRPr="00EC02CA">
        <w:t xml:space="preserve"> dealt with</w:t>
      </w:r>
      <w:r w:rsidR="00AA18C8" w:rsidRPr="00EC02CA">
        <w:t xml:space="preserve"> by police</w:t>
      </w:r>
      <w:r w:rsidR="00BC5C9F" w:rsidRPr="00EC02CA">
        <w:t xml:space="preserve"> </w:t>
      </w:r>
      <w:r w:rsidR="00AA18C8" w:rsidRPr="00EC02CA">
        <w:t xml:space="preserve">and </w:t>
      </w:r>
      <w:r w:rsidR="00BC5C9F" w:rsidRPr="00EC02CA">
        <w:t xml:space="preserve">the majority </w:t>
      </w:r>
      <w:r w:rsidR="00AA18C8" w:rsidRPr="00EC02CA">
        <w:t xml:space="preserve">were </w:t>
      </w:r>
      <w:r w:rsidR="00BC5C9F" w:rsidRPr="00EC02CA">
        <w:t xml:space="preserve">diverted. </w:t>
      </w:r>
      <w:r w:rsidR="00083D87" w:rsidRPr="00EC02CA">
        <w:t>P</w:t>
      </w:r>
      <w:r w:rsidR="004E06F2" w:rsidRPr="00EC02CA">
        <w:t xml:space="preserve">olice cautions </w:t>
      </w:r>
      <w:r w:rsidR="00083D87" w:rsidRPr="00EC02CA">
        <w:t xml:space="preserve">were </w:t>
      </w:r>
      <w:r w:rsidR="004E06F2" w:rsidRPr="00EC02CA">
        <w:t xml:space="preserve">given in </w:t>
      </w:r>
      <w:r w:rsidR="00BC5C9F" w:rsidRPr="00EC02CA">
        <w:t xml:space="preserve">79% </w:t>
      </w:r>
      <w:r w:rsidR="004E06F2" w:rsidRPr="00EC02CA">
        <w:t>of cases</w:t>
      </w:r>
      <w:r w:rsidR="00BC5C9F" w:rsidRPr="00EC02CA">
        <w:t xml:space="preserve"> (577 children), 4% referred to youth justice conferencing (30 children), and </w:t>
      </w:r>
      <w:r w:rsidR="00083D87" w:rsidRPr="00EC02CA">
        <w:t xml:space="preserve">in </w:t>
      </w:r>
      <w:r w:rsidR="00BC5C9F" w:rsidRPr="00EC02CA">
        <w:t xml:space="preserve">6% </w:t>
      </w:r>
      <w:r w:rsidR="00083D87" w:rsidRPr="00EC02CA">
        <w:t xml:space="preserve">of matters </w:t>
      </w:r>
      <w:r w:rsidR="00BC5C9F" w:rsidRPr="00EC02CA">
        <w:t xml:space="preserve">no further action </w:t>
      </w:r>
      <w:r w:rsidR="00083D87" w:rsidRPr="00EC02CA">
        <w:t xml:space="preserve">was </w:t>
      </w:r>
      <w:r w:rsidR="00BC5C9F" w:rsidRPr="00EC02CA">
        <w:t>taken (44 children). Other action</w:t>
      </w:r>
      <w:r w:rsidR="00083D87" w:rsidRPr="00EC02CA">
        <w:t>s</w:t>
      </w:r>
      <w:r w:rsidR="00BC5C9F" w:rsidRPr="00EC02CA">
        <w:t xml:space="preserve"> </w:t>
      </w:r>
      <w:r w:rsidR="00083D87" w:rsidRPr="00EC02CA">
        <w:t xml:space="preserve">were </w:t>
      </w:r>
      <w:r w:rsidR="00BC5C9F" w:rsidRPr="00EC02CA">
        <w:t>taken for 10% (75 children).</w:t>
      </w:r>
      <w:r w:rsidR="00F551AF" w:rsidRPr="00EC02CA">
        <w:t xml:space="preserve"> </w:t>
      </w:r>
      <w:r w:rsidR="004E06F2" w:rsidRPr="00EC02CA">
        <w:t>It was reported that o</w:t>
      </w:r>
      <w:r w:rsidR="00BC5C9F" w:rsidRPr="00EC02CA">
        <w:t>nly 1.5% were charged as a result of the non-consensual sharing of images (11 children)</w:t>
      </w:r>
      <w:r w:rsidR="004E06F2" w:rsidRPr="00EC02CA">
        <w:t>.</w:t>
      </w:r>
      <w:r w:rsidR="004E06F2" w:rsidRPr="00EC02CA">
        <w:rPr>
          <w:rStyle w:val="FootnoteReference"/>
        </w:rPr>
        <w:footnoteReference w:id="749"/>
      </w:r>
      <w:r w:rsidR="008E02FA" w:rsidRPr="00EC02CA">
        <w:t xml:space="preserve"> In the </w:t>
      </w:r>
      <w:r w:rsidR="00763F54" w:rsidRPr="00EC02CA">
        <w:rPr>
          <w:i/>
          <w:iCs/>
        </w:rPr>
        <w:t>Childrens</w:t>
      </w:r>
      <w:r w:rsidR="008E02FA" w:rsidRPr="00EC02CA">
        <w:rPr>
          <w:i/>
          <w:iCs/>
        </w:rPr>
        <w:t xml:space="preserve"> Court </w:t>
      </w:r>
      <w:r w:rsidR="00083D87" w:rsidRPr="00EC02CA">
        <w:rPr>
          <w:i/>
          <w:iCs/>
        </w:rPr>
        <w:t xml:space="preserve">of Queensland </w:t>
      </w:r>
      <w:r w:rsidR="008E02FA" w:rsidRPr="00EC02CA">
        <w:rPr>
          <w:i/>
          <w:iCs/>
        </w:rPr>
        <w:t>Annual Report 2023–24</w:t>
      </w:r>
      <w:r w:rsidR="008E02FA" w:rsidRPr="00EC02CA">
        <w:t>,</w:t>
      </w:r>
      <w:r w:rsidR="0030631A" w:rsidRPr="00EC02CA">
        <w:t xml:space="preserve"> it was reported that</w:t>
      </w:r>
      <w:r w:rsidR="008E02FA" w:rsidRPr="00EC02CA">
        <w:t xml:space="preserve"> there were </w:t>
      </w:r>
      <w:r w:rsidR="000A2F26" w:rsidRPr="00EC02CA">
        <w:t xml:space="preserve">794 cautions </w:t>
      </w:r>
      <w:r w:rsidR="00483B74" w:rsidRPr="00EC02CA">
        <w:t>administered</w:t>
      </w:r>
      <w:r w:rsidR="000A2F26" w:rsidRPr="00EC02CA">
        <w:t xml:space="preserve"> for sexual assault and related offences</w:t>
      </w:r>
      <w:r w:rsidR="00536A69" w:rsidRPr="00EC02CA">
        <w:t>.</w:t>
      </w:r>
      <w:r w:rsidR="000A2F26" w:rsidRPr="00EC02CA">
        <w:rPr>
          <w:rStyle w:val="FootnoteReference"/>
        </w:rPr>
        <w:footnoteReference w:id="750"/>
      </w:r>
      <w:r w:rsidR="00083D87" w:rsidRPr="00EC02CA">
        <w:t xml:space="preserve"> </w:t>
      </w:r>
      <w:r w:rsidR="00A0078A" w:rsidRPr="00EC02CA">
        <w:t>In this period,</w:t>
      </w:r>
      <w:r w:rsidR="002A58BB" w:rsidRPr="00EC02CA">
        <w:t xml:space="preserve"> t</w:t>
      </w:r>
      <w:r w:rsidR="00E309A8" w:rsidRPr="00EC02CA">
        <w:t xml:space="preserve">here were </w:t>
      </w:r>
      <w:r w:rsidR="002A58BB" w:rsidRPr="00EC02CA">
        <w:t xml:space="preserve">269 </w:t>
      </w:r>
      <w:r w:rsidR="00A51B86" w:rsidRPr="00EC02CA">
        <w:t xml:space="preserve">offences </w:t>
      </w:r>
      <w:r w:rsidR="00C126A1" w:rsidRPr="00EC02CA">
        <w:t>where</w:t>
      </w:r>
      <w:r w:rsidR="002A58BB" w:rsidRPr="00EC02CA">
        <w:t xml:space="preserve"> a restorative justice process (either a conference with the </w:t>
      </w:r>
      <w:r w:rsidR="00886B70" w:rsidRPr="00EC02CA">
        <w:t>victim-survivor</w:t>
      </w:r>
      <w:r w:rsidR="00392514" w:rsidRPr="00EC02CA">
        <w:t xml:space="preserve"> </w:t>
      </w:r>
      <w:r w:rsidR="002A58BB" w:rsidRPr="00EC02CA">
        <w:t>or a</w:t>
      </w:r>
      <w:r w:rsidR="00392514" w:rsidRPr="00EC02CA">
        <w:t>n</w:t>
      </w:r>
      <w:r w:rsidR="002A58BB" w:rsidRPr="00EC02CA">
        <w:t xml:space="preserve"> </w:t>
      </w:r>
      <w:r w:rsidR="00566775" w:rsidRPr="00EC02CA">
        <w:t xml:space="preserve">alternative diversion process without a </w:t>
      </w:r>
      <w:r w:rsidR="00886B70" w:rsidRPr="00EC02CA">
        <w:t>victim-survivor</w:t>
      </w:r>
      <w:r w:rsidR="00566775" w:rsidRPr="00EC02CA">
        <w:t>)</w:t>
      </w:r>
      <w:r w:rsidR="00734040" w:rsidRPr="00EC02CA">
        <w:t xml:space="preserve"> </w:t>
      </w:r>
      <w:r w:rsidR="00C126A1" w:rsidRPr="00EC02CA">
        <w:t>was held (</w:t>
      </w:r>
      <w:r w:rsidR="004C11DD" w:rsidRPr="00EC02CA">
        <w:t>18</w:t>
      </w:r>
      <w:r w:rsidR="00186B7A" w:rsidRPr="00EC02CA">
        <w:t>6 for sexual assault and 83 for non-</w:t>
      </w:r>
      <w:r w:rsidR="003C0930" w:rsidRPr="00EC02CA">
        <w:t>assaultive</w:t>
      </w:r>
      <w:r w:rsidR="00186B7A" w:rsidRPr="00EC02CA">
        <w:t xml:space="preserve"> sexual offences)</w:t>
      </w:r>
      <w:r w:rsidR="003C0930" w:rsidRPr="00EC02CA">
        <w:t>.</w:t>
      </w:r>
      <w:r w:rsidR="003C0930" w:rsidRPr="00EC02CA">
        <w:rPr>
          <w:rStyle w:val="FootnoteReference"/>
        </w:rPr>
        <w:footnoteReference w:id="751"/>
      </w:r>
      <w:r w:rsidR="003C0930" w:rsidRPr="00EC02CA">
        <w:t xml:space="preserve"> There were </w:t>
      </w:r>
      <w:r w:rsidR="00D54246" w:rsidRPr="00EC02CA">
        <w:t xml:space="preserve">270 </w:t>
      </w:r>
      <w:r w:rsidR="00FC06C6" w:rsidRPr="00EC02CA">
        <w:t>finalised</w:t>
      </w:r>
      <w:r w:rsidR="00D54246" w:rsidRPr="00EC02CA">
        <w:t xml:space="preserve"> charge</w:t>
      </w:r>
      <w:r w:rsidR="00083D87" w:rsidRPr="00EC02CA">
        <w:t>s</w:t>
      </w:r>
      <w:r w:rsidR="00D54246" w:rsidRPr="00EC02CA">
        <w:t xml:space="preserve"> </w:t>
      </w:r>
      <w:r w:rsidR="00013B8E" w:rsidRPr="00EC02CA">
        <w:t xml:space="preserve">in the </w:t>
      </w:r>
      <w:r w:rsidR="000C1496" w:rsidRPr="00EC02CA">
        <w:t>Childrens</w:t>
      </w:r>
      <w:r w:rsidR="00013B8E" w:rsidRPr="00EC02CA">
        <w:t xml:space="preserve"> Court of </w:t>
      </w:r>
      <w:r w:rsidR="000C1496" w:rsidRPr="00EC02CA">
        <w:t>Queensland</w:t>
      </w:r>
      <w:r w:rsidR="00013B8E" w:rsidRPr="00EC02CA">
        <w:t xml:space="preserve"> for sexual assault and related offences (1</w:t>
      </w:r>
      <w:r w:rsidR="005C3730" w:rsidRPr="00EC02CA">
        <w:t xml:space="preserve">36 were not </w:t>
      </w:r>
      <w:r w:rsidR="000C1496" w:rsidRPr="00EC02CA">
        <w:t>adjudicated</w:t>
      </w:r>
      <w:r w:rsidR="004A50F3" w:rsidRPr="00EC02CA">
        <w:t xml:space="preserve">, </w:t>
      </w:r>
      <w:r w:rsidR="000C1496" w:rsidRPr="00EC02CA">
        <w:t>and 134 were adjudicated).</w:t>
      </w:r>
      <w:r w:rsidR="000C1496" w:rsidRPr="00EC02CA">
        <w:rPr>
          <w:rStyle w:val="FootnoteReference"/>
        </w:rPr>
        <w:footnoteReference w:id="752"/>
      </w:r>
      <w:bookmarkEnd w:id="380"/>
    </w:p>
    <w:p w14:paraId="3449213D" w14:textId="5329F14F" w:rsidR="00A34E8A" w:rsidRPr="00EC02CA" w:rsidRDefault="00A34E8A" w:rsidP="002F0007">
      <w:pPr>
        <w:pStyle w:val="NormalNumberedTextTLRI"/>
      </w:pPr>
      <w:r w:rsidRPr="00EC02CA">
        <w:t>A more structured approach is set out in the A</w:t>
      </w:r>
      <w:r w:rsidR="009F4971" w:rsidRPr="00EC02CA">
        <w:t xml:space="preserve">ustralian </w:t>
      </w:r>
      <w:r w:rsidRPr="00EC02CA">
        <w:t>C</w:t>
      </w:r>
      <w:r w:rsidR="009F4971" w:rsidRPr="00EC02CA">
        <w:t xml:space="preserve">apital </w:t>
      </w:r>
      <w:r w:rsidRPr="00EC02CA">
        <w:t>T</w:t>
      </w:r>
      <w:r w:rsidR="009F4971" w:rsidRPr="00EC02CA">
        <w:t>erritory</w:t>
      </w:r>
      <w:r w:rsidRPr="00EC02CA">
        <w:t>, where provision</w:t>
      </w:r>
      <w:r w:rsidR="009F4971" w:rsidRPr="00EC02CA">
        <w:t>s</w:t>
      </w:r>
      <w:r w:rsidRPr="00EC02CA">
        <w:t xml:space="preserve"> in legislation specify the process of referral of sexual violence to diversionary processes</w:t>
      </w:r>
      <w:r w:rsidR="009F4971" w:rsidRPr="00EC02CA">
        <w:t>,</w:t>
      </w:r>
      <w:r w:rsidRPr="00EC02CA">
        <w:t xml:space="preserve"> including by police (see Appendix </w:t>
      </w:r>
      <w:r w:rsidR="001200BF" w:rsidRPr="00EC02CA">
        <w:t>I</w:t>
      </w:r>
      <w:r w:rsidRPr="00EC02CA">
        <w:t xml:space="preserve">). However, legislation generally restricts diversion by police to a restorative conference prior to </w:t>
      </w:r>
      <w:r w:rsidR="009F4971" w:rsidRPr="00EC02CA">
        <w:t xml:space="preserve">a guilty plea or </w:t>
      </w:r>
      <w:r w:rsidRPr="00EC02CA">
        <w:t xml:space="preserve">a finding of guilt. Prior to this, police diversion is only permitted for young offenders (aged 14 to under 18) for less serious sexual offences in exceptional circumstances. Otherwise, diversion for sexual offences is not possible before a guilty plea or </w:t>
      </w:r>
      <w:r w:rsidR="009F4971" w:rsidRPr="00EC02CA">
        <w:t xml:space="preserve">a </w:t>
      </w:r>
      <w:r w:rsidRPr="00EC02CA">
        <w:t>finding of guilt, and is made by the court.</w:t>
      </w:r>
      <w:r w:rsidRPr="00EC02CA">
        <w:rPr>
          <w:rStyle w:val="FootnoteReference"/>
        </w:rPr>
        <w:footnoteReference w:id="753"/>
      </w:r>
    </w:p>
    <w:p w14:paraId="7402801E" w14:textId="77777777" w:rsidR="006774B7" w:rsidRPr="00EC02CA" w:rsidRDefault="006774B7" w:rsidP="00A920EC">
      <w:pPr>
        <w:pStyle w:val="NumberedHeadingTLRI"/>
        <w:keepNext/>
        <w:keepLines/>
      </w:pPr>
      <w:bookmarkStart w:id="381" w:name="_Toc211849442"/>
      <w:bookmarkStart w:id="382" w:name="_Toc218157344"/>
      <w:bookmarkStart w:id="383" w:name="_Ref218241409"/>
      <w:bookmarkStart w:id="384" w:name="_Ref218241706"/>
      <w:bookmarkStart w:id="385" w:name="_Ref218253408"/>
      <w:r w:rsidRPr="00EC02CA">
        <w:t>Diversion through the use of formal cautions and conferencing for sexual offending</w:t>
      </w:r>
      <w:bookmarkEnd w:id="381"/>
      <w:bookmarkEnd w:id="382"/>
      <w:bookmarkEnd w:id="383"/>
      <w:bookmarkEnd w:id="384"/>
      <w:bookmarkEnd w:id="385"/>
    </w:p>
    <w:p w14:paraId="1EFA04DF" w14:textId="32394FA9" w:rsidR="006774B7" w:rsidRPr="00EC02CA" w:rsidRDefault="006774B7" w:rsidP="00A920EC">
      <w:pPr>
        <w:pStyle w:val="NormalNumberedTextTLRI"/>
        <w:keepNext/>
        <w:keepLines/>
      </w:pPr>
      <w:r w:rsidRPr="00EC02CA">
        <w:t>In the literature</w:t>
      </w:r>
      <w:r w:rsidR="00E27371" w:rsidRPr="00EC02CA">
        <w:t xml:space="preserve"> and in the Beijing Rules</w:t>
      </w:r>
      <w:r w:rsidRPr="00EC02CA">
        <w:t>, there has been strong support for the use of diversion by police for youth offenders as means of reducing youth reoffending.</w:t>
      </w:r>
      <w:bookmarkStart w:id="386" w:name="_Ref217996126"/>
      <w:r w:rsidRPr="00EC02CA">
        <w:rPr>
          <w:rStyle w:val="FootnoteReference"/>
        </w:rPr>
        <w:footnoteReference w:id="754"/>
      </w:r>
      <w:bookmarkEnd w:id="386"/>
      <w:r w:rsidRPr="00EC02CA">
        <w:t xml:space="preserve"> Reflecting concerns about the association </w:t>
      </w:r>
      <w:r w:rsidR="006F1B15" w:rsidRPr="00EC02CA">
        <w:t>between</w:t>
      </w:r>
      <w:r w:rsidRPr="00EC02CA">
        <w:t xml:space="preserve"> more punitive </w:t>
      </w:r>
      <w:r w:rsidR="00AE4A5D" w:rsidRPr="00EC02CA">
        <w:t>(and stigmatising)</w:t>
      </w:r>
      <w:r w:rsidRPr="00EC02CA">
        <w:t xml:space="preserve"> criminal justice responses </w:t>
      </w:r>
      <w:r w:rsidR="007F5B26" w:rsidRPr="00EC02CA">
        <w:t>and</w:t>
      </w:r>
      <w:r w:rsidRPr="00EC02CA">
        <w:t xml:space="preserve"> recidivism, as well as other negative consequences for the young person, there has been </w:t>
      </w:r>
      <w:r w:rsidR="004F72E7" w:rsidRPr="00EC02CA">
        <w:t>‘</w:t>
      </w:r>
      <w:r w:rsidRPr="00EC02CA">
        <w:t>a strong emphasis on diversion away from the criminal justice system for low-level offences through the use of caution and warning programmes, formal diversion programmes … and the use of bail and bail support programmes’ for young offenders.</w:t>
      </w:r>
      <w:r w:rsidRPr="00EC02CA">
        <w:rPr>
          <w:rStyle w:val="FootnoteReference"/>
        </w:rPr>
        <w:footnoteReference w:id="755"/>
      </w:r>
      <w:r w:rsidRPr="00EC02CA">
        <w:t xml:space="preserve"> While the use of diversion for young people for low</w:t>
      </w:r>
      <w:r w:rsidR="00B567A3" w:rsidRPr="00EC02CA">
        <w:t>-</w:t>
      </w:r>
      <w:r w:rsidRPr="00EC02CA">
        <w:t>level, non-violent offending</w:t>
      </w:r>
      <w:r w:rsidR="006045CF" w:rsidRPr="00EC02CA">
        <w:t>,</w:t>
      </w:r>
      <w:r w:rsidRPr="00EC02CA">
        <w:t xml:space="preserve"> such as shoplifting</w:t>
      </w:r>
      <w:r w:rsidR="006045CF" w:rsidRPr="00EC02CA">
        <w:t>,</w:t>
      </w:r>
      <w:r w:rsidRPr="00EC02CA">
        <w:t xml:space="preserve"> is well accepted, there are differing views about its use for sexual offences. However, in Tasmania and other Australian jurisdictions, there is an acceptance that diversion th</w:t>
      </w:r>
      <w:r w:rsidR="00CE0B3C" w:rsidRPr="00EC02CA">
        <w:t>r</w:t>
      </w:r>
      <w:r w:rsidRPr="00EC02CA">
        <w:t>ough the use of formal caution</w:t>
      </w:r>
      <w:r w:rsidR="004C5D4C" w:rsidRPr="00EC02CA">
        <w:t>s</w:t>
      </w:r>
      <w:r w:rsidRPr="00EC02CA">
        <w:t xml:space="preserve"> can be appropriate response for at least some categories of sexual offending.</w:t>
      </w:r>
      <w:r w:rsidRPr="00EC02CA">
        <w:rPr>
          <w:rStyle w:val="FootnoteReference"/>
        </w:rPr>
        <w:footnoteReference w:id="756"/>
      </w:r>
      <w:r w:rsidRPr="00EC02CA">
        <w:t xml:space="preserve"> </w:t>
      </w:r>
    </w:p>
    <w:p w14:paraId="7899B028" w14:textId="23413B51" w:rsidR="006774B7" w:rsidRPr="00EC02CA" w:rsidRDefault="006774B7" w:rsidP="002F0007">
      <w:pPr>
        <w:pStyle w:val="NormalNumberedTextTLRI"/>
      </w:pPr>
      <w:r w:rsidRPr="00EC02CA">
        <w:t xml:space="preserve">In addition, restorative justice processes have been incorporated in </w:t>
      </w:r>
      <w:r w:rsidR="007D35A3" w:rsidRPr="00EC02CA">
        <w:t xml:space="preserve">the </w:t>
      </w:r>
      <w:r w:rsidRPr="00EC02CA">
        <w:t>response to youth offending, allowing police and/or the court</w:t>
      </w:r>
      <w:r w:rsidR="007D35A3" w:rsidRPr="00EC02CA">
        <w:t>s</w:t>
      </w:r>
      <w:r w:rsidRPr="00EC02CA">
        <w:t xml:space="preserve"> to divert a young person to a </w:t>
      </w:r>
      <w:r w:rsidR="005F28E5" w:rsidRPr="00EC02CA">
        <w:t>community</w:t>
      </w:r>
      <w:r w:rsidRPr="00EC02CA">
        <w:t xml:space="preserve"> conference.</w:t>
      </w:r>
      <w:r w:rsidRPr="00EC02CA">
        <w:rPr>
          <w:rStyle w:val="FootnoteReference"/>
        </w:rPr>
        <w:footnoteReference w:id="757"/>
      </w:r>
      <w:r w:rsidRPr="00EC02CA">
        <w:t xml:space="preserve"> Since the 1990s, there has been debate about the appropriateness of using restorative justice processes</w:t>
      </w:r>
      <w:r w:rsidR="007D35A3" w:rsidRPr="00EC02CA">
        <w:t>,</w:t>
      </w:r>
      <w:r w:rsidR="005F28E5" w:rsidRPr="00EC02CA">
        <w:t xml:space="preserve"> s</w:t>
      </w:r>
      <w:r w:rsidR="00D03F08" w:rsidRPr="00EC02CA">
        <w:t>u</w:t>
      </w:r>
      <w:r w:rsidR="005F28E5" w:rsidRPr="00EC02CA">
        <w:t>ch as conferences,</w:t>
      </w:r>
      <w:r w:rsidRPr="00EC02CA">
        <w:t xml:space="preserve"> for sexual offences, particularly in the context of adult offenders.</w:t>
      </w:r>
      <w:bookmarkStart w:id="387" w:name="_Ref218005998"/>
      <w:r w:rsidRPr="00EC02CA">
        <w:rPr>
          <w:rStyle w:val="FootnoteReference"/>
        </w:rPr>
        <w:footnoteReference w:id="758"/>
      </w:r>
      <w:bookmarkEnd w:id="387"/>
      <w:r w:rsidRPr="00EC02CA">
        <w:t xml:space="preserve"> Concerns raised with the use of restorative justice in the context of family violence and sexual offences include that it may</w:t>
      </w:r>
      <w:r w:rsidR="007D35A3" w:rsidRPr="00EC02CA">
        <w:t>:</w:t>
      </w:r>
      <w:r w:rsidRPr="00EC02CA">
        <w:t xml:space="preserve"> increase the risk to </w:t>
      </w:r>
      <w:r w:rsidR="00886B70" w:rsidRPr="00EC02CA">
        <w:t>victim-survivor</w:t>
      </w:r>
      <w:r w:rsidRPr="00EC02CA">
        <w:t xml:space="preserve"> safety</w:t>
      </w:r>
      <w:r w:rsidR="007D35A3" w:rsidRPr="00EC02CA">
        <w:t>;</w:t>
      </w:r>
      <w:r w:rsidRPr="00EC02CA">
        <w:t xml:space="preserve"> have the process manipulated by offenders</w:t>
      </w:r>
      <w:r w:rsidR="007D35A3" w:rsidRPr="00EC02CA">
        <w:t>;</w:t>
      </w:r>
      <w:r w:rsidRPr="00EC02CA">
        <w:t xml:space="preserve"> put pressure o</w:t>
      </w:r>
      <w:r w:rsidR="00392514" w:rsidRPr="00EC02CA">
        <w:t xml:space="preserve">n </w:t>
      </w:r>
      <w:r w:rsidR="003C2332" w:rsidRPr="00EC02CA">
        <w:t>victim-survivors</w:t>
      </w:r>
      <w:r w:rsidRPr="00EC02CA">
        <w:t xml:space="preserve"> to accept outcomes they feel are inappropriate</w:t>
      </w:r>
      <w:r w:rsidR="007D35A3" w:rsidRPr="00EC02CA">
        <w:t>;</w:t>
      </w:r>
      <w:r w:rsidRPr="00EC02CA">
        <w:t xml:space="preserve"> reinforce community norms about sexual violence</w:t>
      </w:r>
      <w:r w:rsidR="007D35A3" w:rsidRPr="00EC02CA">
        <w:t>;</w:t>
      </w:r>
      <w:r w:rsidRPr="00EC02CA">
        <w:t xml:space="preserve"> not have sufficient impact on offender</w:t>
      </w:r>
      <w:r w:rsidR="007D35A3" w:rsidRPr="00EC02CA">
        <w:t>;</w:t>
      </w:r>
      <w:r w:rsidRPr="00EC02CA">
        <w:t xml:space="preserve"> and send a message that sexual violence is not serious violence.</w:t>
      </w:r>
      <w:r w:rsidRPr="00EC02CA">
        <w:rPr>
          <w:rStyle w:val="FootnoteReference"/>
        </w:rPr>
        <w:footnoteReference w:id="759"/>
      </w:r>
      <w:r w:rsidRPr="00EC02CA">
        <w:t xml:space="preserve"> In addition to risks for re</w:t>
      </w:r>
      <w:r w:rsidR="00CE0B3C" w:rsidRPr="00EC02CA">
        <w:t>-</w:t>
      </w:r>
      <w:r w:rsidRPr="00EC02CA">
        <w:t xml:space="preserve">victimisation and power imbalances between </w:t>
      </w:r>
      <w:r w:rsidR="003C2332" w:rsidRPr="00EC02CA">
        <w:t>victim-survivors</w:t>
      </w:r>
      <w:r w:rsidR="00AC7E04" w:rsidRPr="00EC02CA">
        <w:t xml:space="preserve"> and offender</w:t>
      </w:r>
      <w:r w:rsidRPr="00EC02CA">
        <w:t>s, concerns have also been raised about the potential for net-widening</w:t>
      </w:r>
      <w:r w:rsidRPr="00EC02CA">
        <w:rPr>
          <w:vertAlign w:val="superscript"/>
        </w:rPr>
        <w:footnoteReference w:id="760"/>
      </w:r>
      <w:r w:rsidRPr="00EC02CA">
        <w:t xml:space="preserve"> – in that some offences that may not have previously elicited a justice response may </w:t>
      </w:r>
      <w:r w:rsidR="007D35A3" w:rsidRPr="00EC02CA">
        <w:t xml:space="preserve">do so </w:t>
      </w:r>
      <w:r w:rsidRPr="00EC02CA">
        <w:t xml:space="preserve">by receiving </w:t>
      </w:r>
      <w:r w:rsidR="007D35A3" w:rsidRPr="00EC02CA">
        <w:t xml:space="preserve">a </w:t>
      </w:r>
      <w:r w:rsidRPr="00EC02CA">
        <w:t>referral to a restorative justice program</w:t>
      </w:r>
      <w:r w:rsidRPr="00EC02CA">
        <w:fldChar w:fldCharType="begin"/>
      </w:r>
      <w:r w:rsidRPr="00EC02CA">
        <w:instrText xml:space="preserve"> ADDIN EN.CITE &lt;EndNote&gt;&lt;Cite&gt;&lt;Author&gt;Armstrong&lt;/Author&gt;&lt;Year&gt;2021&lt;/Year&gt;&lt;RecNum&gt;1046&lt;/RecNum&gt;&lt;record&gt;&lt;rec-number&gt;1046&lt;/rec-number&gt;&lt;foreign-keys&gt;&lt;key app="EN" db-id="92twpawtxsdzaae5zwevdsw799fderxv2d52" timestamp="1689652151" guid="d4cb17e9-2d70-4c34-a118-4e66b9fa2516"&gt;1046&lt;/key&gt;&lt;/foreign-keys&gt;&lt;ref-type name="Journal Article"&gt;17&lt;/ref-type&gt;&lt;contributors&gt;&lt;authors&gt;&lt;author&gt;Armstrong, Lisa Mary&lt;/author&gt;&lt;/authors&gt;&lt;/contributors&gt;&lt;titles&gt;&lt;title&gt;Is restorative justice an effective approach in responding to children and young people who sexually harm?&lt;/title&gt;&lt;secondary-title&gt;Laws&lt;/secondary-title&gt;&lt;/titles&gt;&lt;periodical&gt;&lt;full-title&gt;Laws&lt;/full-title&gt;&lt;/periodical&gt;&lt;pages&gt;86-95&lt;/pages&gt;&lt;volume&gt;10&lt;/volume&gt;&lt;number&gt;4&lt;/number&gt;&lt;dates&gt;&lt;year&gt;2021&lt;/year&gt;&lt;/dates&gt;&lt;urls&gt;&lt;/urls&gt;&lt;electronic-resource-num&gt;10.3390/laws10040086&lt;/electronic-resource-num&gt;&lt;/record&gt;&lt;/Cite&gt;&lt;Cite&gt;&lt;Author&gt;Gxubane&lt;/Author&gt;&lt;Year&gt;2014&lt;/Year&gt;&lt;RecNum&gt;31695&lt;/RecNum&gt;&lt;record&gt;&lt;rec-number&gt;31695&lt;/rec-number&gt;&lt;foreign-keys&gt;&lt;key app="EN" db-id="92twpawtxsdzaae5zwevdsw799fderxv2d52" timestamp="1696995922"&gt;31695&lt;/key&gt;&lt;/foreign-keys&gt;&lt;ref-type name="Journal Article"&gt;17&lt;/ref-type&gt;&lt;contributors&gt;&lt;authors&gt;&lt;author&gt;Gxubane, Thulane&lt;/author&gt;&lt;/authors&gt;&lt;/contributors&gt;&lt;titles&gt;&lt;title&gt;Restorative justice with youth sex offenders: Issues for practice&lt;/title&gt;&lt;secondary-title&gt;Southern African Journal of Social Work and Social Development&lt;/secondary-title&gt;&lt;/titles&gt;&lt;periodical&gt;&lt;full-title&gt;Southern African Journal of Social Work and Social Development&lt;/full-title&gt;&lt;/periodical&gt;&lt;pages&gt;241-259&lt;/pages&gt;&lt;volume&gt;26&lt;/volume&gt;&lt;number&gt;2&lt;/number&gt;&lt;dates&gt;&lt;year&gt;2014&lt;/year&gt;&lt;/dates&gt;&lt;urls&gt;&lt;/urls&gt;&lt;electronic-resource-num&gt;10.25159/2415-5829/2251&lt;/electronic-resource-num&gt;&lt;/record&gt;&lt;/Cite&gt;&lt;/EndNote&gt;</w:instrText>
      </w:r>
      <w:r w:rsidRPr="00EC02CA">
        <w:fldChar w:fldCharType="separate"/>
      </w:r>
      <w:r w:rsidRPr="00EC02CA">
        <w:fldChar w:fldCharType="end"/>
      </w:r>
      <w:r w:rsidRPr="00EC02CA">
        <w:t>.</w:t>
      </w:r>
      <w:r w:rsidRPr="00EC02CA">
        <w:rPr>
          <w:rStyle w:val="FootnoteReference"/>
        </w:rPr>
        <w:footnoteReference w:id="761"/>
      </w:r>
      <w:r w:rsidRPr="00EC02CA">
        <w:t xml:space="preserve"> </w:t>
      </w:r>
      <w:r w:rsidR="007D35A3" w:rsidRPr="00EC02CA">
        <w:t>The b</w:t>
      </w:r>
      <w:r w:rsidRPr="00EC02CA">
        <w:t xml:space="preserve">enefits of restorative justice approaches have been said to </w:t>
      </w:r>
      <w:r w:rsidR="007D35A3" w:rsidRPr="00EC02CA">
        <w:t xml:space="preserve">include </w:t>
      </w:r>
      <w:r w:rsidRPr="00EC02CA">
        <w:t>provid</w:t>
      </w:r>
      <w:r w:rsidR="007D35A3" w:rsidRPr="00EC02CA">
        <w:t>ing</w:t>
      </w:r>
      <w:r w:rsidRPr="00EC02CA">
        <w:t xml:space="preserve"> more choices to </w:t>
      </w:r>
      <w:r w:rsidR="003C2332" w:rsidRPr="00EC02CA">
        <w:t>victim-survivors</w:t>
      </w:r>
      <w:r w:rsidRPr="00EC02CA">
        <w:t xml:space="preserve">, </w:t>
      </w:r>
      <w:r w:rsidR="007D35A3" w:rsidRPr="00EC02CA">
        <w:t xml:space="preserve">creating </w:t>
      </w:r>
      <w:r w:rsidRPr="00EC02CA">
        <w:t>another form of accountability for offenders, and meet</w:t>
      </w:r>
      <w:r w:rsidR="007D35A3" w:rsidRPr="00EC02CA">
        <w:t>ing</w:t>
      </w:r>
      <w:r w:rsidRPr="00EC02CA">
        <w:t xml:space="preserve"> needs that the criminal justice system cannot.</w:t>
      </w:r>
      <w:r w:rsidRPr="00EC02CA">
        <w:rPr>
          <w:rStyle w:val="FootnoteReference"/>
        </w:rPr>
        <w:footnoteReference w:id="762"/>
      </w:r>
    </w:p>
    <w:p w14:paraId="3B07E3DF" w14:textId="085372C4" w:rsidR="006774B7" w:rsidRPr="00EC02CA" w:rsidRDefault="006774B7" w:rsidP="002F0007">
      <w:pPr>
        <w:pStyle w:val="NormalNumberedTextTLRI"/>
      </w:pPr>
      <w:r w:rsidRPr="00EC02CA">
        <w:t>More recently, there has been greater acceptance of the role of restorative justice processes for sexual offending, with the ALRC writing that ‘</w:t>
      </w:r>
      <w:r w:rsidR="00DD41FD" w:rsidRPr="00EC02CA">
        <w:t>W</w:t>
      </w:r>
      <w:r w:rsidRPr="00EC02CA">
        <w:t>e considered the strong cases for making restorative justice widely available as an option in response to sexual violence’,</w:t>
      </w:r>
      <w:r w:rsidRPr="00EC02CA">
        <w:rPr>
          <w:rStyle w:val="FootnoteReference"/>
        </w:rPr>
        <w:footnoteReference w:id="763"/>
      </w:r>
      <w:r w:rsidR="00427DB0" w:rsidRPr="00EC02CA">
        <w:t xml:space="preserve"> </w:t>
      </w:r>
      <w:r w:rsidRPr="00EC02CA">
        <w:t>either as a complement to the criminal justice system or as a process that can happen independently of other justice processes.</w:t>
      </w:r>
      <w:bookmarkStart w:id="388" w:name="_Ref218016536"/>
      <w:r w:rsidRPr="00EC02CA">
        <w:rPr>
          <w:rStyle w:val="FootnoteReference"/>
        </w:rPr>
        <w:footnoteReference w:id="764"/>
      </w:r>
      <w:bookmarkEnd w:id="388"/>
      <w:r w:rsidRPr="00EC02CA">
        <w:t xml:space="preserve"> However, it was noted that</w:t>
      </w:r>
      <w:r w:rsidR="00DD41FD" w:rsidRPr="00EC02CA">
        <w:t>,</w:t>
      </w:r>
      <w:r w:rsidRPr="00EC02CA">
        <w:t xml:space="preserve"> with the exception of South Australia and Queensland, restorative justice is ‘used less frequently for sexual offences involving children and young people’.</w:t>
      </w:r>
      <w:r w:rsidRPr="00EC02CA">
        <w:rPr>
          <w:rStyle w:val="FootnoteReference"/>
        </w:rPr>
        <w:footnoteReference w:id="765"/>
      </w:r>
      <w:r w:rsidRPr="00EC02CA">
        <w:t xml:space="preserve"> The ALRC considered that restorative justice should be more widely used</w:t>
      </w:r>
      <w:r w:rsidR="0098376A" w:rsidRPr="00EC02CA">
        <w:t>,</w:t>
      </w:r>
      <w:r w:rsidRPr="00EC02CA">
        <w:t xml:space="preserve"> and that legislation should </w:t>
      </w:r>
      <w:r w:rsidR="0098376A" w:rsidRPr="00EC02CA">
        <w:t xml:space="preserve">provide for </w:t>
      </w:r>
      <w:r w:rsidRPr="00EC02CA">
        <w:t xml:space="preserve">restorative justice </w:t>
      </w:r>
      <w:r w:rsidR="0098376A" w:rsidRPr="00EC02CA">
        <w:t xml:space="preserve">to be </w:t>
      </w:r>
      <w:r w:rsidRPr="00EC02CA">
        <w:t>available:</w:t>
      </w:r>
    </w:p>
    <w:p w14:paraId="38BDA6DF" w14:textId="0466847A" w:rsidR="006774B7" w:rsidRPr="00EC02CA" w:rsidRDefault="003770C1" w:rsidP="006774B7">
      <w:pPr>
        <w:pStyle w:val="DotPointTLRI"/>
      </w:pPr>
      <w:r w:rsidRPr="00EC02CA">
        <w:t>w</w:t>
      </w:r>
      <w:r w:rsidR="006774B7" w:rsidRPr="00EC02CA">
        <w:t>here a person who has experienced sexual violence has not reported the violence to the police</w:t>
      </w:r>
      <w:r w:rsidRPr="00EC02CA">
        <w:t>;</w:t>
      </w:r>
    </w:p>
    <w:p w14:paraId="5EB79014" w14:textId="6BF4E36E" w:rsidR="006774B7" w:rsidRPr="00EC02CA" w:rsidRDefault="003770C1" w:rsidP="006774B7">
      <w:pPr>
        <w:pStyle w:val="DotPointTLRI"/>
      </w:pPr>
      <w:r w:rsidRPr="00EC02CA">
        <w:t>w</w:t>
      </w:r>
      <w:r w:rsidR="006774B7" w:rsidRPr="00EC02CA">
        <w:t>here a person has reported to police but there are inefficient grounds to file charges or prosecution was discontinued</w:t>
      </w:r>
      <w:r w:rsidRPr="00EC02CA">
        <w:t>;</w:t>
      </w:r>
    </w:p>
    <w:p w14:paraId="431F2BA7" w14:textId="2CC5EC1F" w:rsidR="006774B7" w:rsidRPr="00EC02CA" w:rsidRDefault="003770C1" w:rsidP="006774B7">
      <w:pPr>
        <w:pStyle w:val="DotPointTLRI"/>
      </w:pPr>
      <w:r w:rsidRPr="00EC02CA">
        <w:t>d</w:t>
      </w:r>
      <w:r w:rsidR="006774B7" w:rsidRPr="00EC02CA">
        <w:t>uring criminal proceedings as part of the accused person being referred to a diversionary program that provides for a restorative justice process</w:t>
      </w:r>
      <w:r w:rsidRPr="00EC02CA">
        <w:t>;</w:t>
      </w:r>
    </w:p>
    <w:p w14:paraId="1DDA7E16" w14:textId="40003029" w:rsidR="006774B7" w:rsidRPr="00EC02CA" w:rsidRDefault="003770C1" w:rsidP="006774B7">
      <w:pPr>
        <w:pStyle w:val="DotPointTLRI"/>
      </w:pPr>
      <w:r w:rsidRPr="00EC02CA">
        <w:t>a</w:t>
      </w:r>
      <w:r w:rsidR="006774B7" w:rsidRPr="00EC02CA">
        <w:t>fter a guilty plea or conviction and before sentencing</w:t>
      </w:r>
      <w:r w:rsidRPr="00EC02CA">
        <w:t>; and</w:t>
      </w:r>
    </w:p>
    <w:p w14:paraId="6223D25B" w14:textId="624478FF" w:rsidR="006774B7" w:rsidRPr="00EC02CA" w:rsidRDefault="003770C1" w:rsidP="006774B7">
      <w:pPr>
        <w:pStyle w:val="DotPointTLRI"/>
      </w:pPr>
      <w:r w:rsidRPr="00EC02CA">
        <w:t>a</w:t>
      </w:r>
      <w:r w:rsidR="006774B7" w:rsidRPr="00EC02CA">
        <w:t>ny time after sentencing, including as part of parole proceedings.</w:t>
      </w:r>
      <w:r w:rsidR="006774B7" w:rsidRPr="00EC02CA">
        <w:rPr>
          <w:rStyle w:val="FootnoteReference"/>
        </w:rPr>
        <w:footnoteReference w:id="766"/>
      </w:r>
    </w:p>
    <w:p w14:paraId="1349C806" w14:textId="0A77693B" w:rsidR="006774B7" w:rsidRPr="00EC02CA" w:rsidRDefault="006774B7" w:rsidP="002F0007">
      <w:pPr>
        <w:pStyle w:val="NormalNumberedTextTLRI"/>
      </w:pPr>
      <w:r w:rsidRPr="00EC02CA">
        <w:t>Australian research has shown that diversion from the criminal justice system and participation in restorative processes can reduce the likelihood of reoffending. The ALRC wrote that ‘restorative justice has been positively evaluated, including in cases involving sexual violence’.</w:t>
      </w:r>
      <w:r w:rsidRPr="00EC02CA">
        <w:rPr>
          <w:rStyle w:val="FootnoteReference"/>
        </w:rPr>
        <w:footnoteReference w:id="767"/>
      </w:r>
      <w:r w:rsidRPr="00EC02CA">
        <w:t xml:space="preserve"> The value of restorative justice can be viewed from the perspective of the offender. It has been observed that ‘a recent evaluation of the [restorative justice] program operating </w:t>
      </w:r>
      <w:r w:rsidR="00AB7BDB" w:rsidRPr="00EC02CA">
        <w:t xml:space="preserve">in </w:t>
      </w:r>
      <w:r w:rsidRPr="00EC02CA">
        <w:t>the Australian Capital Territory between 2006 and 2016 found that young people referred to [restorative justice] were significantly less likely to reoffend in the follow-up per</w:t>
      </w:r>
      <w:r w:rsidR="00AB7BDB" w:rsidRPr="00EC02CA">
        <w:t>iod</w:t>
      </w:r>
      <w:r w:rsidRPr="00EC02CA">
        <w:t>’.</w:t>
      </w:r>
      <w:r w:rsidRPr="00EC02CA">
        <w:rPr>
          <w:rStyle w:val="FootnoteReference"/>
        </w:rPr>
        <w:footnoteReference w:id="768"/>
      </w:r>
      <w:r w:rsidRPr="00EC02CA">
        <w:t xml:space="preserve"> However, research has not examined the reduction of offending for young people referred to diversionary processes</w:t>
      </w:r>
      <w:r w:rsidR="00AB7BDB" w:rsidRPr="00EC02CA">
        <w:t xml:space="preserve"> for sexual offences</w:t>
      </w:r>
      <w:r w:rsidRPr="00EC02CA">
        <w:t>.</w:t>
      </w:r>
      <w:r w:rsidRPr="00EC02CA">
        <w:rPr>
          <w:rStyle w:val="FootnoteReference"/>
        </w:rPr>
        <w:footnoteReference w:id="769"/>
      </w:r>
      <w:r w:rsidRPr="00EC02CA">
        <w:t xml:space="preserve"> More research is being undertaken, with a 2025 process review of the use of restorative justice processes for family and sexual violence conducted in the </w:t>
      </w:r>
      <w:r w:rsidR="00BD19F6" w:rsidRPr="00EC02CA">
        <w:t xml:space="preserve">Australian Capital Territory </w:t>
      </w:r>
      <w:r w:rsidR="00D940FB" w:rsidRPr="00EC02CA">
        <w:t>(‘2025 ACT Review’)</w:t>
      </w:r>
      <w:r w:rsidR="00AB7BDB" w:rsidRPr="00EC02CA">
        <w:t>.</w:t>
      </w:r>
      <w:r w:rsidRPr="00EC02CA">
        <w:rPr>
          <w:rStyle w:val="FootnoteReference"/>
        </w:rPr>
        <w:footnoteReference w:id="770"/>
      </w:r>
      <w:r w:rsidRPr="00EC02CA">
        <w:t xml:space="preserve"> This research found that, from the perspective of the person responsible, participation in the conference was seen to provide accountability, increase an understanding of the impact of their actions</w:t>
      </w:r>
      <w:r w:rsidR="00AB7BDB" w:rsidRPr="00EC02CA">
        <w:t>,</w:t>
      </w:r>
      <w:r w:rsidRPr="00EC02CA">
        <w:t xml:space="preserve"> allow them to access supports</w:t>
      </w:r>
      <w:r w:rsidR="00AB7BDB" w:rsidRPr="00EC02CA">
        <w:t>,</w:t>
      </w:r>
      <w:r w:rsidRPr="00EC02CA">
        <w:t xml:space="preserve"> and increase their commitment not to reoffend.</w:t>
      </w:r>
      <w:r w:rsidRPr="00EC02CA">
        <w:rPr>
          <w:rStyle w:val="FootnoteReference"/>
        </w:rPr>
        <w:footnoteReference w:id="771"/>
      </w:r>
      <w:r w:rsidRPr="00EC02CA">
        <w:t xml:space="preserve"> This aligns with the principles of youth justice in relation to accountability. It also aligns with </w:t>
      </w:r>
      <w:r w:rsidR="00AB7BDB" w:rsidRPr="00EC02CA">
        <w:t xml:space="preserve">the </w:t>
      </w:r>
      <w:r w:rsidRPr="00EC02CA">
        <w:t>general</w:t>
      </w:r>
      <w:r w:rsidR="00AB7BDB" w:rsidRPr="00EC02CA">
        <w:t>ly</w:t>
      </w:r>
      <w:r w:rsidRPr="00EC02CA">
        <w:t xml:space="preserve"> accept</w:t>
      </w:r>
      <w:r w:rsidR="00AB7BDB" w:rsidRPr="00EC02CA">
        <w:t>ed approach</w:t>
      </w:r>
      <w:r w:rsidRPr="00EC02CA">
        <w:t xml:space="preserve"> that, where appropriate</w:t>
      </w:r>
      <w:r w:rsidR="00946140" w:rsidRPr="00EC02CA">
        <w:t>,</w:t>
      </w:r>
      <w:r w:rsidRPr="00EC02CA">
        <w:t xml:space="preserve"> children and young people </w:t>
      </w:r>
      <w:r w:rsidR="00E01637" w:rsidRPr="00EC02CA">
        <w:t>exhibiting</w:t>
      </w:r>
      <w:r w:rsidRPr="00EC02CA">
        <w:t xml:space="preserve"> harmful sexual behaviour should be supported </w:t>
      </w:r>
      <w:r w:rsidR="00144DB3" w:rsidRPr="00EC02CA">
        <w:t>to move out of</w:t>
      </w:r>
      <w:r w:rsidRPr="00EC02CA">
        <w:t xml:space="preserve"> the justice system,</w:t>
      </w:r>
      <w:r w:rsidRPr="00EC02CA">
        <w:rPr>
          <w:rStyle w:val="FootnoteReference"/>
        </w:rPr>
        <w:footnoteReference w:id="772"/>
      </w:r>
      <w:r w:rsidRPr="00EC02CA">
        <w:t xml:space="preserve"> with the ALRC indicating that there was ‘widespread support for improving the accessibility of restorative justice for youth sexual offences’.</w:t>
      </w:r>
      <w:r w:rsidRPr="00EC02CA">
        <w:rPr>
          <w:rStyle w:val="FootnoteReference"/>
        </w:rPr>
        <w:footnoteReference w:id="773"/>
      </w:r>
    </w:p>
    <w:p w14:paraId="108B554A" w14:textId="1D992F19" w:rsidR="006774B7" w:rsidRPr="00EC02CA" w:rsidRDefault="006774B7" w:rsidP="002F0007">
      <w:pPr>
        <w:pStyle w:val="NormalNumberedTextTLRI"/>
      </w:pPr>
      <w:r w:rsidRPr="00EC02CA">
        <w:t>However, great care is required in the use of restorative justice</w:t>
      </w:r>
      <w:r w:rsidR="005F28E5" w:rsidRPr="00EC02CA">
        <w:t xml:space="preserve">, including community conferences, </w:t>
      </w:r>
      <w:r w:rsidRPr="00EC02CA">
        <w:t xml:space="preserve">for sexual offending. Particular concerns (as noted) exist for </w:t>
      </w:r>
      <w:r w:rsidR="003C2332" w:rsidRPr="00EC02CA">
        <w:t>victim-survivors</w:t>
      </w:r>
      <w:r w:rsidRPr="00EC02CA">
        <w:t xml:space="preserve"> relate</w:t>
      </w:r>
      <w:r w:rsidR="00AB7BDB" w:rsidRPr="00EC02CA">
        <w:t>d</w:t>
      </w:r>
      <w:r w:rsidRPr="00EC02CA">
        <w:t xml:space="preserve"> to the </w:t>
      </w:r>
      <w:r w:rsidR="00AB7BDB" w:rsidRPr="00EC02CA">
        <w:t xml:space="preserve">risk of </w:t>
      </w:r>
      <w:r w:rsidRPr="00EC02CA">
        <w:t>minimisation of sexual violence and risks arising from inter-personal dynamics at a conference.</w:t>
      </w:r>
      <w:r w:rsidRPr="00EC02CA">
        <w:rPr>
          <w:rStyle w:val="FootnoteReference"/>
        </w:rPr>
        <w:footnoteReference w:id="774"/>
      </w:r>
      <w:r w:rsidRPr="00EC02CA">
        <w:t xml:space="preserve"> There has been some limited research show</w:t>
      </w:r>
      <w:r w:rsidR="00AB7BDB" w:rsidRPr="00EC02CA">
        <w:t>ing</w:t>
      </w:r>
      <w:r w:rsidRPr="00EC02CA">
        <w:t xml:space="preserve"> that there may be benefit for </w:t>
      </w:r>
      <w:r w:rsidR="003C2332" w:rsidRPr="00EC02CA">
        <w:t>victim-survivors</w:t>
      </w:r>
      <w:r w:rsidRPr="00EC02CA">
        <w:t xml:space="preserve"> from participation in a restorative justice process</w:t>
      </w:r>
      <w:r w:rsidR="00AB7BDB" w:rsidRPr="00EC02CA">
        <w:t>,</w:t>
      </w:r>
      <w:r w:rsidRPr="00EC02CA">
        <w:t xml:space="preserve"> but more research is required.</w:t>
      </w:r>
      <w:r w:rsidRPr="00EC02CA">
        <w:rPr>
          <w:rStyle w:val="FootnoteReference"/>
        </w:rPr>
        <w:footnoteReference w:id="775"/>
      </w:r>
      <w:r w:rsidRPr="00EC02CA">
        <w:t xml:space="preserve"> </w:t>
      </w:r>
      <w:r w:rsidR="00AB7BDB" w:rsidRPr="00EC02CA">
        <w:t xml:space="preserve">The </w:t>
      </w:r>
      <w:r w:rsidR="00D940FB" w:rsidRPr="00EC02CA">
        <w:t xml:space="preserve">2025 </w:t>
      </w:r>
      <w:r w:rsidR="00AB7BDB" w:rsidRPr="00EC02CA">
        <w:t>ACT</w:t>
      </w:r>
      <w:r w:rsidRPr="00EC02CA">
        <w:t xml:space="preserve"> </w:t>
      </w:r>
      <w:r w:rsidR="00D940FB" w:rsidRPr="00EC02CA">
        <w:t>R</w:t>
      </w:r>
      <w:r w:rsidRPr="00EC02CA">
        <w:t>eview</w:t>
      </w:r>
      <w:r w:rsidRPr="00EC02CA">
        <w:rPr>
          <w:rStyle w:val="FootnoteReference"/>
        </w:rPr>
        <w:footnoteReference w:id="776"/>
      </w:r>
      <w:r w:rsidRPr="00EC02CA">
        <w:t xml:space="preserve"> found that</w:t>
      </w:r>
      <w:r w:rsidR="00632BDB" w:rsidRPr="00EC02CA">
        <w:t>, following their participation in a restorative justice conference,</w:t>
      </w:r>
      <w:r w:rsidRPr="00EC02CA">
        <w:t xml:space="preserve"> the outcomes described by persons harmed included</w:t>
      </w:r>
      <w:r w:rsidR="00AB7BDB" w:rsidRPr="00EC02CA">
        <w:t>:</w:t>
      </w:r>
      <w:r w:rsidRPr="00EC02CA">
        <w:t xml:space="preserve"> </w:t>
      </w:r>
      <w:r w:rsidR="003415B6" w:rsidRPr="00EC02CA">
        <w:t xml:space="preserve">increased </w:t>
      </w:r>
      <w:r w:rsidRPr="00EC02CA">
        <w:t>information, participation and voice, safety and support, improved relationships</w:t>
      </w:r>
      <w:r w:rsidR="00AB7BDB" w:rsidRPr="00EC02CA">
        <w:t>,</w:t>
      </w:r>
      <w:r w:rsidRPr="00EC02CA">
        <w:t xml:space="preserve"> and closure and being able to move on.</w:t>
      </w:r>
      <w:r w:rsidRPr="00EC02CA">
        <w:rPr>
          <w:rStyle w:val="FootnoteReference"/>
        </w:rPr>
        <w:footnoteReference w:id="777"/>
      </w:r>
      <w:r w:rsidRPr="00EC02CA">
        <w:t xml:space="preserve"> To achieve benefits for </w:t>
      </w:r>
      <w:r w:rsidR="00886B70" w:rsidRPr="00EC02CA">
        <w:t>victim-survivor</w:t>
      </w:r>
      <w:r w:rsidRPr="00EC02CA">
        <w:t>s of sexual offending, it is well accepted that any use of restorative justice requires considerable resources to ensure that it is carefully managed</w:t>
      </w:r>
      <w:r w:rsidR="00632BDB" w:rsidRPr="00EC02CA">
        <w:t>,</w:t>
      </w:r>
      <w:r w:rsidRPr="00EC02CA">
        <w:t xml:space="preserve"> with strong safeguards in place</w:t>
      </w:r>
      <w:r w:rsidR="00632BDB" w:rsidRPr="00EC02CA">
        <w:t>,</w:t>
      </w:r>
      <w:r w:rsidRPr="00EC02CA">
        <w:t xml:space="preserve"> and that it is well done.</w:t>
      </w:r>
      <w:r w:rsidRPr="00EC02CA">
        <w:rPr>
          <w:rStyle w:val="FootnoteReference"/>
        </w:rPr>
        <w:footnoteReference w:id="778"/>
      </w:r>
      <w:r w:rsidRPr="00EC02CA">
        <w:t xml:space="preserve"> To achieve this, the ALRC</w:t>
      </w:r>
      <w:r w:rsidR="00632BDB" w:rsidRPr="00EC02CA">
        <w:t xml:space="preserve"> </w:t>
      </w:r>
      <w:r w:rsidRPr="00EC02CA">
        <w:t>indicated that:</w:t>
      </w:r>
    </w:p>
    <w:p w14:paraId="4C53B9D2" w14:textId="77777777" w:rsidR="006774B7" w:rsidRPr="00EC02CA" w:rsidRDefault="006774B7" w:rsidP="006774B7">
      <w:pPr>
        <w:pStyle w:val="Indentedquote"/>
      </w:pPr>
      <w:r w:rsidRPr="00EC02CA">
        <w:t xml:space="preserve">At a minimum, the legislated aims of restorative justice should include: </w:t>
      </w:r>
    </w:p>
    <w:p w14:paraId="430C8122" w14:textId="77777777" w:rsidR="006774B7" w:rsidRPr="00EC02CA" w:rsidRDefault="006774B7" w:rsidP="006774B7">
      <w:pPr>
        <w:pStyle w:val="Indentedquote"/>
        <w:numPr>
          <w:ilvl w:val="0"/>
          <w:numId w:val="41"/>
        </w:numPr>
      </w:pPr>
      <w:r w:rsidRPr="00EC02CA">
        <w:t xml:space="preserve">empowering people who have been harmed and responding flexibly to their needs; </w:t>
      </w:r>
    </w:p>
    <w:p w14:paraId="51C2D901" w14:textId="77777777" w:rsidR="006774B7" w:rsidRPr="00EC02CA" w:rsidRDefault="006774B7" w:rsidP="006774B7">
      <w:pPr>
        <w:pStyle w:val="Indentedquote"/>
        <w:numPr>
          <w:ilvl w:val="0"/>
          <w:numId w:val="41"/>
        </w:numPr>
      </w:pPr>
      <w:r w:rsidRPr="00EC02CA">
        <w:t xml:space="preserve">respecting all participants and ensuring their safety; and </w:t>
      </w:r>
    </w:p>
    <w:p w14:paraId="3B0BEB88" w14:textId="77777777" w:rsidR="006774B7" w:rsidRPr="00EC02CA" w:rsidRDefault="006774B7" w:rsidP="006774B7">
      <w:pPr>
        <w:pStyle w:val="Indentedquote"/>
        <w:numPr>
          <w:ilvl w:val="0"/>
          <w:numId w:val="41"/>
        </w:numPr>
      </w:pPr>
      <w:r w:rsidRPr="00EC02CA">
        <w:t>repairing harm.</w:t>
      </w:r>
      <w:r w:rsidRPr="00EC02CA">
        <w:rPr>
          <w:rStyle w:val="FootnoteReference"/>
        </w:rPr>
        <w:footnoteReference w:id="779"/>
      </w:r>
    </w:p>
    <w:p w14:paraId="53579706" w14:textId="4C43A782" w:rsidR="006774B7" w:rsidRPr="00EC02CA" w:rsidRDefault="006774B7" w:rsidP="00A920EC">
      <w:pPr>
        <w:pStyle w:val="NormalNumberedTextTLRI"/>
      </w:pPr>
      <w:r w:rsidRPr="00EC02CA">
        <w:t xml:space="preserve">In relation to young people, it was noted that extra safeguards were required by way of specialised screening and independent support from experts to ‘protect children and young people from being pressured to participate and make sure they are able to take </w:t>
      </w:r>
      <w:r w:rsidR="00CB4E8D" w:rsidRPr="00EC02CA">
        <w:t>p</w:t>
      </w:r>
      <w:r w:rsidRPr="00EC02CA">
        <w:t>art safely and in a meaningful way’.</w:t>
      </w:r>
      <w:r w:rsidRPr="00EC02CA">
        <w:rPr>
          <w:rStyle w:val="FootnoteReference"/>
        </w:rPr>
        <w:footnoteReference w:id="780"/>
      </w:r>
    </w:p>
    <w:p w14:paraId="3D65588A" w14:textId="60513203" w:rsidR="006774B7" w:rsidRPr="00EC02CA" w:rsidRDefault="006774B7" w:rsidP="002F0007">
      <w:pPr>
        <w:pStyle w:val="NormalNumberedTextTLRI"/>
      </w:pPr>
      <w:r w:rsidRPr="00EC02CA">
        <w:t xml:space="preserve">There are also indications that even where available, there may be low use of restorative justice processes for sexual offending. The </w:t>
      </w:r>
      <w:r w:rsidR="00D940FB" w:rsidRPr="00EC02CA">
        <w:t xml:space="preserve">2025 </w:t>
      </w:r>
      <w:r w:rsidRPr="00EC02CA">
        <w:t xml:space="preserve">ACT </w:t>
      </w:r>
      <w:r w:rsidR="00D940FB" w:rsidRPr="00EC02CA">
        <w:t>R</w:t>
      </w:r>
      <w:r w:rsidRPr="00EC02CA">
        <w:t xml:space="preserve">eview found that referral of sexual violence matters was much lower than anticipated. This was said to reflect the basic eligibility criteria, which limited the ability to refer matters prior to charge (for serious matters), and the </w:t>
      </w:r>
      <w:r w:rsidR="00AB5B19" w:rsidRPr="00EC02CA">
        <w:t xml:space="preserve">high </w:t>
      </w:r>
      <w:r w:rsidRPr="00EC02CA">
        <w:t xml:space="preserve">rates of attrition </w:t>
      </w:r>
      <w:r w:rsidR="00AB5B19" w:rsidRPr="00EC02CA">
        <w:t xml:space="preserve">in </w:t>
      </w:r>
      <w:r w:rsidRPr="00EC02CA">
        <w:t>the criminal justice system for sexual offence</w:t>
      </w:r>
      <w:r w:rsidR="00AB5B19" w:rsidRPr="00EC02CA">
        <w:t>s</w:t>
      </w:r>
      <w:r w:rsidRPr="00EC02CA">
        <w:t xml:space="preserve"> (meaning that the cases did not make it further through the criminal justice system to allow for a referral at a later stage).</w:t>
      </w:r>
      <w:r w:rsidRPr="00EC02CA">
        <w:rPr>
          <w:rStyle w:val="FootnoteReference"/>
        </w:rPr>
        <w:footnoteReference w:id="781"/>
      </w:r>
      <w:r w:rsidRPr="00EC02CA">
        <w:t xml:space="preserve"> Low rates of referral for sexual offences was also considered to arise from the perception that restorative justice was a </w:t>
      </w:r>
      <w:r w:rsidR="00AB5B19" w:rsidRPr="00EC02CA">
        <w:t>‘</w:t>
      </w:r>
      <w:r w:rsidRPr="00EC02CA">
        <w:t>soft option</w:t>
      </w:r>
      <w:r w:rsidR="00AB5B19" w:rsidRPr="00EC02CA">
        <w:t>’</w:t>
      </w:r>
      <w:r w:rsidRPr="00EC02CA">
        <w:t xml:space="preserve"> for offenders.</w:t>
      </w:r>
      <w:r w:rsidRPr="00EC02CA">
        <w:rPr>
          <w:rStyle w:val="FootnoteReference"/>
        </w:rPr>
        <w:footnoteReference w:id="782"/>
      </w:r>
      <w:r w:rsidR="00AD70E2" w:rsidRPr="00EC02CA">
        <w:t xml:space="preserve"> </w:t>
      </w:r>
    </w:p>
    <w:p w14:paraId="27BD6928" w14:textId="76F0159E" w:rsidR="00ED47CE" w:rsidRPr="00EC02CA" w:rsidRDefault="00ED47CE" w:rsidP="00ED47CE">
      <w:pPr>
        <w:pStyle w:val="NumberedHeadingTLRI"/>
      </w:pPr>
      <w:bookmarkStart w:id="389" w:name="_Toc211849443"/>
      <w:bookmarkStart w:id="390" w:name="_Toc218157345"/>
      <w:bookmarkStart w:id="391" w:name="_Ref218242107"/>
      <w:r w:rsidRPr="00EC02CA">
        <w:t>TLRI views and recommendations</w:t>
      </w:r>
      <w:bookmarkEnd w:id="389"/>
      <w:bookmarkEnd w:id="390"/>
      <w:bookmarkEnd w:id="391"/>
    </w:p>
    <w:p w14:paraId="534B444B" w14:textId="79FB6085" w:rsidR="00D61548" w:rsidRPr="00EC02CA" w:rsidRDefault="00FA0C21" w:rsidP="002F0007">
      <w:pPr>
        <w:pStyle w:val="NormalNumberedTextTLRI"/>
      </w:pPr>
      <w:r w:rsidRPr="00EC02CA">
        <w:t>As</w:t>
      </w:r>
      <w:r w:rsidR="008F6225" w:rsidRPr="00EC02CA">
        <w:t xml:space="preserve"> set out at </w:t>
      </w:r>
      <w:r w:rsidR="001777E7" w:rsidRPr="00EC02CA">
        <w:t>[</w:t>
      </w:r>
      <w:r w:rsidR="00924EB3" w:rsidRPr="00EC02CA">
        <w:fldChar w:fldCharType="begin"/>
      </w:r>
      <w:r w:rsidR="00924EB3" w:rsidRPr="00EC02CA">
        <w:instrText xml:space="preserve"> REF _Ref218241373 \r \h </w:instrText>
      </w:r>
      <w:r w:rsidR="00924EB3" w:rsidRPr="00EC02CA">
        <w:fldChar w:fldCharType="separate"/>
      </w:r>
      <w:r w:rsidR="007D7830">
        <w:t>7.2</w:t>
      </w:r>
      <w:r w:rsidR="00924EB3" w:rsidRPr="00EC02CA">
        <w:fldChar w:fldCharType="end"/>
      </w:r>
      <w:r w:rsidR="001777E7" w:rsidRPr="00EC02CA">
        <w:t>]</w:t>
      </w:r>
      <w:r w:rsidR="008F6225" w:rsidRPr="00EC02CA">
        <w:t>, d</w:t>
      </w:r>
      <w:r w:rsidR="009923AB" w:rsidRPr="00EC02CA">
        <w:t>ata indicate that diversion is used for sexual offending</w:t>
      </w:r>
      <w:r w:rsidRPr="00EC02CA">
        <w:t xml:space="preserve"> in </w:t>
      </w:r>
      <w:r w:rsidR="00CB206A" w:rsidRPr="00EC02CA">
        <w:t>Tasmania</w:t>
      </w:r>
      <w:r w:rsidR="00B929CF" w:rsidRPr="00EC02CA">
        <w:t xml:space="preserve">, but </w:t>
      </w:r>
      <w:r w:rsidR="006E40A4" w:rsidRPr="00EC02CA">
        <w:t xml:space="preserve">young </w:t>
      </w:r>
      <w:r w:rsidR="008F6225" w:rsidRPr="00EC02CA">
        <w:t>people</w:t>
      </w:r>
      <w:r w:rsidR="006E40A4" w:rsidRPr="00EC02CA">
        <w:t xml:space="preserve"> who commit sexual offences </w:t>
      </w:r>
      <w:r w:rsidR="00AB5B19" w:rsidRPr="00EC02CA">
        <w:t>are</w:t>
      </w:r>
      <w:r w:rsidR="006E40A4" w:rsidRPr="00EC02CA">
        <w:t xml:space="preserve"> less likely to </w:t>
      </w:r>
      <w:r w:rsidR="008F6225" w:rsidRPr="00EC02CA">
        <w:t>receive</w:t>
      </w:r>
      <w:r w:rsidR="006E40A4" w:rsidRPr="00EC02CA">
        <w:t xml:space="preserve"> a referral to a youth </w:t>
      </w:r>
      <w:r w:rsidR="008F6225" w:rsidRPr="00EC02CA">
        <w:t xml:space="preserve">diversionary process </w:t>
      </w:r>
      <w:r w:rsidR="00CB206A" w:rsidRPr="00EC02CA">
        <w:t xml:space="preserve">under the </w:t>
      </w:r>
      <w:r w:rsidR="00CB206A" w:rsidRPr="00EC02CA">
        <w:rPr>
          <w:i/>
        </w:rPr>
        <w:t xml:space="preserve">Youth </w:t>
      </w:r>
      <w:r w:rsidR="00FB6395" w:rsidRPr="00EC02CA">
        <w:rPr>
          <w:i/>
        </w:rPr>
        <w:t>J</w:t>
      </w:r>
      <w:r w:rsidR="00CB206A" w:rsidRPr="00EC02CA">
        <w:rPr>
          <w:i/>
        </w:rPr>
        <w:t xml:space="preserve">ustice Act 1997 </w:t>
      </w:r>
      <w:r w:rsidR="00CB206A" w:rsidRPr="00EC02CA">
        <w:t xml:space="preserve">(Tas) </w:t>
      </w:r>
      <w:r w:rsidR="008F6225" w:rsidRPr="00EC02CA">
        <w:t xml:space="preserve">than </w:t>
      </w:r>
      <w:r w:rsidR="00AB5B19" w:rsidRPr="00EC02CA">
        <w:t xml:space="preserve">young people who commit </w:t>
      </w:r>
      <w:r w:rsidR="008F6225" w:rsidRPr="00EC02CA">
        <w:t xml:space="preserve">non-sexual offences. </w:t>
      </w:r>
      <w:r w:rsidR="00175480" w:rsidRPr="00EC02CA">
        <w:t>The TLRI notes that</w:t>
      </w:r>
      <w:r w:rsidR="00AB5B19" w:rsidRPr="00EC02CA">
        <w:t>,</w:t>
      </w:r>
      <w:r w:rsidR="00175480" w:rsidRPr="00EC02CA">
        <w:t xml:space="preserve"> in the interviews</w:t>
      </w:r>
      <w:r w:rsidR="00AB5B19" w:rsidRPr="00EC02CA">
        <w:t>,</w:t>
      </w:r>
      <w:r w:rsidR="00175480" w:rsidRPr="00EC02CA">
        <w:t xml:space="preserve"> there was </w:t>
      </w:r>
      <w:r w:rsidR="00F5118A" w:rsidRPr="00EC02CA">
        <w:t>general support for the use of diversion for less serious sexual offences</w:t>
      </w:r>
      <w:r w:rsidR="00AB5B19" w:rsidRPr="00EC02CA">
        <w:t>,</w:t>
      </w:r>
      <w:r w:rsidR="00F5118A" w:rsidRPr="00EC02CA">
        <w:t xml:space="preserve"> with views expressed that there was scope for greater use of diversionary procedures. </w:t>
      </w:r>
      <w:r w:rsidR="00CB206A" w:rsidRPr="00EC02CA">
        <w:t>As discussed, there was also support expressed for the diversion</w:t>
      </w:r>
      <w:r w:rsidR="00934A62" w:rsidRPr="00EC02CA">
        <w:t>ary</w:t>
      </w:r>
      <w:r w:rsidR="00CB206A" w:rsidRPr="00EC02CA">
        <w:t xml:space="preserve"> approach </w:t>
      </w:r>
      <w:r w:rsidR="00AB5B19" w:rsidRPr="00EC02CA">
        <w:t>employed by the</w:t>
      </w:r>
      <w:r w:rsidR="00CB206A" w:rsidRPr="00EC02CA">
        <w:t xml:space="preserve"> AFP in relation to online offending. </w:t>
      </w:r>
      <w:r w:rsidR="00F5118A" w:rsidRPr="00EC02CA">
        <w:t xml:space="preserve">Diversion by way of caution or conferencing was seen to impress upon a young person the seriousness of their conduct, as well as to provide a tangible justice response from the perspective of </w:t>
      </w:r>
      <w:r w:rsidR="003C2332" w:rsidRPr="00EC02CA">
        <w:t>victim-survivors</w:t>
      </w:r>
      <w:r w:rsidR="00F5118A" w:rsidRPr="00EC02CA">
        <w:t xml:space="preserve">. It was also considered to provide a </w:t>
      </w:r>
      <w:r w:rsidR="006170FD" w:rsidRPr="00EC02CA">
        <w:t>timelier</w:t>
      </w:r>
      <w:r w:rsidR="00F5118A" w:rsidRPr="00EC02CA">
        <w:t xml:space="preserve"> response tha</w:t>
      </w:r>
      <w:r w:rsidR="00AB5B19" w:rsidRPr="00EC02CA">
        <w:t>n</w:t>
      </w:r>
      <w:r w:rsidR="00F5118A" w:rsidRPr="00EC02CA">
        <w:t xml:space="preserve"> would be available through a court process. </w:t>
      </w:r>
      <w:r w:rsidR="008D7E2D" w:rsidRPr="00EC02CA">
        <w:t xml:space="preserve">These views aligned with the </w:t>
      </w:r>
      <w:r w:rsidR="00C24878" w:rsidRPr="00EC02CA">
        <w:t xml:space="preserve">recognised </w:t>
      </w:r>
      <w:r w:rsidR="008D7E2D" w:rsidRPr="00EC02CA">
        <w:t>benefits of diversion</w:t>
      </w:r>
      <w:r w:rsidR="00C24878" w:rsidRPr="00EC02CA">
        <w:t>,</w:t>
      </w:r>
      <w:r w:rsidR="008D7E2D" w:rsidRPr="00EC02CA">
        <w:t xml:space="preserve"> and the objectives of youth justice to encourage </w:t>
      </w:r>
      <w:r w:rsidR="003D4A5B" w:rsidRPr="00EC02CA">
        <w:t>the</w:t>
      </w:r>
      <w:r w:rsidR="00C43FE6" w:rsidRPr="00EC02CA">
        <w:t xml:space="preserve"> </w:t>
      </w:r>
      <w:r w:rsidR="003D4A5B" w:rsidRPr="00EC02CA">
        <w:t>prompt</w:t>
      </w:r>
      <w:r w:rsidR="00C43FE6" w:rsidRPr="00EC02CA">
        <w:t xml:space="preserve"> resolution </w:t>
      </w:r>
      <w:r w:rsidR="00AB5B19" w:rsidRPr="00EC02CA">
        <w:t xml:space="preserve">of </w:t>
      </w:r>
      <w:r w:rsidR="00C43FE6" w:rsidRPr="00EC02CA">
        <w:t>criminal charges</w:t>
      </w:r>
      <w:r w:rsidR="00CF3B60" w:rsidRPr="00EC02CA">
        <w:t xml:space="preserve"> and encourage accountability and an acceptance of responsibility.</w:t>
      </w:r>
      <w:r w:rsidR="00CF3B60" w:rsidRPr="00EC02CA">
        <w:rPr>
          <w:rStyle w:val="FootnoteReference"/>
        </w:rPr>
        <w:footnoteReference w:id="783"/>
      </w:r>
      <w:r w:rsidR="00AB5B19" w:rsidRPr="00EC02CA">
        <w:t xml:space="preserve"> </w:t>
      </w:r>
      <w:r w:rsidR="00A45030" w:rsidRPr="00EC02CA">
        <w:t xml:space="preserve">This also reflects the views expressed by many of the interviewees that there was </w:t>
      </w:r>
      <w:r w:rsidR="00AB5B19" w:rsidRPr="00EC02CA">
        <w:t xml:space="preserve">a </w:t>
      </w:r>
      <w:r w:rsidR="00A45030" w:rsidRPr="00EC02CA">
        <w:t xml:space="preserve">need to increase the availability and use of diversionary mechanisms in response to sexual offending. </w:t>
      </w:r>
      <w:r w:rsidR="00945411" w:rsidRPr="00EC02CA">
        <w:t>Interview</w:t>
      </w:r>
      <w:r w:rsidR="00AB5B19" w:rsidRPr="00EC02CA">
        <w:t>ee</w:t>
      </w:r>
      <w:r w:rsidR="00945411" w:rsidRPr="00EC02CA">
        <w:t xml:space="preserve">s considered that </w:t>
      </w:r>
      <w:r w:rsidR="00DB00D5" w:rsidRPr="00EC02CA">
        <w:t>diversion may</w:t>
      </w:r>
      <w:r w:rsidR="00AB5B19" w:rsidRPr="00EC02CA">
        <w:t xml:space="preserve"> </w:t>
      </w:r>
      <w:r w:rsidR="00B32F67" w:rsidRPr="00EC02CA">
        <w:t>be particularly</w:t>
      </w:r>
      <w:r w:rsidR="00DB00D5" w:rsidRPr="00EC02CA">
        <w:t xml:space="preserve"> beneficial to </w:t>
      </w:r>
      <w:r w:rsidR="00B32F67" w:rsidRPr="00EC02CA">
        <w:t xml:space="preserve">educate </w:t>
      </w:r>
      <w:r w:rsidR="00DB00D5" w:rsidRPr="00EC02CA">
        <w:t>the you</w:t>
      </w:r>
      <w:r w:rsidR="00AB5B19" w:rsidRPr="00EC02CA">
        <w:t>ng</w:t>
      </w:r>
      <w:r w:rsidR="00DB00D5" w:rsidRPr="00EC02CA">
        <w:t xml:space="preserve"> person</w:t>
      </w:r>
      <w:r w:rsidR="00B32F67" w:rsidRPr="00EC02CA">
        <w:t xml:space="preserve">, </w:t>
      </w:r>
      <w:r w:rsidR="00154D4A" w:rsidRPr="00EC02CA">
        <w:t xml:space="preserve">be better for both the offender and the </w:t>
      </w:r>
      <w:r w:rsidR="00886B70" w:rsidRPr="00EC02CA">
        <w:t>victim-survivor</w:t>
      </w:r>
      <w:r w:rsidR="00154D4A" w:rsidRPr="00EC02CA">
        <w:t xml:space="preserve"> by reducing delay</w:t>
      </w:r>
      <w:r w:rsidR="00AB5B19" w:rsidRPr="00EC02CA">
        <w:t>,</w:t>
      </w:r>
      <w:r w:rsidR="00154D4A" w:rsidRPr="00EC02CA">
        <w:t xml:space="preserve"> </w:t>
      </w:r>
      <w:r w:rsidR="00B32F67" w:rsidRPr="00EC02CA">
        <w:t xml:space="preserve">and </w:t>
      </w:r>
      <w:r w:rsidR="00AB5B19" w:rsidRPr="00EC02CA">
        <w:t xml:space="preserve">could </w:t>
      </w:r>
      <w:r w:rsidR="00B32F67" w:rsidRPr="00EC02CA">
        <w:t xml:space="preserve">reduce the </w:t>
      </w:r>
      <w:r w:rsidR="00154D4A" w:rsidRPr="00EC02CA">
        <w:t>demand</w:t>
      </w:r>
      <w:r w:rsidR="00B32F67" w:rsidRPr="00EC02CA">
        <w:t xml:space="preserve"> on the legal </w:t>
      </w:r>
      <w:r w:rsidR="00154D4A" w:rsidRPr="00EC02CA">
        <w:t xml:space="preserve">sector. </w:t>
      </w:r>
      <w:r w:rsidR="0005749C" w:rsidRPr="00EC02CA">
        <w:t>Accordingly, the TLRI has consider</w:t>
      </w:r>
      <w:r w:rsidR="00AB5B19" w:rsidRPr="00EC02CA">
        <w:t>ed</w:t>
      </w:r>
      <w:r w:rsidR="0005749C" w:rsidRPr="00EC02CA">
        <w:t xml:space="preserve"> how the diversion framework could better address the needs of young people alleged to have committed sexual offences and the </w:t>
      </w:r>
      <w:r w:rsidR="003C2332" w:rsidRPr="00EC02CA">
        <w:t>victim-survivors</w:t>
      </w:r>
      <w:r w:rsidR="0005749C" w:rsidRPr="00EC02CA">
        <w:t xml:space="preserve"> of sexual har</w:t>
      </w:r>
      <w:r w:rsidR="003E52B9" w:rsidRPr="00EC02CA">
        <w:t>m.</w:t>
      </w:r>
    </w:p>
    <w:p w14:paraId="0E48D41F" w14:textId="50D7C80C" w:rsidR="00A712B5" w:rsidRPr="00EC02CA" w:rsidRDefault="00A712B5" w:rsidP="00ED2E47">
      <w:pPr>
        <w:pStyle w:val="Sub-HeadingTLRI"/>
      </w:pPr>
      <w:bookmarkStart w:id="392" w:name="_Toc211849444"/>
      <w:bookmarkStart w:id="393" w:name="_Toc218157346"/>
      <w:r w:rsidRPr="00EC02CA">
        <w:t>Eligibility for diversion</w:t>
      </w:r>
      <w:bookmarkEnd w:id="392"/>
      <w:bookmarkEnd w:id="393"/>
    </w:p>
    <w:p w14:paraId="773DF5D0" w14:textId="56D4889D" w:rsidR="00AB68F8" w:rsidRPr="00EC02CA" w:rsidRDefault="00A712B5" w:rsidP="002F0007">
      <w:pPr>
        <w:pStyle w:val="NormalNumberedTextTLRI"/>
      </w:pPr>
      <w:r w:rsidRPr="00EC02CA">
        <w:t xml:space="preserve">As noted at </w:t>
      </w:r>
      <w:r w:rsidR="00A703F6" w:rsidRPr="00EC02CA">
        <w:t>[</w:t>
      </w:r>
      <w:r w:rsidR="00924EB3" w:rsidRPr="00EC02CA">
        <w:fldChar w:fldCharType="begin"/>
      </w:r>
      <w:r w:rsidR="00924EB3" w:rsidRPr="00EC02CA">
        <w:instrText xml:space="preserve"> REF _Ref218241387 \r \h </w:instrText>
      </w:r>
      <w:r w:rsidR="00924EB3" w:rsidRPr="00EC02CA">
        <w:fldChar w:fldCharType="separate"/>
      </w:r>
      <w:r w:rsidR="007D7830">
        <w:t>5.6</w:t>
      </w:r>
      <w:r w:rsidR="00924EB3" w:rsidRPr="00EC02CA">
        <w:fldChar w:fldCharType="end"/>
      </w:r>
      <w:r w:rsidR="00A703F6" w:rsidRPr="00EC02CA">
        <w:t>]</w:t>
      </w:r>
      <w:r w:rsidRPr="00EC02CA">
        <w:t xml:space="preserve">, </w:t>
      </w:r>
      <w:r w:rsidR="00F809F1" w:rsidRPr="00EC02CA">
        <w:t>police do not have the discretion to refer prescribed offences to pre-plea diversionary processe</w:t>
      </w:r>
      <w:r w:rsidR="004C11E4" w:rsidRPr="00EC02CA">
        <w:t>s in Tasmania</w:t>
      </w:r>
      <w:r w:rsidR="00F809F1" w:rsidRPr="00EC02CA">
        <w:t>.</w:t>
      </w:r>
      <w:r w:rsidR="00D34685" w:rsidRPr="00EC02CA">
        <w:t xml:space="preserve"> These matters are dealt with in the Supreme Court</w:t>
      </w:r>
      <w:r w:rsidR="00D77D7E" w:rsidRPr="00EC02CA">
        <w:t>.</w:t>
      </w:r>
      <w:r w:rsidR="00F809F1" w:rsidRPr="00EC02CA">
        <w:t xml:space="preserve"> In the Commission of Inquiry, it was recommended that the current list of prescribed offences be reviewed to widen the range of offences where diversion is possible, and </w:t>
      </w:r>
      <w:r w:rsidR="0039283A" w:rsidRPr="00EC02CA">
        <w:t xml:space="preserve">to create </w:t>
      </w:r>
      <w:r w:rsidR="00F809F1" w:rsidRPr="00EC02CA">
        <w:t>a presumption in favour of diversion.</w:t>
      </w:r>
      <w:r w:rsidR="00AE04B7" w:rsidRPr="00EC02CA">
        <w:rPr>
          <w:rStyle w:val="FootnoteReference"/>
        </w:rPr>
        <w:footnoteReference w:id="784"/>
      </w:r>
      <w:r w:rsidR="00F809F1" w:rsidRPr="00EC02CA">
        <w:t xml:space="preserve"> </w:t>
      </w:r>
      <w:r w:rsidR="00D30C51" w:rsidRPr="00EC02CA">
        <w:t>The Commission wrote that</w:t>
      </w:r>
      <w:r w:rsidR="00AB68F8" w:rsidRPr="00EC02CA">
        <w:t>:</w:t>
      </w:r>
    </w:p>
    <w:p w14:paraId="30497685" w14:textId="7A7D6302" w:rsidR="00AB68F8" w:rsidRPr="00EC02CA" w:rsidRDefault="00AB68F8" w:rsidP="00AB68F8">
      <w:pPr>
        <w:pStyle w:val="Indentedquote"/>
      </w:pPr>
      <w:r w:rsidRPr="00EC02CA">
        <w:t xml:space="preserve">The </w:t>
      </w:r>
      <w:r w:rsidR="00CC1EB6" w:rsidRPr="00EC02CA">
        <w:t>Government</w:t>
      </w:r>
      <w:r w:rsidRPr="00EC02CA">
        <w:t xml:space="preserve"> should … reconsider the current list of prescribed offences to ensure </w:t>
      </w:r>
      <w:r w:rsidR="00CC1EB6" w:rsidRPr="00EC02CA">
        <w:t>opportunities</w:t>
      </w:r>
      <w:r w:rsidRPr="00EC02CA">
        <w:t xml:space="preserve"> for </w:t>
      </w:r>
      <w:r w:rsidR="00735A66" w:rsidRPr="00EC02CA">
        <w:t xml:space="preserve">pre-court diversion can be </w:t>
      </w:r>
      <w:r w:rsidR="00F74578" w:rsidRPr="00EC02CA">
        <w:t>maximi</w:t>
      </w:r>
      <w:r w:rsidR="00312EB5" w:rsidRPr="00EC02CA">
        <w:t>s</w:t>
      </w:r>
      <w:r w:rsidR="00F74578" w:rsidRPr="00EC02CA">
        <w:t>ed</w:t>
      </w:r>
      <w:r w:rsidR="00735A66" w:rsidRPr="00EC02CA">
        <w:t xml:space="preserve">. In addition, the </w:t>
      </w:r>
      <w:r w:rsidR="00F74578" w:rsidRPr="00EC02CA">
        <w:t>Government</w:t>
      </w:r>
      <w:r w:rsidR="00735A66" w:rsidRPr="00EC02CA">
        <w:t xml:space="preserve"> should ensure prescribed offences do not e</w:t>
      </w:r>
      <w:r w:rsidR="00F74578" w:rsidRPr="00EC02CA">
        <w:t>x</w:t>
      </w:r>
      <w:r w:rsidR="00735A66" w:rsidRPr="00EC02CA">
        <w:t xml:space="preserve">clude children engaging in harmful sexual </w:t>
      </w:r>
      <w:r w:rsidR="00F74578" w:rsidRPr="00EC02CA">
        <w:t>behaviours</w:t>
      </w:r>
      <w:r w:rsidR="00735A66" w:rsidRPr="00EC02CA">
        <w:t xml:space="preserve"> from </w:t>
      </w:r>
      <w:r w:rsidR="00F74578" w:rsidRPr="00EC02CA">
        <w:t>broader</w:t>
      </w:r>
      <w:r w:rsidR="00735A66" w:rsidRPr="00EC02CA">
        <w:t xml:space="preserve"> </w:t>
      </w:r>
      <w:r w:rsidR="00F74578" w:rsidRPr="00EC02CA">
        <w:t>therapeutic</w:t>
      </w:r>
      <w:r w:rsidR="00735A66" w:rsidRPr="00EC02CA">
        <w:t xml:space="preserve"> and diversionary opportunities.</w:t>
      </w:r>
      <w:r w:rsidR="00735A66" w:rsidRPr="00EC02CA">
        <w:rPr>
          <w:rStyle w:val="FootnoteReference"/>
        </w:rPr>
        <w:footnoteReference w:id="785"/>
      </w:r>
    </w:p>
    <w:p w14:paraId="3F2B0C11" w14:textId="6AE92B2D" w:rsidR="0054076C" w:rsidRPr="00EC02CA" w:rsidRDefault="0039283A" w:rsidP="002F0007">
      <w:pPr>
        <w:pStyle w:val="NormalNumberedTextTLRI"/>
      </w:pPr>
      <w:r w:rsidRPr="00EC02CA">
        <w:t xml:space="preserve">A </w:t>
      </w:r>
      <w:r w:rsidR="00F809F1" w:rsidRPr="00EC02CA">
        <w:t xml:space="preserve">review </w:t>
      </w:r>
      <w:r w:rsidRPr="00EC02CA">
        <w:t>of all prescribed offence</w:t>
      </w:r>
      <w:r w:rsidR="003A5674" w:rsidRPr="00EC02CA">
        <w:t>s</w:t>
      </w:r>
      <w:r w:rsidRPr="00EC02CA">
        <w:t xml:space="preserve"> is</w:t>
      </w:r>
      <w:r w:rsidR="00F809F1" w:rsidRPr="00EC02CA">
        <w:t xml:space="preserve"> broader than the scope of this </w:t>
      </w:r>
      <w:r w:rsidR="003156BA" w:rsidRPr="00EC02CA">
        <w:t>Research P</w:t>
      </w:r>
      <w:r w:rsidR="00F809F1" w:rsidRPr="00EC02CA">
        <w:t xml:space="preserve">aper, </w:t>
      </w:r>
      <w:r w:rsidRPr="00EC02CA">
        <w:t xml:space="preserve">and the TLRI does not make any </w:t>
      </w:r>
      <w:r w:rsidR="004073EF" w:rsidRPr="00EC02CA">
        <w:t>recommendations</w:t>
      </w:r>
      <w:r w:rsidRPr="00EC02CA">
        <w:t xml:space="preserve"> relating to </w:t>
      </w:r>
      <w:r w:rsidR="004073EF" w:rsidRPr="00EC02CA">
        <w:t xml:space="preserve">reforms to </w:t>
      </w:r>
      <w:r w:rsidR="00DF2D07" w:rsidRPr="00EC02CA">
        <w:t xml:space="preserve">the </w:t>
      </w:r>
      <w:r w:rsidR="004073EF" w:rsidRPr="00EC02CA">
        <w:t xml:space="preserve">prescribed offences. </w:t>
      </w:r>
      <w:r w:rsidR="0004630E" w:rsidRPr="00EC02CA">
        <w:t xml:space="preserve">However, the TLRI makes observations that it considers are important to inform any such review. </w:t>
      </w:r>
      <w:r w:rsidR="00A6396C" w:rsidRPr="00EC02CA">
        <w:t>As discussed, the scope of prescribed offences has two implications within the criminal justice system – it means that matters cannot be diverted</w:t>
      </w:r>
      <w:r w:rsidR="00DF2D07" w:rsidRPr="00EC02CA">
        <w:t>,</w:t>
      </w:r>
      <w:r w:rsidR="00A6396C" w:rsidRPr="00EC02CA">
        <w:t xml:space="preserve"> either by police caution or referral to a community conference, and the matter is dealt with in the Supreme Court.</w:t>
      </w:r>
      <w:r w:rsidR="00C35547" w:rsidRPr="00EC02CA">
        <w:rPr>
          <w:rStyle w:val="FootnoteReference"/>
        </w:rPr>
        <w:footnoteReference w:id="786"/>
      </w:r>
      <w:r w:rsidR="00A6396C" w:rsidRPr="00EC02CA">
        <w:t xml:space="preserve"> </w:t>
      </w:r>
      <w:r w:rsidR="00850D73" w:rsidRPr="00EC02CA">
        <w:t xml:space="preserve">There are </w:t>
      </w:r>
      <w:r w:rsidR="004073EF" w:rsidRPr="00EC02CA">
        <w:t xml:space="preserve">three </w:t>
      </w:r>
      <w:r w:rsidR="00DC6421" w:rsidRPr="00EC02CA">
        <w:t xml:space="preserve">very </w:t>
      </w:r>
      <w:r w:rsidR="00934F56" w:rsidRPr="00EC02CA">
        <w:t xml:space="preserve">serious </w:t>
      </w:r>
      <w:r w:rsidR="004073EF" w:rsidRPr="00EC02CA">
        <w:t>sexual offences (ra</w:t>
      </w:r>
      <w:r w:rsidR="00283534" w:rsidRPr="00EC02CA">
        <w:t>p</w:t>
      </w:r>
      <w:r w:rsidR="004073EF" w:rsidRPr="00EC02CA">
        <w:t>e, aggravated sexual assault</w:t>
      </w:r>
      <w:r w:rsidR="00DF2D07" w:rsidRPr="00EC02CA">
        <w:t>,</w:t>
      </w:r>
      <w:r w:rsidR="004073EF" w:rsidRPr="00EC02CA">
        <w:t xml:space="preserve"> and </w:t>
      </w:r>
      <w:r w:rsidR="00283534" w:rsidRPr="00EC02CA">
        <w:t>persistent sexual abuse of a young person</w:t>
      </w:r>
      <w:r w:rsidR="00E80139" w:rsidRPr="00EC02CA">
        <w:t xml:space="preserve">) </w:t>
      </w:r>
      <w:r w:rsidR="00996204" w:rsidRPr="00EC02CA">
        <w:t xml:space="preserve">which are </w:t>
      </w:r>
      <w:r w:rsidR="00E80139" w:rsidRPr="00EC02CA">
        <w:t xml:space="preserve">prescribed </w:t>
      </w:r>
      <w:r w:rsidR="006C43D5" w:rsidRPr="00EC02CA">
        <w:t>offences</w:t>
      </w:r>
      <w:r w:rsidR="00E77688" w:rsidRPr="00EC02CA">
        <w:t xml:space="preserve"> for young people aged 14</w:t>
      </w:r>
      <w:r w:rsidR="00B67363" w:rsidRPr="00EC02CA">
        <w:t>–</w:t>
      </w:r>
      <w:r w:rsidR="00E77688" w:rsidRPr="00EC02CA">
        <w:t>17</w:t>
      </w:r>
      <w:r w:rsidR="006C43D5" w:rsidRPr="00EC02CA">
        <w:t xml:space="preserve">. It </w:t>
      </w:r>
      <w:r w:rsidR="00A64B28" w:rsidRPr="00EC02CA">
        <w:t>can</w:t>
      </w:r>
      <w:r w:rsidR="005A59B0" w:rsidRPr="00EC02CA">
        <w:t xml:space="preserve"> be questioned w</w:t>
      </w:r>
      <w:r w:rsidR="000C05F9" w:rsidRPr="00EC02CA">
        <w:t xml:space="preserve">hether it is appropriate for police to exercise discretion to divert these </w:t>
      </w:r>
      <w:r w:rsidR="00DF2D07" w:rsidRPr="00EC02CA">
        <w:t xml:space="preserve">alleged sexual offenders </w:t>
      </w:r>
      <w:r w:rsidR="000C05F9" w:rsidRPr="00EC02CA">
        <w:t>from the court process</w:t>
      </w:r>
      <w:r w:rsidR="00996204" w:rsidRPr="00EC02CA">
        <w:t xml:space="preserve"> – either by caution or referral to</w:t>
      </w:r>
      <w:r w:rsidR="00037FCC" w:rsidRPr="00EC02CA">
        <w:t xml:space="preserve"> </w:t>
      </w:r>
      <w:r w:rsidR="00996204" w:rsidRPr="00EC02CA">
        <w:t>a community conference</w:t>
      </w:r>
      <w:r w:rsidR="006C43D5" w:rsidRPr="00EC02CA">
        <w:t xml:space="preserve">, and </w:t>
      </w:r>
      <w:r w:rsidR="001F2976" w:rsidRPr="00EC02CA">
        <w:t>it</w:t>
      </w:r>
      <w:r w:rsidR="006C43D5" w:rsidRPr="00EC02CA">
        <w:t xml:space="preserve"> is likely that </w:t>
      </w:r>
      <w:r w:rsidR="00037FCC" w:rsidRPr="00EC02CA">
        <w:t>an</w:t>
      </w:r>
      <w:r w:rsidR="006C43D5" w:rsidRPr="00EC02CA">
        <w:t>y proposal to remove these offences would be met with significant opposition</w:t>
      </w:r>
      <w:r w:rsidR="000C05F9" w:rsidRPr="00EC02CA">
        <w:t>.</w:t>
      </w:r>
      <w:r w:rsidR="00D33037" w:rsidRPr="00EC02CA">
        <w:t xml:space="preserve"> </w:t>
      </w:r>
      <w:r w:rsidR="00454F37" w:rsidRPr="00EC02CA">
        <w:t xml:space="preserve">This was </w:t>
      </w:r>
      <w:r w:rsidR="001F2976" w:rsidRPr="00EC02CA">
        <w:t xml:space="preserve">certainly </w:t>
      </w:r>
      <w:r w:rsidR="00996204" w:rsidRPr="00EC02CA">
        <w:t xml:space="preserve">the </w:t>
      </w:r>
      <w:r w:rsidR="00454F37" w:rsidRPr="00EC02CA">
        <w:t xml:space="preserve">view expressed by some of the </w:t>
      </w:r>
      <w:r w:rsidR="00C13C75" w:rsidRPr="00EC02CA">
        <w:t xml:space="preserve">interviewees. </w:t>
      </w:r>
      <w:r w:rsidR="00927F87" w:rsidRPr="00EC02CA">
        <w:t xml:space="preserve">Generally, there was more consistent support in the interviews for diversion in the context of online offending, and </w:t>
      </w:r>
      <w:r w:rsidR="00DF2D07" w:rsidRPr="00EC02CA">
        <w:t xml:space="preserve">for </w:t>
      </w:r>
      <w:r w:rsidR="00927F87" w:rsidRPr="00EC02CA">
        <w:t xml:space="preserve">less serious physical sexual offending. </w:t>
      </w:r>
      <w:r w:rsidR="00CC0D80" w:rsidRPr="00EC02CA">
        <w:t>However, some interview</w:t>
      </w:r>
      <w:r w:rsidR="00A64B28" w:rsidRPr="00EC02CA">
        <w:t>ee</w:t>
      </w:r>
      <w:r w:rsidR="00CC0D80" w:rsidRPr="00EC02CA">
        <w:t xml:space="preserve">s </w:t>
      </w:r>
      <w:r w:rsidR="0041004D" w:rsidRPr="00EC02CA">
        <w:t xml:space="preserve">did </w:t>
      </w:r>
      <w:r w:rsidR="00945411" w:rsidRPr="00EC02CA">
        <w:t>consider</w:t>
      </w:r>
      <w:r w:rsidR="00CC0D80" w:rsidRPr="00EC02CA">
        <w:t xml:space="preserve"> that diversion was potentially appropriate for more serious sexual </w:t>
      </w:r>
      <w:r w:rsidR="00945411" w:rsidRPr="00EC02CA">
        <w:t>offence</w:t>
      </w:r>
      <w:r w:rsidR="00927F87" w:rsidRPr="00EC02CA">
        <w:t>s</w:t>
      </w:r>
      <w:r w:rsidR="00945411" w:rsidRPr="00EC02CA">
        <w:t>, reflecting the complexities of youth sexual offending</w:t>
      </w:r>
      <w:r w:rsidR="00927F87" w:rsidRPr="00EC02CA">
        <w:t xml:space="preserve"> and the wider range of circumstances in which offending could occur</w:t>
      </w:r>
      <w:r w:rsidR="00945411" w:rsidRPr="00EC02CA">
        <w:t xml:space="preserve">. </w:t>
      </w:r>
      <w:r w:rsidR="00723BDA" w:rsidRPr="00EC02CA">
        <w:t xml:space="preserve">As noted at </w:t>
      </w:r>
      <w:r w:rsidR="0069065E" w:rsidRPr="00EC02CA">
        <w:t>[</w:t>
      </w:r>
      <w:r w:rsidR="00924EB3" w:rsidRPr="00EC02CA">
        <w:fldChar w:fldCharType="begin"/>
      </w:r>
      <w:r w:rsidR="00924EB3" w:rsidRPr="00EC02CA">
        <w:instrText xml:space="preserve"> REF _Ref218241409 \r \h </w:instrText>
      </w:r>
      <w:r w:rsidR="00924EB3" w:rsidRPr="00EC02CA">
        <w:fldChar w:fldCharType="separate"/>
      </w:r>
      <w:r w:rsidR="007D7830">
        <w:t>7.6</w:t>
      </w:r>
      <w:r w:rsidR="00924EB3" w:rsidRPr="00EC02CA">
        <w:fldChar w:fldCharType="end"/>
      </w:r>
      <w:r w:rsidR="0069065E" w:rsidRPr="00EC02CA">
        <w:t>]</w:t>
      </w:r>
      <w:r w:rsidR="00723BDA" w:rsidRPr="00EC02CA">
        <w:t>,</w:t>
      </w:r>
      <w:r w:rsidR="00552952" w:rsidRPr="00EC02CA">
        <w:t xml:space="preserve"> the ALRC has </w:t>
      </w:r>
      <w:r w:rsidR="00DF2D07" w:rsidRPr="00EC02CA">
        <w:t xml:space="preserve">observed </w:t>
      </w:r>
      <w:r w:rsidR="00E00B89" w:rsidRPr="00EC02CA">
        <w:t>an increase</w:t>
      </w:r>
      <w:r w:rsidR="00DF2D07" w:rsidRPr="00EC02CA">
        <w:t>d</w:t>
      </w:r>
      <w:r w:rsidR="00E00B89" w:rsidRPr="00EC02CA">
        <w:t xml:space="preserve"> </w:t>
      </w:r>
      <w:r w:rsidR="004E4454" w:rsidRPr="00EC02CA">
        <w:t xml:space="preserve">acceptance of </w:t>
      </w:r>
      <w:r w:rsidR="00552952" w:rsidRPr="00EC02CA">
        <w:t xml:space="preserve">the use </w:t>
      </w:r>
      <w:r w:rsidR="004E4454" w:rsidRPr="00EC02CA">
        <w:t xml:space="preserve">restorative justice processes </w:t>
      </w:r>
      <w:r w:rsidR="00353AD9" w:rsidRPr="00EC02CA">
        <w:t>for</w:t>
      </w:r>
      <w:r w:rsidR="00E00B89" w:rsidRPr="00EC02CA">
        <w:t xml:space="preserve"> sexual offending.</w:t>
      </w:r>
      <w:r w:rsidR="00353AD9" w:rsidRPr="00EC02CA">
        <w:t xml:space="preserve"> </w:t>
      </w:r>
    </w:p>
    <w:p w14:paraId="40D6F065" w14:textId="76492978" w:rsidR="004142A9" w:rsidRPr="00EC02CA" w:rsidRDefault="0054076C" w:rsidP="002F0007">
      <w:pPr>
        <w:pStyle w:val="NormalNumberedTextTLRI"/>
      </w:pPr>
      <w:r w:rsidRPr="00EC02CA">
        <w:t xml:space="preserve">However, as noted, it is likely that there would be significant opposition to </w:t>
      </w:r>
      <w:r w:rsidR="00DF2D07" w:rsidRPr="00EC02CA">
        <w:t xml:space="preserve">any </w:t>
      </w:r>
      <w:r w:rsidRPr="00EC02CA">
        <w:t>reform that would remove rape, aggravated sexual assault</w:t>
      </w:r>
      <w:r w:rsidR="00DF2D07" w:rsidRPr="00EC02CA">
        <w:t>,</w:t>
      </w:r>
      <w:r w:rsidRPr="00EC02CA">
        <w:t xml:space="preserve"> and persistent sexual </w:t>
      </w:r>
      <w:r w:rsidR="00AC178D" w:rsidRPr="00EC02CA">
        <w:t>abuse</w:t>
      </w:r>
      <w:r w:rsidRPr="00EC02CA">
        <w:t xml:space="preserve"> from the scope of prescribed offences to allow young person</w:t>
      </w:r>
      <w:r w:rsidR="00DF2D07" w:rsidRPr="00EC02CA">
        <w:t>s</w:t>
      </w:r>
      <w:r w:rsidRPr="00EC02CA">
        <w:t xml:space="preserve"> </w:t>
      </w:r>
      <w:r w:rsidR="00DF2D07" w:rsidRPr="00EC02CA">
        <w:t xml:space="preserve">alleged to have committed those offences </w:t>
      </w:r>
      <w:r w:rsidRPr="00EC02CA">
        <w:t xml:space="preserve">to </w:t>
      </w:r>
      <w:r w:rsidR="00CE5C3F" w:rsidRPr="00EC02CA">
        <w:t>participate in diversion</w:t>
      </w:r>
      <w:r w:rsidRPr="00EC02CA">
        <w:t xml:space="preserve">. </w:t>
      </w:r>
      <w:r w:rsidR="00E00B89" w:rsidRPr="00EC02CA">
        <w:t>This is a matter that</w:t>
      </w:r>
      <w:r w:rsidR="00DF2D07" w:rsidRPr="00EC02CA">
        <w:t>,</w:t>
      </w:r>
      <w:r w:rsidR="00E00B89" w:rsidRPr="00EC02CA">
        <w:t xml:space="preserve"> </w:t>
      </w:r>
      <w:r w:rsidR="00925C23" w:rsidRPr="00EC02CA">
        <w:t>in the view of the TLRI</w:t>
      </w:r>
      <w:r w:rsidR="00DF2D07" w:rsidRPr="00EC02CA">
        <w:t>,</w:t>
      </w:r>
      <w:r w:rsidR="00925C23" w:rsidRPr="00EC02CA">
        <w:t xml:space="preserve"> </w:t>
      </w:r>
      <w:r w:rsidR="00E00B89" w:rsidRPr="00EC02CA">
        <w:t>requ</w:t>
      </w:r>
      <w:r w:rsidR="00B850B3" w:rsidRPr="00EC02CA">
        <w:t xml:space="preserve">ires great caution so as not to make any reform that </w:t>
      </w:r>
      <w:r w:rsidR="0060564E" w:rsidRPr="00EC02CA">
        <w:t>inadvertently</w:t>
      </w:r>
      <w:r w:rsidR="00DF2D07" w:rsidRPr="00EC02CA">
        <w:t xml:space="preserve"> </w:t>
      </w:r>
      <w:r w:rsidR="00B850B3" w:rsidRPr="00EC02CA">
        <w:t>communicates a message that sexual violence is not serious</w:t>
      </w:r>
      <w:r w:rsidR="00DF2D07" w:rsidRPr="00EC02CA">
        <w:t>,</w:t>
      </w:r>
      <w:r w:rsidR="00B850B3" w:rsidRPr="00EC02CA">
        <w:t xml:space="preserve"> </w:t>
      </w:r>
      <w:r w:rsidR="00D8091D" w:rsidRPr="00EC02CA">
        <w:t>or</w:t>
      </w:r>
      <w:r w:rsidR="00B850B3" w:rsidRPr="00EC02CA">
        <w:t xml:space="preserve"> that </w:t>
      </w:r>
      <w:r w:rsidR="001567F3" w:rsidRPr="00EC02CA">
        <w:t>understate</w:t>
      </w:r>
      <w:r w:rsidR="00546C1A" w:rsidRPr="00EC02CA">
        <w:t xml:space="preserve">s </w:t>
      </w:r>
      <w:r w:rsidR="00B850B3" w:rsidRPr="00EC02CA">
        <w:t>the harm caused to victim-survivors</w:t>
      </w:r>
      <w:r w:rsidR="00DF2D07" w:rsidRPr="00EC02CA">
        <w:t xml:space="preserve"> of sexual offending</w:t>
      </w:r>
      <w:r w:rsidR="00B850B3" w:rsidRPr="00EC02CA">
        <w:t>.</w:t>
      </w:r>
      <w:r w:rsidR="00546C1A" w:rsidRPr="00EC02CA">
        <w:t xml:space="preserve"> As set out at </w:t>
      </w:r>
      <w:r w:rsidR="009A609F" w:rsidRPr="00EC02CA">
        <w:t>[</w:t>
      </w:r>
      <w:r w:rsidR="00924EB3" w:rsidRPr="00EC02CA">
        <w:fldChar w:fldCharType="begin"/>
      </w:r>
      <w:r w:rsidR="00924EB3" w:rsidRPr="00EC02CA">
        <w:instrText xml:space="preserve"> REF _Ref218241420 \r \h </w:instrText>
      </w:r>
      <w:r w:rsidR="00924EB3" w:rsidRPr="00EC02CA">
        <w:fldChar w:fldCharType="separate"/>
      </w:r>
      <w:r w:rsidR="007D7830">
        <w:t>2.3</w:t>
      </w:r>
      <w:r w:rsidR="00924EB3" w:rsidRPr="00EC02CA">
        <w:fldChar w:fldCharType="end"/>
      </w:r>
      <w:r w:rsidR="009A609F" w:rsidRPr="00EC02CA">
        <w:t>]</w:t>
      </w:r>
      <w:r w:rsidR="00546C1A" w:rsidRPr="00EC02CA">
        <w:t xml:space="preserve">, the harms </w:t>
      </w:r>
      <w:r w:rsidR="001D4430" w:rsidRPr="00EC02CA">
        <w:t>caused by sexual offending can be profound and ongoing</w:t>
      </w:r>
      <w:r w:rsidR="009A609F" w:rsidRPr="00EC02CA">
        <w:t xml:space="preserve">. </w:t>
      </w:r>
      <w:r w:rsidR="00107AAD" w:rsidRPr="00EC02CA">
        <w:t>Further,</w:t>
      </w:r>
      <w:r w:rsidR="009A609F" w:rsidRPr="00EC02CA">
        <w:t xml:space="preserve"> as discussed at [</w:t>
      </w:r>
      <w:r w:rsidR="00924EB3" w:rsidRPr="00EC02CA">
        <w:fldChar w:fldCharType="begin"/>
      </w:r>
      <w:r w:rsidR="00924EB3" w:rsidRPr="00EC02CA">
        <w:instrText xml:space="preserve"> REF _Ref218241437 \r \h </w:instrText>
      </w:r>
      <w:r w:rsidR="00924EB3" w:rsidRPr="00EC02CA">
        <w:fldChar w:fldCharType="separate"/>
      </w:r>
      <w:r w:rsidR="007D7830">
        <w:t>8.3</w:t>
      </w:r>
      <w:r w:rsidR="00924EB3" w:rsidRPr="00EC02CA">
        <w:fldChar w:fldCharType="end"/>
      </w:r>
      <w:r w:rsidR="00107AAD" w:rsidRPr="00EC02CA">
        <w:t>]</w:t>
      </w:r>
      <w:r w:rsidR="00DF2D07" w:rsidRPr="00EC02CA">
        <w:t>, in sentencing a young person for a sexual offence</w:t>
      </w:r>
      <w:r w:rsidR="00107AAD" w:rsidRPr="00EC02CA">
        <w:t>,</w:t>
      </w:r>
      <w:r w:rsidR="00053547" w:rsidRPr="00EC02CA">
        <w:t xml:space="preserve"> the Supreme Court has </w:t>
      </w:r>
      <w:r w:rsidR="00D962E6" w:rsidRPr="00EC02CA">
        <w:t>long recognised</w:t>
      </w:r>
      <w:r w:rsidR="00053547" w:rsidRPr="00EC02CA">
        <w:t xml:space="preserve"> the need</w:t>
      </w:r>
      <w:r w:rsidR="00881B16" w:rsidRPr="00EC02CA">
        <w:t xml:space="preserve"> to </w:t>
      </w:r>
      <w:r w:rsidR="00807562" w:rsidRPr="00EC02CA">
        <w:t xml:space="preserve">impose a sentence that </w:t>
      </w:r>
      <w:r w:rsidR="00FE3455" w:rsidRPr="00EC02CA">
        <w:t>reflect</w:t>
      </w:r>
      <w:r w:rsidR="00807562" w:rsidRPr="00EC02CA">
        <w:t>s</w:t>
      </w:r>
      <w:r w:rsidR="00FE3455" w:rsidRPr="00EC02CA">
        <w:t xml:space="preserve"> the seriousness of the crime and the </w:t>
      </w:r>
      <w:r w:rsidR="00452230" w:rsidRPr="00EC02CA">
        <w:t>interests</w:t>
      </w:r>
      <w:r w:rsidR="00FE3455" w:rsidRPr="00EC02CA">
        <w:t xml:space="preserve"> of victim-</w:t>
      </w:r>
      <w:r w:rsidR="00452230" w:rsidRPr="00EC02CA">
        <w:t>survivors</w:t>
      </w:r>
      <w:r w:rsidR="00590DA3" w:rsidRPr="00EC02CA">
        <w:t xml:space="preserve">, as well </w:t>
      </w:r>
      <w:r w:rsidR="00D8091D" w:rsidRPr="00EC02CA">
        <w:t xml:space="preserve">as to act </w:t>
      </w:r>
      <w:r w:rsidR="00452230" w:rsidRPr="00EC02CA">
        <w:t>as a deterren</w:t>
      </w:r>
      <w:r w:rsidR="00DF2D07" w:rsidRPr="00EC02CA">
        <w:t>t</w:t>
      </w:r>
      <w:r w:rsidR="00590DA3" w:rsidRPr="00EC02CA">
        <w:t xml:space="preserve"> to other young people</w:t>
      </w:r>
      <w:r w:rsidR="00F240C5" w:rsidRPr="00EC02CA">
        <w:t>.</w:t>
      </w:r>
      <w:r w:rsidR="00B850B3" w:rsidRPr="00EC02CA">
        <w:t xml:space="preserve"> </w:t>
      </w:r>
      <w:r w:rsidR="006E6021" w:rsidRPr="00EC02CA">
        <w:t xml:space="preserve">As recognised in </w:t>
      </w:r>
      <w:r w:rsidR="00053A3B" w:rsidRPr="00EC02CA">
        <w:rPr>
          <w:i/>
          <w:iCs/>
        </w:rPr>
        <w:t>Director of Public Prosecutions</w:t>
      </w:r>
      <w:r w:rsidR="00053A3B" w:rsidRPr="00EC02CA">
        <w:t xml:space="preserve"> </w:t>
      </w:r>
      <w:r w:rsidR="001C4B12" w:rsidRPr="00EC02CA">
        <w:rPr>
          <w:i/>
        </w:rPr>
        <w:t xml:space="preserve">v </w:t>
      </w:r>
      <w:r w:rsidR="00EA58D7" w:rsidRPr="00EC02CA">
        <w:rPr>
          <w:i/>
        </w:rPr>
        <w:t>NOP</w:t>
      </w:r>
      <w:r w:rsidR="00EA58D7" w:rsidRPr="00EC02CA">
        <w:t>,</w:t>
      </w:r>
      <w:r w:rsidR="00EA58D7" w:rsidRPr="00EC02CA">
        <w:rPr>
          <w:rStyle w:val="FootnoteReference"/>
        </w:rPr>
        <w:footnoteReference w:id="787"/>
      </w:r>
      <w:r w:rsidR="00DF2D07" w:rsidRPr="00EC02CA">
        <w:t xml:space="preserve"> </w:t>
      </w:r>
      <w:r w:rsidR="00F473C1" w:rsidRPr="00EC02CA">
        <w:t xml:space="preserve">the message communicated to a young </w:t>
      </w:r>
      <w:r w:rsidR="00DF2D07" w:rsidRPr="00EC02CA">
        <w:t xml:space="preserve">offender’s </w:t>
      </w:r>
      <w:r w:rsidR="00F473C1" w:rsidRPr="00EC02CA">
        <w:t xml:space="preserve">peers </w:t>
      </w:r>
      <w:r w:rsidR="00DF2D07" w:rsidRPr="00EC02CA">
        <w:t xml:space="preserve">remains </w:t>
      </w:r>
      <w:r w:rsidR="004142A9" w:rsidRPr="00EC02CA">
        <w:t>an important function of the law:</w:t>
      </w:r>
    </w:p>
    <w:p w14:paraId="4A51169C" w14:textId="2144AA8E" w:rsidR="00721298" w:rsidRPr="00EC02CA" w:rsidRDefault="00721298" w:rsidP="00721298">
      <w:pPr>
        <w:pStyle w:val="Indentedquote"/>
      </w:pPr>
      <w:r w:rsidRPr="00EC02CA">
        <w:t>Whilst the needs of general deterrence are muted when dealing with a youth, they should not be ignored. It is to be expected that as with the respondent, many of his peers would experience a period of turbulent sexual development and adjustment. Notwithstanding the privacy afforded to proceedings involving youths, it is inevitable that the respondent</w:t>
      </w:r>
      <w:r w:rsidR="00DC7AC6" w:rsidRPr="00EC02CA">
        <w:t>’</w:t>
      </w:r>
      <w:r w:rsidRPr="00EC02CA">
        <w:t>s peers would become aware of the proceedings and their outcome. It is highly undesirable that the sentence imposed on the respondent should leave his peers with the impression that he received no penalty.</w:t>
      </w:r>
      <w:r w:rsidR="001C4B12" w:rsidRPr="00EC02CA">
        <w:rPr>
          <w:rStyle w:val="FootnoteReference"/>
        </w:rPr>
        <w:footnoteReference w:id="788"/>
      </w:r>
    </w:p>
    <w:p w14:paraId="5DB3BA8A" w14:textId="27D88334" w:rsidR="00D43BC9" w:rsidRPr="00EC02CA" w:rsidRDefault="0049656F" w:rsidP="00A920EC">
      <w:pPr>
        <w:pStyle w:val="NormalNumberedTextTLRI"/>
      </w:pPr>
      <w:r w:rsidRPr="00EC02CA">
        <w:t xml:space="preserve">Any reform </w:t>
      </w:r>
      <w:r w:rsidR="00767201" w:rsidRPr="00EC02CA">
        <w:t>will</w:t>
      </w:r>
      <w:r w:rsidR="00DA502C" w:rsidRPr="00EC02CA">
        <w:t xml:space="preserve"> require further consultation</w:t>
      </w:r>
      <w:r w:rsidR="00730143" w:rsidRPr="00EC02CA">
        <w:t xml:space="preserve"> </w:t>
      </w:r>
      <w:r w:rsidR="00E00B89" w:rsidRPr="00EC02CA">
        <w:t>and careful consideration of the needs of victim-survivors</w:t>
      </w:r>
      <w:r w:rsidRPr="00EC02CA">
        <w:t>, the need to recognise the seriousness of the offending</w:t>
      </w:r>
      <w:r w:rsidR="00767201" w:rsidRPr="00EC02CA">
        <w:t>,</w:t>
      </w:r>
      <w:r w:rsidR="00B850B3" w:rsidRPr="00EC02CA">
        <w:t xml:space="preserve"> and the </w:t>
      </w:r>
      <w:r w:rsidR="00D35078" w:rsidRPr="00EC02CA">
        <w:t>educative function of the criminal law</w:t>
      </w:r>
      <w:r w:rsidR="00DA502C" w:rsidRPr="00EC02CA">
        <w:t xml:space="preserve">. </w:t>
      </w:r>
    </w:p>
    <w:p w14:paraId="5ED8F4FC" w14:textId="1EF712DF" w:rsidR="00165BAD" w:rsidRPr="00EC02CA" w:rsidRDefault="002372DF" w:rsidP="002F0007">
      <w:pPr>
        <w:pStyle w:val="NormalNumberedTextTLRI"/>
      </w:pPr>
      <w:r w:rsidRPr="00EC02CA">
        <w:t xml:space="preserve">In addition, </w:t>
      </w:r>
      <w:r w:rsidR="00F32E34" w:rsidRPr="00EC02CA">
        <w:t xml:space="preserve">in any review, </w:t>
      </w:r>
      <w:r w:rsidR="0049656F" w:rsidRPr="00EC02CA">
        <w:t xml:space="preserve">the TLRI observes that </w:t>
      </w:r>
      <w:r w:rsidR="00F32E34" w:rsidRPr="00EC02CA">
        <w:t xml:space="preserve">it is important to recognise that </w:t>
      </w:r>
      <w:r w:rsidR="007B53FC" w:rsidRPr="00EC02CA">
        <w:t>the offence categories in Tasmania can cover a broad spectrum of behaviour, and that the offence ‘labels’ may not always appropriately capture the seriousness of the conduct.</w:t>
      </w:r>
      <w:r w:rsidR="006070C4" w:rsidRPr="00EC02CA">
        <w:rPr>
          <w:rStyle w:val="FootnoteReference"/>
        </w:rPr>
        <w:footnoteReference w:id="789"/>
      </w:r>
      <w:r w:rsidR="006070C4" w:rsidRPr="00EC02CA">
        <w:t xml:space="preserve"> </w:t>
      </w:r>
      <w:r w:rsidR="001F42A8" w:rsidRPr="00EC02CA">
        <w:t xml:space="preserve">An alternative </w:t>
      </w:r>
      <w:r w:rsidR="00806190" w:rsidRPr="00EC02CA">
        <w:t>to specifying prescribed offences</w:t>
      </w:r>
      <w:r w:rsidR="001F42A8" w:rsidRPr="00EC02CA">
        <w:t xml:space="preserve"> that could be considered </w:t>
      </w:r>
      <w:r w:rsidR="00767201" w:rsidRPr="00EC02CA">
        <w:t>is</w:t>
      </w:r>
      <w:r w:rsidR="0080296D" w:rsidRPr="00EC02CA">
        <w:t xml:space="preserve"> to</w:t>
      </w:r>
      <w:r w:rsidR="00806190" w:rsidRPr="00EC02CA">
        <w:t xml:space="preserve"> adopt an approach that </w:t>
      </w:r>
      <w:r w:rsidR="00D732ED" w:rsidRPr="00EC02CA">
        <w:t>focuses</w:t>
      </w:r>
      <w:r w:rsidR="00806190" w:rsidRPr="00EC02CA">
        <w:t xml:space="preserve"> on the </w:t>
      </w:r>
      <w:r w:rsidR="00B55CCF" w:rsidRPr="00EC02CA">
        <w:rPr>
          <w:i/>
        </w:rPr>
        <w:t>circumstances</w:t>
      </w:r>
      <w:r w:rsidR="00B55CCF" w:rsidRPr="00EC02CA">
        <w:t xml:space="preserve"> of the charge </w:t>
      </w:r>
      <w:r w:rsidR="00767201" w:rsidRPr="00EC02CA">
        <w:t xml:space="preserve">when </w:t>
      </w:r>
      <w:r w:rsidR="00B55CCF" w:rsidRPr="00EC02CA">
        <w:t xml:space="preserve">making a decision about whether or not </w:t>
      </w:r>
      <w:r w:rsidR="00767201" w:rsidRPr="00EC02CA">
        <w:t xml:space="preserve">the particular matter is </w:t>
      </w:r>
      <w:r w:rsidR="00B55CCF" w:rsidRPr="00EC02CA">
        <w:t xml:space="preserve">too </w:t>
      </w:r>
      <w:r w:rsidR="00D732ED" w:rsidRPr="00EC02CA">
        <w:t>serious</w:t>
      </w:r>
      <w:r w:rsidR="00B55CCF" w:rsidRPr="00EC02CA">
        <w:t xml:space="preserve"> for </w:t>
      </w:r>
      <w:r w:rsidR="00D732ED" w:rsidRPr="00EC02CA">
        <w:t>diversion</w:t>
      </w:r>
      <w:r w:rsidR="0025290F" w:rsidRPr="00EC02CA">
        <w:t xml:space="preserve"> and/or </w:t>
      </w:r>
      <w:r w:rsidR="00767201" w:rsidRPr="00EC02CA">
        <w:t xml:space="preserve">for </w:t>
      </w:r>
      <w:r w:rsidR="0025290F" w:rsidRPr="00EC02CA">
        <w:t>the jurisdiction of the Youth Justice Division</w:t>
      </w:r>
      <w:r w:rsidR="00D732ED" w:rsidRPr="00EC02CA">
        <w:t xml:space="preserve">. </w:t>
      </w:r>
      <w:r w:rsidR="00C41513" w:rsidRPr="00EC02CA">
        <w:t>There are complexities in determining the basis on which this decision would be made</w:t>
      </w:r>
      <w:r w:rsidR="00767201" w:rsidRPr="00EC02CA">
        <w:t>,</w:t>
      </w:r>
      <w:r w:rsidR="00C41513" w:rsidRPr="00EC02CA">
        <w:t xml:space="preserve"> and by who</w:t>
      </w:r>
      <w:r w:rsidR="00767201" w:rsidRPr="00EC02CA">
        <w:t>m</w:t>
      </w:r>
      <w:r w:rsidR="00C41513" w:rsidRPr="00EC02CA">
        <w:t>.</w:t>
      </w:r>
      <w:r w:rsidR="00CB46B7" w:rsidRPr="00EC02CA">
        <w:rPr>
          <w:rStyle w:val="FootnoteReference"/>
        </w:rPr>
        <w:footnoteReference w:id="790"/>
      </w:r>
      <w:r w:rsidR="00C41513" w:rsidRPr="00EC02CA">
        <w:t xml:space="preserve"> </w:t>
      </w:r>
      <w:r w:rsidR="009A4FF4" w:rsidRPr="00EC02CA">
        <w:t>It is not straightforward to compare the approach</w:t>
      </w:r>
      <w:r w:rsidR="004E1A45" w:rsidRPr="00EC02CA">
        <w:t>es</w:t>
      </w:r>
      <w:r w:rsidR="009A4FF4" w:rsidRPr="00EC02CA">
        <w:t xml:space="preserve"> in other jurisdictions given the</w:t>
      </w:r>
      <w:r w:rsidR="00767201" w:rsidRPr="00EC02CA">
        <w:t>ir</w:t>
      </w:r>
      <w:r w:rsidR="009A4FF4" w:rsidRPr="00EC02CA">
        <w:t xml:space="preserve"> differing approaches to the use of diversion and </w:t>
      </w:r>
      <w:r w:rsidR="00953C0D" w:rsidRPr="00EC02CA">
        <w:t>also the jurisdiction of the</w:t>
      </w:r>
      <w:r w:rsidR="00767201" w:rsidRPr="00EC02CA">
        <w:t>ir</w:t>
      </w:r>
      <w:r w:rsidR="00953C0D" w:rsidRPr="00EC02CA">
        <w:t xml:space="preserve"> </w:t>
      </w:r>
      <w:r w:rsidR="006F50DC" w:rsidRPr="00EC02CA">
        <w:t>y</w:t>
      </w:r>
      <w:r w:rsidR="00953C0D" w:rsidRPr="00EC02CA">
        <w:t xml:space="preserve">outh </w:t>
      </w:r>
      <w:r w:rsidR="006F50DC" w:rsidRPr="00EC02CA">
        <w:t>c</w:t>
      </w:r>
      <w:r w:rsidR="00953C0D" w:rsidRPr="00EC02CA">
        <w:t>ourt (see Appendix</w:t>
      </w:r>
      <w:r w:rsidR="000110B0" w:rsidRPr="00EC02CA">
        <w:t xml:space="preserve"> </w:t>
      </w:r>
      <w:r w:rsidR="00924EB3" w:rsidRPr="00EC02CA">
        <w:t>I</w:t>
      </w:r>
      <w:r w:rsidR="000110B0" w:rsidRPr="00EC02CA">
        <w:t>).</w:t>
      </w:r>
      <w:r w:rsidR="00953C0D" w:rsidRPr="00EC02CA">
        <w:t xml:space="preserve"> However, </w:t>
      </w:r>
      <w:r w:rsidR="004E1A45" w:rsidRPr="00EC02CA">
        <w:t>there are examples where discretion is exercised by the prosecution o</w:t>
      </w:r>
      <w:r w:rsidR="00010F0B" w:rsidRPr="00EC02CA">
        <w:t>r the court</w:t>
      </w:r>
      <w:r w:rsidR="00767201" w:rsidRPr="00EC02CA">
        <w:t>,</w:t>
      </w:r>
      <w:r w:rsidR="00010F0B" w:rsidRPr="00EC02CA">
        <w:t xml:space="preserve"> rather than relying solely o</w:t>
      </w:r>
      <w:r w:rsidR="00767201" w:rsidRPr="00EC02CA">
        <w:t>n legislation that prescribes an</w:t>
      </w:r>
      <w:r w:rsidR="00010F0B" w:rsidRPr="00EC02CA">
        <w:t xml:space="preserve"> offence </w:t>
      </w:r>
      <w:r w:rsidR="00767201" w:rsidRPr="00EC02CA">
        <w:t xml:space="preserve">or offence </w:t>
      </w:r>
      <w:r w:rsidR="00010F0B" w:rsidRPr="00EC02CA">
        <w:t xml:space="preserve">category. </w:t>
      </w:r>
    </w:p>
    <w:p w14:paraId="64F0277E" w14:textId="26791D21" w:rsidR="00A06B4C" w:rsidRPr="00EC02CA" w:rsidRDefault="00010F0B" w:rsidP="002F0007">
      <w:pPr>
        <w:pStyle w:val="NormalNumberedTextTLRI"/>
      </w:pPr>
      <w:r w:rsidRPr="00EC02CA">
        <w:t>I</w:t>
      </w:r>
      <w:r w:rsidR="006C546C" w:rsidRPr="00EC02CA">
        <w:t>n Sout</w:t>
      </w:r>
      <w:r w:rsidR="005B1CC7" w:rsidRPr="00EC02CA">
        <w:t>h</w:t>
      </w:r>
      <w:r w:rsidR="006C546C" w:rsidRPr="00EC02CA">
        <w:t xml:space="preserve"> </w:t>
      </w:r>
      <w:r w:rsidR="005B1CC7" w:rsidRPr="00EC02CA">
        <w:t>Australia</w:t>
      </w:r>
      <w:r w:rsidR="0025290F" w:rsidRPr="00EC02CA">
        <w:t xml:space="preserve">, </w:t>
      </w:r>
      <w:r w:rsidR="00113DED" w:rsidRPr="00EC02CA">
        <w:t xml:space="preserve">for example, </w:t>
      </w:r>
      <w:r w:rsidR="00114BB4" w:rsidRPr="00EC02CA">
        <w:t>‘prescribed offences’ are not used</w:t>
      </w:r>
      <w:r w:rsidR="00953C0D" w:rsidRPr="00EC02CA">
        <w:t>, and decisions</w:t>
      </w:r>
      <w:r w:rsidR="006D1097" w:rsidRPr="00EC02CA">
        <w:t xml:space="preserve"> in relation to the use of </w:t>
      </w:r>
      <w:r w:rsidR="00E436BE" w:rsidRPr="00EC02CA">
        <w:t xml:space="preserve">pre-court diversion are </w:t>
      </w:r>
      <w:r w:rsidR="000328E1" w:rsidRPr="00EC02CA">
        <w:t xml:space="preserve">made by police </w:t>
      </w:r>
      <w:r w:rsidR="00E436BE" w:rsidRPr="00EC02CA">
        <w:t>based on whether or not an offence is a minor offence (defined by reference to the harm</w:t>
      </w:r>
      <w:r w:rsidR="00317F9D" w:rsidRPr="00EC02CA">
        <w:t xml:space="preserve"> caused, the young person’s character and criminal history, the </w:t>
      </w:r>
      <w:r w:rsidR="00BF4B61" w:rsidRPr="00EC02CA">
        <w:t>likelihood</w:t>
      </w:r>
      <w:r w:rsidR="00317F9D" w:rsidRPr="00EC02CA">
        <w:t xml:space="preserve"> of reoffending</w:t>
      </w:r>
      <w:r w:rsidR="00767201" w:rsidRPr="00EC02CA">
        <w:t>,</w:t>
      </w:r>
      <w:r w:rsidR="00317F9D" w:rsidRPr="00EC02CA">
        <w:t xml:space="preserve"> and the attitude of </w:t>
      </w:r>
      <w:r w:rsidR="00EE0FA3" w:rsidRPr="00EC02CA">
        <w:t>parents</w:t>
      </w:r>
      <w:r w:rsidR="00317F9D" w:rsidRPr="00EC02CA">
        <w:t xml:space="preserve"> or guardians</w:t>
      </w:r>
      <w:r w:rsidR="004E7866" w:rsidRPr="00EC02CA">
        <w:t>)</w:t>
      </w:r>
      <w:r w:rsidR="00317F9D" w:rsidRPr="00EC02CA">
        <w:t>.</w:t>
      </w:r>
      <w:r w:rsidR="00317F9D" w:rsidRPr="00EC02CA">
        <w:rPr>
          <w:rStyle w:val="FootnoteReference"/>
        </w:rPr>
        <w:footnoteReference w:id="791"/>
      </w:r>
      <w:r w:rsidR="00953C0D" w:rsidRPr="00EC02CA">
        <w:t xml:space="preserve"> </w:t>
      </w:r>
      <w:r w:rsidR="004E7866" w:rsidRPr="00EC02CA">
        <w:t>Decisions</w:t>
      </w:r>
      <w:r w:rsidR="008B5983" w:rsidRPr="00EC02CA">
        <w:t xml:space="preserve"> a</w:t>
      </w:r>
      <w:r w:rsidR="004E7866" w:rsidRPr="00EC02CA">
        <w:t xml:space="preserve">bout the </w:t>
      </w:r>
      <w:r w:rsidR="008B5983" w:rsidRPr="00EC02CA">
        <w:t>jurisdiction</w:t>
      </w:r>
      <w:r w:rsidR="004E7866" w:rsidRPr="00EC02CA">
        <w:t xml:space="preserve"> of the </w:t>
      </w:r>
      <w:r w:rsidR="006F50DC" w:rsidRPr="00EC02CA">
        <w:t>Y</w:t>
      </w:r>
      <w:r w:rsidR="004E7866" w:rsidRPr="00EC02CA">
        <w:t xml:space="preserve">outh </w:t>
      </w:r>
      <w:r w:rsidR="006F50DC" w:rsidRPr="00EC02CA">
        <w:t>C</w:t>
      </w:r>
      <w:r w:rsidR="004E7866" w:rsidRPr="00EC02CA">
        <w:t xml:space="preserve">ourt </w:t>
      </w:r>
      <w:r w:rsidR="00953C0D" w:rsidRPr="00EC02CA">
        <w:t xml:space="preserve">are </w:t>
      </w:r>
      <w:r w:rsidR="00767201" w:rsidRPr="00EC02CA">
        <w:t xml:space="preserve">similarly </w:t>
      </w:r>
      <w:r w:rsidR="00953C0D" w:rsidRPr="00EC02CA">
        <w:t xml:space="preserve">made on the basis of the seriousness of the </w:t>
      </w:r>
      <w:r w:rsidR="003B6EA2" w:rsidRPr="00EC02CA">
        <w:t xml:space="preserve">offence (major indictable offences) and </w:t>
      </w:r>
      <w:r w:rsidR="00767201" w:rsidRPr="00EC02CA">
        <w:t xml:space="preserve">an </w:t>
      </w:r>
      <w:r w:rsidR="003B6EA2" w:rsidRPr="00EC02CA">
        <w:t xml:space="preserve">exercise of discretion of </w:t>
      </w:r>
      <w:r w:rsidR="005B1CC7" w:rsidRPr="00EC02CA">
        <w:t xml:space="preserve">the </w:t>
      </w:r>
      <w:r w:rsidR="002A1ACB" w:rsidRPr="00EC02CA">
        <w:t>Director</w:t>
      </w:r>
      <w:r w:rsidR="005B1CC7" w:rsidRPr="00EC02CA">
        <w:t xml:space="preserve"> of Public </w:t>
      </w:r>
      <w:r w:rsidR="002A1ACB" w:rsidRPr="00EC02CA">
        <w:t>Prosecution</w:t>
      </w:r>
      <w:r w:rsidR="005B1CC7" w:rsidRPr="00EC02CA">
        <w:t xml:space="preserve"> that </w:t>
      </w:r>
      <w:r w:rsidR="00767201" w:rsidRPr="00EC02CA">
        <w:t xml:space="preserve">a particular matter </w:t>
      </w:r>
      <w:r w:rsidR="003B6EA2" w:rsidRPr="00EC02CA">
        <w:t>should</w:t>
      </w:r>
      <w:r w:rsidR="005B1CC7" w:rsidRPr="00EC02CA">
        <w:t xml:space="preserve"> be heard in the adult court rather than the </w:t>
      </w:r>
      <w:r w:rsidR="006F50DC" w:rsidRPr="00EC02CA">
        <w:t>Y</w:t>
      </w:r>
      <w:r w:rsidR="005B1CC7" w:rsidRPr="00EC02CA">
        <w:t xml:space="preserve">outh </w:t>
      </w:r>
      <w:r w:rsidR="006F50DC" w:rsidRPr="00EC02CA">
        <w:t>C</w:t>
      </w:r>
      <w:r w:rsidR="005B1CC7" w:rsidRPr="00EC02CA">
        <w:t xml:space="preserve">ourt </w:t>
      </w:r>
      <w:r w:rsidR="00113DED" w:rsidRPr="00EC02CA">
        <w:t>based on</w:t>
      </w:r>
      <w:r w:rsidR="006B0297" w:rsidRPr="00EC02CA">
        <w:t xml:space="preserve"> </w:t>
      </w:r>
      <w:r w:rsidR="00CC1B8E" w:rsidRPr="00EC02CA">
        <w:t xml:space="preserve">whether </w:t>
      </w:r>
      <w:r w:rsidR="006B0297" w:rsidRPr="00EC02CA">
        <w:t xml:space="preserve">the </w:t>
      </w:r>
      <w:r w:rsidR="002A1ACB" w:rsidRPr="00EC02CA">
        <w:t>young</w:t>
      </w:r>
      <w:r w:rsidR="006B0297" w:rsidRPr="00EC02CA">
        <w:t xml:space="preserve"> </w:t>
      </w:r>
      <w:r w:rsidR="00767201" w:rsidRPr="00EC02CA">
        <w:t xml:space="preserve">person </w:t>
      </w:r>
      <w:r w:rsidR="006B0297" w:rsidRPr="00EC02CA">
        <w:t xml:space="preserve">poses an </w:t>
      </w:r>
      <w:r w:rsidR="002A1ACB" w:rsidRPr="00EC02CA">
        <w:t xml:space="preserve">appreciable risk to the safety </w:t>
      </w:r>
      <w:r w:rsidR="0068085F" w:rsidRPr="00EC02CA">
        <w:t>of</w:t>
      </w:r>
      <w:r w:rsidR="002A1ACB" w:rsidRPr="00EC02CA">
        <w:t xml:space="preserve"> the community.</w:t>
      </w:r>
      <w:r w:rsidR="002A1ACB" w:rsidRPr="00EC02CA">
        <w:rPr>
          <w:rStyle w:val="FootnoteReference"/>
        </w:rPr>
        <w:footnoteReference w:id="792"/>
      </w:r>
      <w:r w:rsidR="00114BB4" w:rsidRPr="00EC02CA">
        <w:t xml:space="preserve"> In addition, the </w:t>
      </w:r>
      <w:r w:rsidR="00962A48" w:rsidRPr="00EC02CA">
        <w:t xml:space="preserve">Youth Court can refer a </w:t>
      </w:r>
      <w:r w:rsidR="00113DED" w:rsidRPr="00EC02CA">
        <w:t>m</w:t>
      </w:r>
      <w:r w:rsidR="00962A48" w:rsidRPr="00EC02CA">
        <w:t xml:space="preserve">atter to an adult court </w:t>
      </w:r>
      <w:r w:rsidR="0038644F" w:rsidRPr="00EC02CA">
        <w:t xml:space="preserve">on application of the </w:t>
      </w:r>
      <w:r w:rsidR="00053A3B" w:rsidRPr="00EC02CA">
        <w:t xml:space="preserve">Director of Public Prosecutions </w:t>
      </w:r>
      <w:r w:rsidR="0038644F" w:rsidRPr="00EC02CA">
        <w:t xml:space="preserve">or the police prosecution because of the gravity of the offence or because of a pattern of repeated </w:t>
      </w:r>
      <w:r w:rsidR="00764A21" w:rsidRPr="00EC02CA">
        <w:t>offending</w:t>
      </w:r>
      <w:r w:rsidR="0038644F" w:rsidRPr="00EC02CA">
        <w:t>.</w:t>
      </w:r>
      <w:r w:rsidR="0038644F" w:rsidRPr="00EC02CA">
        <w:rPr>
          <w:rStyle w:val="FootnoteReference"/>
        </w:rPr>
        <w:footnoteReference w:id="793"/>
      </w:r>
      <w:r w:rsidR="000328E1" w:rsidRPr="00EC02CA">
        <w:t xml:space="preserve"> </w:t>
      </w:r>
      <w:r w:rsidR="00E57320" w:rsidRPr="00EC02CA">
        <w:t>The Youth Court c</w:t>
      </w:r>
      <w:r w:rsidR="007A7AD3" w:rsidRPr="00EC02CA">
        <w:t xml:space="preserve">an </w:t>
      </w:r>
      <w:r w:rsidR="00CC1B8E" w:rsidRPr="00EC02CA">
        <w:t xml:space="preserve">also </w:t>
      </w:r>
      <w:r w:rsidR="007A7AD3" w:rsidRPr="00EC02CA">
        <w:t xml:space="preserve">refer </w:t>
      </w:r>
      <w:r w:rsidR="00CC1B8E" w:rsidRPr="00EC02CA">
        <w:t xml:space="preserve">a matter </w:t>
      </w:r>
      <w:r w:rsidR="007A7AD3" w:rsidRPr="00EC02CA">
        <w:t>to diversion after guilt is established.</w:t>
      </w:r>
      <w:r w:rsidR="007A7AD3" w:rsidRPr="00EC02CA">
        <w:rPr>
          <w:rStyle w:val="FootnoteReference"/>
        </w:rPr>
        <w:footnoteReference w:id="794"/>
      </w:r>
      <w:r w:rsidR="00C807EB" w:rsidRPr="00EC02CA">
        <w:t xml:space="preserve"> </w:t>
      </w:r>
    </w:p>
    <w:p w14:paraId="5B392C11" w14:textId="46020AD8" w:rsidR="0049656F" w:rsidRPr="00EC02CA" w:rsidRDefault="00C6691A" w:rsidP="002F0007">
      <w:pPr>
        <w:pStyle w:val="NormalNumberedTextTLRI"/>
      </w:pPr>
      <w:r w:rsidRPr="00EC02CA">
        <w:t>In Victoria,</w:t>
      </w:r>
      <w:r w:rsidR="00F056DC" w:rsidRPr="00EC02CA">
        <w:t xml:space="preserve"> ‘prescribed offences’ are also not used</w:t>
      </w:r>
      <w:r w:rsidR="00CC6C16" w:rsidRPr="00EC02CA">
        <w:t>,</w:t>
      </w:r>
      <w:r w:rsidR="00F056DC" w:rsidRPr="00EC02CA">
        <w:t xml:space="preserve"> and </w:t>
      </w:r>
      <w:r w:rsidR="00895D44" w:rsidRPr="00EC02CA">
        <w:t>it is</w:t>
      </w:r>
      <w:r w:rsidRPr="00EC02CA">
        <w:t xml:space="preserve"> the </w:t>
      </w:r>
      <w:r w:rsidR="006F50DC" w:rsidRPr="00EC02CA">
        <w:t>Children’s Court</w:t>
      </w:r>
      <w:r w:rsidR="00895D44" w:rsidRPr="00EC02CA">
        <w:t xml:space="preserve"> that</w:t>
      </w:r>
      <w:r w:rsidRPr="00EC02CA">
        <w:t xml:space="preserve"> </w:t>
      </w:r>
      <w:r w:rsidR="00A92D2A" w:rsidRPr="00EC02CA">
        <w:t xml:space="preserve">has a </w:t>
      </w:r>
      <w:r w:rsidR="009A4FF4" w:rsidRPr="00EC02CA">
        <w:t>discretion</w:t>
      </w:r>
      <w:r w:rsidR="00A92D2A" w:rsidRPr="00EC02CA">
        <w:t xml:space="preserve"> for </w:t>
      </w:r>
      <w:r w:rsidR="009A4FF4" w:rsidRPr="00EC02CA">
        <w:t xml:space="preserve">serious sexual offending </w:t>
      </w:r>
      <w:r w:rsidRPr="00EC02CA">
        <w:t xml:space="preserve">to </w:t>
      </w:r>
      <w:r w:rsidR="00895D44" w:rsidRPr="00EC02CA">
        <w:t xml:space="preserve">be </w:t>
      </w:r>
      <w:r w:rsidR="003E277C" w:rsidRPr="00EC02CA">
        <w:t>uplift</w:t>
      </w:r>
      <w:r w:rsidR="00895D44" w:rsidRPr="00EC02CA">
        <w:t>ed</w:t>
      </w:r>
      <w:r w:rsidRPr="00EC02CA">
        <w:t xml:space="preserve"> to </w:t>
      </w:r>
      <w:r w:rsidR="00895D44" w:rsidRPr="00EC02CA">
        <w:t xml:space="preserve">a </w:t>
      </w:r>
      <w:r w:rsidRPr="00EC02CA">
        <w:t>higher court</w:t>
      </w:r>
      <w:r w:rsidR="008B5983" w:rsidRPr="00EC02CA">
        <w:t xml:space="preserve"> rather than </w:t>
      </w:r>
      <w:r w:rsidR="000328E1" w:rsidRPr="00EC02CA">
        <w:t xml:space="preserve">to </w:t>
      </w:r>
      <w:r w:rsidR="008B5983" w:rsidRPr="00EC02CA">
        <w:t>hear t</w:t>
      </w:r>
      <w:r w:rsidR="000328E1" w:rsidRPr="00EC02CA">
        <w:t>he</w:t>
      </w:r>
      <w:r w:rsidR="008B5983" w:rsidRPr="00EC02CA">
        <w:t xml:space="preserve"> matter</w:t>
      </w:r>
      <w:r w:rsidR="00A92D2A" w:rsidRPr="00EC02CA">
        <w:t>.</w:t>
      </w:r>
      <w:r w:rsidR="00200976" w:rsidRPr="00EC02CA">
        <w:rPr>
          <w:rStyle w:val="FootnoteReference"/>
        </w:rPr>
        <w:footnoteReference w:id="795"/>
      </w:r>
      <w:r w:rsidR="00C70447" w:rsidRPr="00EC02CA">
        <w:t xml:space="preserve"> Police only have </w:t>
      </w:r>
      <w:r w:rsidR="00895D44" w:rsidRPr="00EC02CA">
        <w:t>common</w:t>
      </w:r>
      <w:r w:rsidR="00C70447" w:rsidRPr="00EC02CA">
        <w:t xml:space="preserve"> law powers to </w:t>
      </w:r>
      <w:r w:rsidR="00555459" w:rsidRPr="00EC02CA">
        <w:t xml:space="preserve">administer </w:t>
      </w:r>
      <w:r w:rsidR="00F056DC" w:rsidRPr="00EC02CA">
        <w:t>cautions</w:t>
      </w:r>
      <w:r w:rsidR="00555459" w:rsidRPr="00EC02CA">
        <w:t>,</w:t>
      </w:r>
      <w:r w:rsidR="00F056DC" w:rsidRPr="00EC02CA">
        <w:t xml:space="preserve"> but the </w:t>
      </w:r>
      <w:r w:rsidR="006F50DC" w:rsidRPr="00EC02CA">
        <w:t>Children’s C</w:t>
      </w:r>
      <w:r w:rsidR="00F056DC" w:rsidRPr="00EC02CA">
        <w:t>ourt</w:t>
      </w:r>
      <w:r w:rsidR="003E277C" w:rsidRPr="00EC02CA">
        <w:t xml:space="preserve"> </w:t>
      </w:r>
      <w:r w:rsidR="00F056DC" w:rsidRPr="00EC02CA">
        <w:t>has power to</w:t>
      </w:r>
      <w:r w:rsidR="003E277C" w:rsidRPr="00EC02CA">
        <w:t xml:space="preserve"> divert a young person to a </w:t>
      </w:r>
      <w:r w:rsidR="00441BCF" w:rsidRPr="00EC02CA">
        <w:t>diversion</w:t>
      </w:r>
      <w:r w:rsidR="003E277C" w:rsidRPr="00EC02CA">
        <w:t xml:space="preserve"> program </w:t>
      </w:r>
      <w:r w:rsidR="000328E1" w:rsidRPr="00EC02CA">
        <w:t>before</w:t>
      </w:r>
      <w:r w:rsidR="00895D44" w:rsidRPr="00EC02CA">
        <w:t xml:space="preserve"> a plea.</w:t>
      </w:r>
      <w:r w:rsidR="00895D44" w:rsidRPr="00EC02CA">
        <w:rPr>
          <w:rStyle w:val="FootnoteReference"/>
        </w:rPr>
        <w:footnoteReference w:id="796"/>
      </w:r>
      <w:r w:rsidR="008B5983" w:rsidRPr="00EC02CA">
        <w:t xml:space="preserve"> </w:t>
      </w:r>
      <w:r w:rsidR="00282F9E" w:rsidRPr="00EC02CA">
        <w:t xml:space="preserve">These different approaches could provide guidance about </w:t>
      </w:r>
      <w:r w:rsidR="00804959" w:rsidRPr="00EC02CA">
        <w:t xml:space="preserve">the safeguards that could be put in place to inform </w:t>
      </w:r>
      <w:r w:rsidR="00282F9E" w:rsidRPr="00EC02CA">
        <w:t xml:space="preserve">possible </w:t>
      </w:r>
      <w:r w:rsidR="003044C2" w:rsidRPr="00EC02CA">
        <w:t>reforms</w:t>
      </w:r>
      <w:r w:rsidR="00282F9E" w:rsidRPr="00EC02CA">
        <w:t xml:space="preserve"> in Tasmania</w:t>
      </w:r>
      <w:r w:rsidR="003044C2" w:rsidRPr="00EC02CA">
        <w:t xml:space="preserve"> with decisions need</w:t>
      </w:r>
      <w:r w:rsidR="00BE6630" w:rsidRPr="00EC02CA">
        <w:t>ing</w:t>
      </w:r>
      <w:r w:rsidR="003044C2" w:rsidRPr="00EC02CA">
        <w:t xml:space="preserve"> to be made about who can exercise the discretion</w:t>
      </w:r>
      <w:r w:rsidR="00BE6630" w:rsidRPr="00EC02CA">
        <w:t>, on what basis</w:t>
      </w:r>
      <w:r w:rsidR="00555459" w:rsidRPr="00EC02CA">
        <w:t>,</w:t>
      </w:r>
      <w:r w:rsidR="00BE6630" w:rsidRPr="00EC02CA">
        <w:t xml:space="preserve"> and </w:t>
      </w:r>
      <w:r w:rsidR="003044C2" w:rsidRPr="00EC02CA">
        <w:t>at what stage in criminal proceedings.</w:t>
      </w:r>
      <w:r w:rsidR="00716E2A" w:rsidRPr="00EC02CA">
        <w:rPr>
          <w:rStyle w:val="FootnoteReference"/>
        </w:rPr>
        <w:footnoteReference w:id="797"/>
      </w:r>
    </w:p>
    <w:p w14:paraId="53467550" w14:textId="1EBB06EB" w:rsidR="003044C2" w:rsidRPr="00EC02CA" w:rsidRDefault="003044C2" w:rsidP="002F0007">
      <w:pPr>
        <w:pStyle w:val="NormalNumberedTextTLRI"/>
      </w:pPr>
      <w:r w:rsidRPr="00EC02CA">
        <w:t xml:space="preserve">Other </w:t>
      </w:r>
      <w:r w:rsidR="00616316" w:rsidRPr="00EC02CA">
        <w:t xml:space="preserve">issues will also need to be considered to ensure that any change </w:t>
      </w:r>
      <w:r w:rsidR="00640725" w:rsidRPr="00EC02CA">
        <w:t xml:space="preserve">made </w:t>
      </w:r>
      <w:r w:rsidR="0051086F" w:rsidRPr="00EC02CA">
        <w:t xml:space="preserve">to the current approach </w:t>
      </w:r>
      <w:r w:rsidR="00616316" w:rsidRPr="00EC02CA">
        <w:t xml:space="preserve">does not have </w:t>
      </w:r>
      <w:r w:rsidR="00555459" w:rsidRPr="00EC02CA">
        <w:t xml:space="preserve">unintended </w:t>
      </w:r>
      <w:r w:rsidR="00616316" w:rsidRPr="00EC02CA">
        <w:t>consequences for the community</w:t>
      </w:r>
      <w:r w:rsidR="0051086F" w:rsidRPr="00EC02CA">
        <w:t xml:space="preserve">. These would </w:t>
      </w:r>
      <w:r w:rsidR="009D05EF" w:rsidRPr="00EC02CA">
        <w:t>include</w:t>
      </w:r>
      <w:r w:rsidR="0051086F" w:rsidRPr="00EC02CA">
        <w:t xml:space="preserve"> the interaction of any </w:t>
      </w:r>
      <w:r w:rsidR="009D05EF" w:rsidRPr="00EC02CA">
        <w:t>expansion</w:t>
      </w:r>
      <w:r w:rsidR="0051086F" w:rsidRPr="00EC02CA">
        <w:t xml:space="preserve"> to </w:t>
      </w:r>
      <w:r w:rsidR="00110CA3" w:rsidRPr="00EC02CA">
        <w:t>the use of community conference</w:t>
      </w:r>
      <w:r w:rsidR="00C165BC" w:rsidRPr="00EC02CA">
        <w:t>s</w:t>
      </w:r>
      <w:r w:rsidR="009D05EF" w:rsidRPr="00EC02CA">
        <w:t xml:space="preserve"> for any civil proceedings that a vi</w:t>
      </w:r>
      <w:r w:rsidR="001405AE" w:rsidRPr="00EC02CA">
        <w:t>ctim</w:t>
      </w:r>
      <w:r w:rsidR="009D05EF" w:rsidRPr="00EC02CA">
        <w:t>-</w:t>
      </w:r>
      <w:r w:rsidR="001405AE" w:rsidRPr="00EC02CA">
        <w:t>survivor</w:t>
      </w:r>
      <w:r w:rsidR="009D05EF" w:rsidRPr="00EC02CA">
        <w:t xml:space="preserve"> may commence, </w:t>
      </w:r>
      <w:r w:rsidR="001E3C67" w:rsidRPr="00EC02CA">
        <w:t xml:space="preserve">implications for </w:t>
      </w:r>
      <w:r w:rsidR="001405AE" w:rsidRPr="00EC02CA">
        <w:t>the supports that a person receive</w:t>
      </w:r>
      <w:r w:rsidR="0055700F" w:rsidRPr="00EC02CA">
        <w:t>s</w:t>
      </w:r>
      <w:r w:rsidR="001405AE" w:rsidRPr="00EC02CA">
        <w:t xml:space="preserve"> in the </w:t>
      </w:r>
      <w:r w:rsidR="006A18E0" w:rsidRPr="00EC02CA">
        <w:t>criminal</w:t>
      </w:r>
      <w:r w:rsidR="001405AE" w:rsidRPr="00EC02CA">
        <w:t xml:space="preserve"> justice process (for example</w:t>
      </w:r>
      <w:r w:rsidR="001E3C67" w:rsidRPr="00EC02CA">
        <w:t xml:space="preserve">, </w:t>
      </w:r>
      <w:r w:rsidR="006A18E0" w:rsidRPr="00EC02CA">
        <w:t>through the Witness Assistance Service</w:t>
      </w:r>
      <w:r w:rsidR="00C165BC" w:rsidRPr="00EC02CA">
        <w:t xml:space="preserve"> or Witness Intermediaries</w:t>
      </w:r>
      <w:r w:rsidR="006A18E0" w:rsidRPr="00EC02CA">
        <w:t>)</w:t>
      </w:r>
      <w:r w:rsidR="0055700F" w:rsidRPr="00EC02CA">
        <w:t xml:space="preserve">, as well as </w:t>
      </w:r>
      <w:r w:rsidR="007F53AA" w:rsidRPr="00EC02CA">
        <w:t xml:space="preserve">implications for the </w:t>
      </w:r>
      <w:r w:rsidR="0055700F" w:rsidRPr="00EC02CA">
        <w:t xml:space="preserve">registration of the young person </w:t>
      </w:r>
      <w:r w:rsidR="00D82E73" w:rsidRPr="00EC02CA">
        <w:t xml:space="preserve">under the </w:t>
      </w:r>
      <w:r w:rsidR="00D82E73" w:rsidRPr="00EC02CA">
        <w:rPr>
          <w:i/>
        </w:rPr>
        <w:t xml:space="preserve">Community </w:t>
      </w:r>
      <w:r w:rsidR="00644EA3" w:rsidRPr="00EC02CA">
        <w:rPr>
          <w:i/>
        </w:rPr>
        <w:t>Protection</w:t>
      </w:r>
      <w:r w:rsidR="00D82E73" w:rsidRPr="00EC02CA">
        <w:rPr>
          <w:i/>
        </w:rPr>
        <w:t xml:space="preserve"> (</w:t>
      </w:r>
      <w:r w:rsidR="00644EA3" w:rsidRPr="00EC02CA">
        <w:rPr>
          <w:i/>
        </w:rPr>
        <w:t>Offender</w:t>
      </w:r>
      <w:r w:rsidR="00D82E73" w:rsidRPr="00EC02CA">
        <w:rPr>
          <w:i/>
        </w:rPr>
        <w:t xml:space="preserve"> </w:t>
      </w:r>
      <w:r w:rsidR="00644EA3" w:rsidRPr="00EC02CA">
        <w:rPr>
          <w:i/>
        </w:rPr>
        <w:t>Reporting</w:t>
      </w:r>
      <w:r w:rsidR="00D82E73" w:rsidRPr="00EC02CA">
        <w:rPr>
          <w:i/>
        </w:rPr>
        <w:t xml:space="preserve">) Act 2005 </w:t>
      </w:r>
      <w:r w:rsidR="00D82E73" w:rsidRPr="00EC02CA">
        <w:t>(Tas)</w:t>
      </w:r>
      <w:r w:rsidR="00555459" w:rsidRPr="00EC02CA">
        <w:t>,</w:t>
      </w:r>
      <w:r w:rsidR="007F53AA" w:rsidRPr="00EC02CA">
        <w:t xml:space="preserve"> which can only be made by a court</w:t>
      </w:r>
      <w:r w:rsidR="00D82E73" w:rsidRPr="00EC02CA">
        <w:t>.</w:t>
      </w:r>
      <w:r w:rsidR="00D82E73" w:rsidRPr="00EC02CA">
        <w:rPr>
          <w:rStyle w:val="FootnoteReference"/>
        </w:rPr>
        <w:footnoteReference w:id="798"/>
      </w:r>
    </w:p>
    <w:p w14:paraId="5A9170CB" w14:textId="52984F5F" w:rsidR="00A712B5" w:rsidRPr="00EC02CA" w:rsidRDefault="00D33037" w:rsidP="002F0007">
      <w:pPr>
        <w:pStyle w:val="NormalNumberedTextTLRI"/>
      </w:pPr>
      <w:r w:rsidRPr="00EC02CA">
        <w:t xml:space="preserve">A related question </w:t>
      </w:r>
      <w:r w:rsidR="00176CAC" w:rsidRPr="00EC02CA">
        <w:t>is</w:t>
      </w:r>
      <w:r w:rsidRPr="00EC02CA">
        <w:t xml:space="preserve"> whether there should be a distinction drawn between serious physical sexual offences (which</w:t>
      </w:r>
      <w:r w:rsidR="00176CAC" w:rsidRPr="00EC02CA">
        <w:t xml:space="preserve"> currently cannot be diverted) and serious online offences relating to child exploitation material (which can be diverted)</w:t>
      </w:r>
      <w:r w:rsidR="0044004B" w:rsidRPr="00EC02CA">
        <w:t xml:space="preserve">. </w:t>
      </w:r>
      <w:r w:rsidR="0042584C" w:rsidRPr="00EC02CA">
        <w:t>Different approaches exist in other Australian jurisdictions</w:t>
      </w:r>
      <w:r w:rsidR="00015445" w:rsidRPr="00EC02CA">
        <w:t>.</w:t>
      </w:r>
      <w:r w:rsidR="0042584C" w:rsidRPr="00EC02CA">
        <w:t xml:space="preserve"> Western </w:t>
      </w:r>
      <w:r w:rsidR="007979EC" w:rsidRPr="00EC02CA">
        <w:t>Australia</w:t>
      </w:r>
      <w:r w:rsidR="0042584C" w:rsidRPr="00EC02CA">
        <w:t xml:space="preserve"> and New South </w:t>
      </w:r>
      <w:r w:rsidR="007979EC" w:rsidRPr="00EC02CA">
        <w:t>Wales</w:t>
      </w:r>
      <w:r w:rsidR="0042584C" w:rsidRPr="00EC02CA">
        <w:t xml:space="preserve"> </w:t>
      </w:r>
      <w:r w:rsidR="00015445" w:rsidRPr="00EC02CA">
        <w:t xml:space="preserve">take </w:t>
      </w:r>
      <w:r w:rsidR="0042584C" w:rsidRPr="00EC02CA">
        <w:t xml:space="preserve">a similar </w:t>
      </w:r>
      <w:r w:rsidR="007979EC" w:rsidRPr="00EC02CA">
        <w:t>approach</w:t>
      </w:r>
      <w:r w:rsidR="0042584C" w:rsidRPr="00EC02CA">
        <w:t xml:space="preserve"> to Tasmania</w:t>
      </w:r>
      <w:r w:rsidR="00216093" w:rsidRPr="00EC02CA">
        <w:t>,</w:t>
      </w:r>
      <w:r w:rsidR="0042584C" w:rsidRPr="00EC02CA">
        <w:t xml:space="preserve"> </w:t>
      </w:r>
      <w:r w:rsidR="00216093" w:rsidRPr="00EC02CA">
        <w:t>in</w:t>
      </w:r>
      <w:r w:rsidR="0042584C" w:rsidRPr="00EC02CA">
        <w:t xml:space="preserve"> that serious </w:t>
      </w:r>
      <w:r w:rsidR="007979EC" w:rsidRPr="00EC02CA">
        <w:t>physical</w:t>
      </w:r>
      <w:r w:rsidR="0042584C" w:rsidRPr="00EC02CA">
        <w:t xml:space="preserve"> offending cannot be diverted but there are no restrictions on online offen</w:t>
      </w:r>
      <w:r w:rsidR="007979EC" w:rsidRPr="00EC02CA">
        <w:t>d</w:t>
      </w:r>
      <w:r w:rsidR="0042584C" w:rsidRPr="00EC02CA">
        <w:t>ing</w:t>
      </w:r>
      <w:r w:rsidR="00216093" w:rsidRPr="00EC02CA">
        <w:t>. By contrast, in</w:t>
      </w:r>
      <w:r w:rsidR="00612ACB" w:rsidRPr="00EC02CA">
        <w:t xml:space="preserve"> </w:t>
      </w:r>
      <w:r w:rsidR="0004022F" w:rsidRPr="00EC02CA">
        <w:t>the Northern Territory</w:t>
      </w:r>
      <w:r w:rsidR="00216093" w:rsidRPr="00EC02CA">
        <w:t>,</w:t>
      </w:r>
      <w:r w:rsidR="0004022F" w:rsidRPr="00EC02CA">
        <w:t xml:space="preserve"> possession or pr</w:t>
      </w:r>
      <w:r w:rsidR="00612ACB" w:rsidRPr="00EC02CA">
        <w:t xml:space="preserve">oduction </w:t>
      </w:r>
      <w:r w:rsidR="0004022F" w:rsidRPr="00EC02CA">
        <w:t xml:space="preserve">of child exploitation offences </w:t>
      </w:r>
      <w:r w:rsidR="00774A30" w:rsidRPr="00EC02CA">
        <w:t>are</w:t>
      </w:r>
      <w:r w:rsidR="0004022F" w:rsidRPr="00EC02CA">
        <w:t xml:space="preserve"> </w:t>
      </w:r>
      <w:r w:rsidR="00612ACB" w:rsidRPr="00EC02CA">
        <w:t>excluded from diversion</w:t>
      </w:r>
      <w:r w:rsidR="007979EC" w:rsidRPr="00EC02CA">
        <w:t xml:space="preserve"> in addition to </w:t>
      </w:r>
      <w:r w:rsidR="0004022F" w:rsidRPr="00EC02CA">
        <w:t xml:space="preserve">serious </w:t>
      </w:r>
      <w:r w:rsidR="00612ACB" w:rsidRPr="00EC02CA">
        <w:t>physical</w:t>
      </w:r>
      <w:r w:rsidR="0004022F" w:rsidRPr="00EC02CA">
        <w:t xml:space="preserve"> offending</w:t>
      </w:r>
      <w:r w:rsidR="00C8635D" w:rsidRPr="00EC02CA">
        <w:t xml:space="preserve">. Different again is the approach in Queensland, </w:t>
      </w:r>
      <w:r w:rsidR="00A62CF3" w:rsidRPr="00EC02CA">
        <w:t xml:space="preserve">where there is no </w:t>
      </w:r>
      <w:r w:rsidR="00CA7DD4" w:rsidRPr="00EC02CA">
        <w:t xml:space="preserve">restriction on the sexual offence categories that can be diverted. </w:t>
      </w:r>
      <w:r w:rsidR="00A57B4A" w:rsidRPr="00EC02CA">
        <w:t xml:space="preserve">The </w:t>
      </w:r>
      <w:r w:rsidR="004B3D32" w:rsidRPr="00EC02CA">
        <w:t>Queensland</w:t>
      </w:r>
      <w:r w:rsidR="00A57B4A" w:rsidRPr="00EC02CA">
        <w:t xml:space="preserve"> </w:t>
      </w:r>
      <w:r w:rsidR="004B3D32" w:rsidRPr="00EC02CA">
        <w:t>approach</w:t>
      </w:r>
      <w:r w:rsidR="00A57B4A" w:rsidRPr="00EC02CA">
        <w:t xml:space="preserve"> aligns with the </w:t>
      </w:r>
      <w:r w:rsidR="004B3D32" w:rsidRPr="00EC02CA">
        <w:rPr>
          <w:i/>
        </w:rPr>
        <w:t>Beijing</w:t>
      </w:r>
      <w:r w:rsidR="00785F09" w:rsidRPr="00EC02CA">
        <w:rPr>
          <w:i/>
        </w:rPr>
        <w:t xml:space="preserve"> Rules</w:t>
      </w:r>
      <w:r w:rsidR="00785F09" w:rsidRPr="00EC02CA">
        <w:t xml:space="preserve">, with </w:t>
      </w:r>
      <w:r w:rsidR="004B3D32" w:rsidRPr="00EC02CA">
        <w:t>diversionary</w:t>
      </w:r>
      <w:r w:rsidR="00785F09" w:rsidRPr="00EC02CA">
        <w:t xml:space="preserve"> measure</w:t>
      </w:r>
      <w:r w:rsidR="00216093" w:rsidRPr="00EC02CA">
        <w:t>s</w:t>
      </w:r>
      <w:r w:rsidR="00785F09" w:rsidRPr="00EC02CA">
        <w:t xml:space="preserve"> not </w:t>
      </w:r>
      <w:r w:rsidR="004B3D32" w:rsidRPr="00EC02CA">
        <w:t>restricted</w:t>
      </w:r>
      <w:r w:rsidR="00785F09" w:rsidRPr="00EC02CA">
        <w:t xml:space="preserve"> to </w:t>
      </w:r>
      <w:r w:rsidR="00370BDE" w:rsidRPr="00EC02CA">
        <w:t xml:space="preserve">minor offences but </w:t>
      </w:r>
      <w:r w:rsidR="004B3D32" w:rsidRPr="00EC02CA">
        <w:t>available</w:t>
      </w:r>
      <w:r w:rsidR="00370BDE" w:rsidRPr="00EC02CA">
        <w:t xml:space="preserve"> ‘</w:t>
      </w:r>
      <w:r w:rsidR="004B3D32" w:rsidRPr="00EC02CA">
        <w:t>whenever</w:t>
      </w:r>
      <w:r w:rsidR="00370BDE" w:rsidRPr="00EC02CA">
        <w:t xml:space="preserve"> </w:t>
      </w:r>
      <w:r w:rsidR="004B3D32" w:rsidRPr="00EC02CA">
        <w:t>appropriate</w:t>
      </w:r>
      <w:r w:rsidR="00370BDE" w:rsidRPr="00EC02CA">
        <w:t>’.</w:t>
      </w:r>
      <w:r w:rsidR="00370BDE" w:rsidRPr="00EC02CA">
        <w:rPr>
          <w:rStyle w:val="FootnoteReference"/>
        </w:rPr>
        <w:footnoteReference w:id="799"/>
      </w:r>
      <w:r w:rsidR="0004022F" w:rsidRPr="00EC02CA">
        <w:t xml:space="preserve"> </w:t>
      </w:r>
      <w:r w:rsidR="007A5D01" w:rsidRPr="00EC02CA">
        <w:t xml:space="preserve">A further </w:t>
      </w:r>
      <w:r w:rsidR="001D36D7" w:rsidRPr="00EC02CA">
        <w:t xml:space="preserve">question </w:t>
      </w:r>
      <w:r w:rsidR="007A5D01" w:rsidRPr="00EC02CA">
        <w:t>that would need to be addressed</w:t>
      </w:r>
      <w:r w:rsidR="0044004B" w:rsidRPr="00EC02CA">
        <w:t xml:space="preserve"> </w:t>
      </w:r>
      <w:r w:rsidR="0070322F" w:rsidRPr="00EC02CA">
        <w:t>is</w:t>
      </w:r>
      <w:r w:rsidR="00A065F7" w:rsidRPr="00EC02CA">
        <w:t>:</w:t>
      </w:r>
      <w:r w:rsidRPr="00EC02CA">
        <w:t xml:space="preserve"> </w:t>
      </w:r>
      <w:r w:rsidR="007A5D01" w:rsidRPr="00EC02CA">
        <w:t>if</w:t>
      </w:r>
      <w:r w:rsidR="00C03A63" w:rsidRPr="00EC02CA">
        <w:t xml:space="preserve"> offences </w:t>
      </w:r>
      <w:r w:rsidR="007A5D01" w:rsidRPr="00EC02CA">
        <w:t xml:space="preserve">are </w:t>
      </w:r>
      <w:r w:rsidR="00C03A63" w:rsidRPr="00EC02CA">
        <w:t xml:space="preserve">no longer prescribed offences would </w:t>
      </w:r>
      <w:r w:rsidR="0044004B" w:rsidRPr="00EC02CA">
        <w:t>the Youth</w:t>
      </w:r>
      <w:r w:rsidR="00C03A63" w:rsidRPr="00EC02CA">
        <w:t xml:space="preserve"> Justice Division have </w:t>
      </w:r>
      <w:r w:rsidR="00444236" w:rsidRPr="00EC02CA">
        <w:t>jurisdiction</w:t>
      </w:r>
      <w:r w:rsidR="00C03A63" w:rsidRPr="00EC02CA">
        <w:t xml:space="preserve"> to hear </w:t>
      </w:r>
      <w:r w:rsidR="00444236" w:rsidRPr="00EC02CA">
        <w:t>them</w:t>
      </w:r>
      <w:r w:rsidR="00EB4545" w:rsidRPr="00EC02CA">
        <w:t xml:space="preserve"> or would the Supreme Court still have jurisdiction</w:t>
      </w:r>
      <w:r w:rsidR="00A700E6" w:rsidRPr="00EC02CA">
        <w:t>?</w:t>
      </w:r>
      <w:r w:rsidR="00444236" w:rsidRPr="00EC02CA">
        <w:t xml:space="preserve"> </w:t>
      </w:r>
      <w:r w:rsidR="0044004B" w:rsidRPr="00EC02CA">
        <w:t xml:space="preserve">These are </w:t>
      </w:r>
      <w:r w:rsidR="000C05F9" w:rsidRPr="00EC02CA">
        <w:t>matter</w:t>
      </w:r>
      <w:r w:rsidR="0044004B" w:rsidRPr="00EC02CA">
        <w:t>s</w:t>
      </w:r>
      <w:r w:rsidR="000C05F9" w:rsidRPr="00EC02CA">
        <w:t xml:space="preserve"> that would require further consultation</w:t>
      </w:r>
      <w:r w:rsidR="007E6B5E" w:rsidRPr="00EC02CA">
        <w:t xml:space="preserve"> </w:t>
      </w:r>
      <w:r w:rsidR="00EB4545" w:rsidRPr="00EC02CA">
        <w:t>about</w:t>
      </w:r>
      <w:r w:rsidR="007E6B5E" w:rsidRPr="00EC02CA">
        <w:t xml:space="preserve"> </w:t>
      </w:r>
      <w:r w:rsidR="00216093" w:rsidRPr="00EC02CA">
        <w:t xml:space="preserve">the </w:t>
      </w:r>
      <w:r w:rsidR="007E6B5E" w:rsidRPr="00EC02CA">
        <w:t xml:space="preserve">appropriate </w:t>
      </w:r>
      <w:r w:rsidR="007A5D01" w:rsidRPr="00EC02CA">
        <w:t>approach</w:t>
      </w:r>
      <w:r w:rsidR="00065016" w:rsidRPr="00EC02CA">
        <w:t xml:space="preserve"> to take in Tasmania</w:t>
      </w:r>
      <w:r w:rsidR="00C03A63" w:rsidRPr="00EC02CA">
        <w:t>.</w:t>
      </w:r>
    </w:p>
    <w:p w14:paraId="132594C7" w14:textId="39688D7A" w:rsidR="001734BC" w:rsidRPr="00EC02CA" w:rsidRDefault="0029345A" w:rsidP="002F0007">
      <w:pPr>
        <w:pStyle w:val="NormalNumberedTextTLRI"/>
      </w:pPr>
      <w:r w:rsidRPr="00EC02CA">
        <w:t xml:space="preserve">A </w:t>
      </w:r>
      <w:r w:rsidR="00A52443" w:rsidRPr="00EC02CA">
        <w:t>further eligibility criterion</w:t>
      </w:r>
      <w:r w:rsidRPr="00EC02CA">
        <w:t xml:space="preserve"> under the </w:t>
      </w:r>
      <w:r w:rsidRPr="00EC02CA">
        <w:rPr>
          <w:i/>
        </w:rPr>
        <w:t>Youth Justice Act 1997</w:t>
      </w:r>
      <w:r w:rsidRPr="00EC02CA">
        <w:t xml:space="preserve"> (Tas) for diversion to a formal caution or community conference is that the </w:t>
      </w:r>
      <w:r w:rsidR="00CD6A6F" w:rsidRPr="00EC02CA">
        <w:t xml:space="preserve">young person </w:t>
      </w:r>
      <w:r w:rsidR="006E39D0" w:rsidRPr="00EC02CA">
        <w:t xml:space="preserve">must admit </w:t>
      </w:r>
      <w:r w:rsidR="00CC7A24" w:rsidRPr="00EC02CA">
        <w:t xml:space="preserve">to </w:t>
      </w:r>
      <w:r w:rsidR="004465E5" w:rsidRPr="00EC02CA">
        <w:t>the commission of an offence</w:t>
      </w:r>
      <w:r w:rsidR="00EB673B" w:rsidRPr="00EC02CA">
        <w:t>.</w:t>
      </w:r>
      <w:r w:rsidR="00EB673B" w:rsidRPr="00EC02CA">
        <w:rPr>
          <w:rStyle w:val="FootnoteReference"/>
        </w:rPr>
        <w:footnoteReference w:id="800"/>
      </w:r>
      <w:r w:rsidR="00CC7A24" w:rsidRPr="00EC02CA">
        <w:t xml:space="preserve"> </w:t>
      </w:r>
      <w:r w:rsidR="00165C24" w:rsidRPr="00EC02CA">
        <w:t>Th</w:t>
      </w:r>
      <w:r w:rsidR="00A10B98" w:rsidRPr="00EC02CA">
        <w:t xml:space="preserve">e requirement to </w:t>
      </w:r>
      <w:r w:rsidR="008B6568" w:rsidRPr="00EC02CA">
        <w:t xml:space="preserve">admit to an offence </w:t>
      </w:r>
      <w:r w:rsidR="00C17CB1" w:rsidRPr="00EC02CA">
        <w:t>can be</w:t>
      </w:r>
      <w:r w:rsidR="00165C24" w:rsidRPr="00EC02CA">
        <w:t xml:space="preserve"> a barrier to participation in </w:t>
      </w:r>
      <w:r w:rsidR="003278C6" w:rsidRPr="00EC02CA">
        <w:t>diversionary processes.</w:t>
      </w:r>
      <w:r w:rsidR="00B179E9" w:rsidRPr="00EC02CA">
        <w:t xml:space="preserve"> Concerns have also been expressed </w:t>
      </w:r>
      <w:r w:rsidR="008D238E" w:rsidRPr="00EC02CA">
        <w:t xml:space="preserve">that </w:t>
      </w:r>
      <w:r w:rsidR="00D66072" w:rsidRPr="00EC02CA">
        <w:t>it is coercive to require an</w:t>
      </w:r>
      <w:r w:rsidR="008D238E" w:rsidRPr="00EC02CA">
        <w:t xml:space="preserve"> admission </w:t>
      </w:r>
      <w:r w:rsidR="00D66072" w:rsidRPr="00EC02CA">
        <w:t>as</w:t>
      </w:r>
      <w:r w:rsidR="008D238E" w:rsidRPr="00EC02CA">
        <w:t xml:space="preserve"> a prerequisite to participation in a diversionary program,</w:t>
      </w:r>
      <w:r w:rsidR="00BD2ABC" w:rsidRPr="00EC02CA">
        <w:t xml:space="preserve"> </w:t>
      </w:r>
      <w:r w:rsidR="00071D59" w:rsidRPr="00EC02CA">
        <w:t>a</w:t>
      </w:r>
      <w:r w:rsidR="00DD7A3D" w:rsidRPr="00EC02CA">
        <w:t>s ‘</w:t>
      </w:r>
      <w:r w:rsidR="008D238E" w:rsidRPr="00EC02CA">
        <w:t>there is inevitably an inducement to admit responsibility to avoid the uncertainty of a court outcome and to dispose of the matter as quickly as possible</w:t>
      </w:r>
      <w:r w:rsidR="000468BF" w:rsidRPr="00EC02CA">
        <w:t>’</w:t>
      </w:r>
      <w:r w:rsidR="00492834" w:rsidRPr="00EC02CA">
        <w:t>.</w:t>
      </w:r>
      <w:r w:rsidR="000468BF" w:rsidRPr="00EC02CA">
        <w:rPr>
          <w:rStyle w:val="FootnoteReference"/>
        </w:rPr>
        <w:footnoteReference w:id="801"/>
      </w:r>
      <w:r w:rsidR="00CC7A24" w:rsidRPr="00EC02CA">
        <w:t xml:space="preserve"> </w:t>
      </w:r>
      <w:r w:rsidR="001734BC" w:rsidRPr="00EC02CA">
        <w:t>Similarly</w:t>
      </w:r>
      <w:r w:rsidR="000F0C65" w:rsidRPr="00EC02CA">
        <w:t>, Braith</w:t>
      </w:r>
      <w:r w:rsidR="001734BC" w:rsidRPr="00EC02CA">
        <w:t>waite has written that:</w:t>
      </w:r>
    </w:p>
    <w:p w14:paraId="61673538" w14:textId="7B084880" w:rsidR="001734BC" w:rsidRPr="00EC02CA" w:rsidRDefault="003770C1" w:rsidP="001734BC">
      <w:pPr>
        <w:pStyle w:val="Indentedquote"/>
      </w:pPr>
      <w:r w:rsidRPr="00EC02CA">
        <w:t>[C]</w:t>
      </w:r>
      <w:r w:rsidR="001734BC" w:rsidRPr="00EC02CA">
        <w:t>onferences should never proceed in cases where the defendant sees him, or herself, as innocent or blameless … However, justice would be better served if an admission of guilt didn’t have to be extracted from the defendant before a conference proceeded.</w:t>
      </w:r>
      <w:r w:rsidR="001734BC" w:rsidRPr="00EC02CA">
        <w:rPr>
          <w:rStyle w:val="FootnoteReference"/>
        </w:rPr>
        <w:footnoteReference w:id="802"/>
      </w:r>
    </w:p>
    <w:p w14:paraId="5C960BF7" w14:textId="44841E07" w:rsidR="000F0C65" w:rsidRPr="00EC02CA" w:rsidRDefault="00283867" w:rsidP="002F0007">
      <w:pPr>
        <w:pStyle w:val="NormalNumberedTextTLRI"/>
      </w:pPr>
      <w:r w:rsidRPr="00EC02CA">
        <w:t xml:space="preserve">Not all </w:t>
      </w:r>
      <w:r w:rsidR="00FE6B8B" w:rsidRPr="00EC02CA">
        <w:t>jurisdictions</w:t>
      </w:r>
      <w:r w:rsidRPr="00EC02CA">
        <w:t xml:space="preserve"> require an admission of guilt </w:t>
      </w:r>
      <w:r w:rsidR="003D49B8" w:rsidRPr="00EC02CA">
        <w:t xml:space="preserve">in order </w:t>
      </w:r>
      <w:r w:rsidRPr="00EC02CA">
        <w:t>to be eli</w:t>
      </w:r>
      <w:r w:rsidR="00400A1F" w:rsidRPr="00EC02CA">
        <w:t>gible for a police caution</w:t>
      </w:r>
      <w:r w:rsidR="00FF224C" w:rsidRPr="00EC02CA">
        <w:t xml:space="preserve"> and/or participation in a restorative justice process</w:t>
      </w:r>
      <w:r w:rsidR="00425C7F" w:rsidRPr="00EC02CA">
        <w:t>.</w:t>
      </w:r>
      <w:r w:rsidR="00400A1F" w:rsidRPr="00EC02CA">
        <w:t xml:space="preserve"> For example, in </w:t>
      </w:r>
      <w:r w:rsidR="00B95C82" w:rsidRPr="00EC02CA">
        <w:t xml:space="preserve">the Australian Capital Territory, the young person must not deny responsibility for the commission of the offence (rather than admit responsibility) to be eligible for a restorative justice conference. </w:t>
      </w:r>
      <w:r w:rsidR="0062642B" w:rsidRPr="00EC02CA">
        <w:t>Similarly, in the Northern Territory</w:t>
      </w:r>
      <w:r w:rsidR="003D49B8" w:rsidRPr="00EC02CA">
        <w:t>,</w:t>
      </w:r>
      <w:r w:rsidR="0062642B" w:rsidRPr="00EC02CA">
        <w:t xml:space="preserve"> the young person must </w:t>
      </w:r>
      <w:r w:rsidR="001E6328" w:rsidRPr="00EC02CA">
        <w:t xml:space="preserve">not </w:t>
      </w:r>
      <w:r w:rsidR="0062642B" w:rsidRPr="00EC02CA">
        <w:t xml:space="preserve">deny a role in the behaviour. </w:t>
      </w:r>
      <w:r w:rsidR="00FF224C" w:rsidRPr="00EC02CA">
        <w:t xml:space="preserve">This may be viewed as </w:t>
      </w:r>
      <w:r w:rsidR="002C25D5" w:rsidRPr="00EC02CA">
        <w:t>conflicting</w:t>
      </w:r>
      <w:r w:rsidR="00FF224C" w:rsidRPr="00EC02CA">
        <w:t xml:space="preserve"> with the central principles of restorative justice</w:t>
      </w:r>
      <w:r w:rsidR="002C25D5" w:rsidRPr="00EC02CA">
        <w:t>, which rest o</w:t>
      </w:r>
      <w:r w:rsidR="003D49B8" w:rsidRPr="00EC02CA">
        <w:t>n</w:t>
      </w:r>
      <w:r w:rsidR="002C25D5" w:rsidRPr="00EC02CA">
        <w:t xml:space="preserve"> the person being </w:t>
      </w:r>
      <w:r w:rsidR="00E9676C" w:rsidRPr="00EC02CA">
        <w:t>accountab</w:t>
      </w:r>
      <w:r w:rsidR="002C25D5" w:rsidRPr="00EC02CA">
        <w:t>le</w:t>
      </w:r>
      <w:r w:rsidR="0014070C" w:rsidRPr="00EC02CA">
        <w:t xml:space="preserve"> for the harm caused by accepting </w:t>
      </w:r>
      <w:r w:rsidR="00E9676C" w:rsidRPr="00EC02CA">
        <w:t>responsibility</w:t>
      </w:r>
      <w:r w:rsidR="00701EA5" w:rsidRPr="00EC02CA">
        <w:t>.</w:t>
      </w:r>
      <w:r w:rsidR="0014070C" w:rsidRPr="00EC02CA">
        <w:rPr>
          <w:rStyle w:val="FootnoteReference"/>
        </w:rPr>
        <w:footnoteReference w:id="803"/>
      </w:r>
      <w:r w:rsidR="003D49B8" w:rsidRPr="00EC02CA">
        <w:t xml:space="preserve"> </w:t>
      </w:r>
      <w:r w:rsidR="00F61F80" w:rsidRPr="00EC02CA">
        <w:t xml:space="preserve">A different </w:t>
      </w:r>
      <w:r w:rsidR="007C347A" w:rsidRPr="00EC02CA">
        <w:t>approach</w:t>
      </w:r>
      <w:r w:rsidR="00F61F80" w:rsidRPr="00EC02CA">
        <w:t xml:space="preserve"> </w:t>
      </w:r>
      <w:r w:rsidR="00445AFD" w:rsidRPr="00EC02CA">
        <w:t>that could be</w:t>
      </w:r>
      <w:r w:rsidR="00F61F80" w:rsidRPr="00EC02CA">
        <w:t xml:space="preserve"> taken </w:t>
      </w:r>
      <w:r w:rsidR="00445AFD" w:rsidRPr="00EC02CA">
        <w:t xml:space="preserve">is seen in </w:t>
      </w:r>
      <w:r w:rsidR="00F61F80" w:rsidRPr="00EC02CA">
        <w:t>New Sout</w:t>
      </w:r>
      <w:r w:rsidR="006860ED" w:rsidRPr="00EC02CA">
        <w:t xml:space="preserve">h Wales, where a young person must </w:t>
      </w:r>
      <w:r w:rsidR="007C347A" w:rsidRPr="00EC02CA">
        <w:t>admit</w:t>
      </w:r>
      <w:r w:rsidR="006860ED" w:rsidRPr="00EC02CA">
        <w:t xml:space="preserve"> to the offence </w:t>
      </w:r>
      <w:r w:rsidR="007C347A" w:rsidRPr="00EC02CA">
        <w:t>to be eligible for a police caution or a youth justice conference</w:t>
      </w:r>
      <w:r w:rsidR="001473A2" w:rsidRPr="00EC02CA">
        <w:t>,</w:t>
      </w:r>
      <w:r w:rsidR="007C347A" w:rsidRPr="00EC02CA">
        <w:t xml:space="preserve"> </w:t>
      </w:r>
      <w:r w:rsidR="006860ED" w:rsidRPr="00EC02CA">
        <w:t xml:space="preserve">but </w:t>
      </w:r>
      <w:r w:rsidR="007C347A" w:rsidRPr="00EC02CA">
        <w:t xml:space="preserve">this is </w:t>
      </w:r>
      <w:r w:rsidR="00AF5FD2" w:rsidRPr="00EC02CA">
        <w:t>considered to be a ‘</w:t>
      </w:r>
      <w:r w:rsidR="006860ED" w:rsidRPr="00EC02CA">
        <w:t>protected admission</w:t>
      </w:r>
      <w:r w:rsidR="00AF5FD2" w:rsidRPr="00EC02CA">
        <w:t>’</w:t>
      </w:r>
      <w:r w:rsidR="003D49B8" w:rsidRPr="00EC02CA">
        <w:t>,</w:t>
      </w:r>
      <w:r w:rsidR="006D58E9" w:rsidRPr="00EC02CA">
        <w:t xml:space="preserve"> meaning</w:t>
      </w:r>
      <w:r w:rsidR="006860ED" w:rsidRPr="00EC02CA">
        <w:t xml:space="preserve"> that </w:t>
      </w:r>
      <w:r w:rsidR="0088341F" w:rsidRPr="00EC02CA">
        <w:t xml:space="preserve">prosecutors </w:t>
      </w:r>
      <w:r w:rsidR="007C347A" w:rsidRPr="00EC02CA">
        <w:t xml:space="preserve">cannot use anything said during the </w:t>
      </w:r>
      <w:r w:rsidR="00756EAD" w:rsidRPr="00EC02CA">
        <w:t xml:space="preserve">police </w:t>
      </w:r>
      <w:r w:rsidR="007C347A" w:rsidRPr="00EC02CA">
        <w:t xml:space="preserve">interview </w:t>
      </w:r>
      <w:r w:rsidR="006D58E9" w:rsidRPr="00EC02CA">
        <w:t>in any criminal proceedings.</w:t>
      </w:r>
      <w:r w:rsidR="006D58E9" w:rsidRPr="00EC02CA">
        <w:rPr>
          <w:rStyle w:val="FootnoteReference"/>
        </w:rPr>
        <w:footnoteReference w:id="804"/>
      </w:r>
      <w:r w:rsidR="00AA65CB" w:rsidRPr="00EC02CA">
        <w:t xml:space="preserve"> </w:t>
      </w:r>
      <w:r w:rsidR="00FA45E7" w:rsidRPr="00EC02CA">
        <w:t xml:space="preserve">In Western </w:t>
      </w:r>
      <w:r w:rsidR="004737A1" w:rsidRPr="00EC02CA">
        <w:t>Australia</w:t>
      </w:r>
      <w:r w:rsidR="00FA45E7" w:rsidRPr="00EC02CA">
        <w:t xml:space="preserve">, </w:t>
      </w:r>
      <w:r w:rsidR="003E1438" w:rsidRPr="00EC02CA">
        <w:t xml:space="preserve">there are provisions that require a young person to accept </w:t>
      </w:r>
      <w:r w:rsidR="004737A1" w:rsidRPr="00EC02CA">
        <w:t>responsibility</w:t>
      </w:r>
      <w:r w:rsidR="00AF5FD2" w:rsidRPr="00EC02CA">
        <w:t xml:space="preserve"> for the offence</w:t>
      </w:r>
      <w:r w:rsidR="003E1438" w:rsidRPr="00EC02CA">
        <w:t xml:space="preserve">, but </w:t>
      </w:r>
      <w:r w:rsidR="004737A1" w:rsidRPr="00EC02CA">
        <w:t>this is not to be construed as an admission or otherwise used in evidence against the young person.</w:t>
      </w:r>
      <w:r w:rsidR="004737A1" w:rsidRPr="00EC02CA">
        <w:rPr>
          <w:rStyle w:val="FootnoteReference"/>
        </w:rPr>
        <w:footnoteReference w:id="805"/>
      </w:r>
      <w:r w:rsidR="00AA65CB" w:rsidRPr="00EC02CA">
        <w:t xml:space="preserve"> </w:t>
      </w:r>
      <w:r w:rsidR="009A2D4A" w:rsidRPr="00EC02CA">
        <w:t>Reflecting</w:t>
      </w:r>
      <w:r w:rsidR="00AF5FD2" w:rsidRPr="00EC02CA">
        <w:t xml:space="preserve"> the view that </w:t>
      </w:r>
      <w:r w:rsidR="009A2D4A" w:rsidRPr="00EC02CA">
        <w:t xml:space="preserve">consideration should be given to expanding the availability of diversionary procedures, the </w:t>
      </w:r>
      <w:r w:rsidR="00BE4968" w:rsidRPr="00EC02CA">
        <w:t xml:space="preserve">TLRI’s view </w:t>
      </w:r>
      <w:r w:rsidR="003D49B8" w:rsidRPr="00EC02CA">
        <w:t xml:space="preserve">is that </w:t>
      </w:r>
      <w:r w:rsidR="00BE4968" w:rsidRPr="00EC02CA">
        <w:t>the eligibility criteria for pre-plea diversionary processes</w:t>
      </w:r>
      <w:r w:rsidR="00FE1958" w:rsidRPr="00EC02CA">
        <w:t xml:space="preserve"> </w:t>
      </w:r>
      <w:r w:rsidR="000F488D" w:rsidRPr="00EC02CA">
        <w:t xml:space="preserve">(both formal cautions and community conferences) </w:t>
      </w:r>
      <w:r w:rsidR="00924D95" w:rsidRPr="00EC02CA">
        <w:t>relating to</w:t>
      </w:r>
      <w:r w:rsidR="00FE1958" w:rsidRPr="00EC02CA">
        <w:t xml:space="preserve"> the requirement that the youth admit to the commission of the offence</w:t>
      </w:r>
      <w:r w:rsidR="009A2D4A" w:rsidRPr="00EC02CA">
        <w:t xml:space="preserve"> should be reviewed</w:t>
      </w:r>
      <w:r w:rsidR="003D49B8" w:rsidRPr="00EC02CA">
        <w:t>,</w:t>
      </w:r>
      <w:r w:rsidR="00770ACE" w:rsidRPr="00EC02CA">
        <w:t xml:space="preserve"> and </w:t>
      </w:r>
      <w:r w:rsidR="003D49B8" w:rsidRPr="00EC02CA">
        <w:t xml:space="preserve">that </w:t>
      </w:r>
      <w:r w:rsidR="00770ACE" w:rsidRPr="00EC02CA">
        <w:t>this</w:t>
      </w:r>
      <w:r w:rsidR="00CE2AF7" w:rsidRPr="00EC02CA">
        <w:t xml:space="preserve"> is a matter on which consultation is required</w:t>
      </w:r>
      <w:r w:rsidR="003E2752" w:rsidRPr="00EC02CA">
        <w:t>.</w:t>
      </w:r>
      <w:r w:rsidR="001429DF" w:rsidRPr="00EC02CA">
        <w:t xml:space="preserve"> </w:t>
      </w:r>
    </w:p>
    <w:p w14:paraId="46F7FEE4" w14:textId="25B2EF60" w:rsidR="006678D6" w:rsidRPr="00EC02CA" w:rsidRDefault="006678D6" w:rsidP="00ED2E47">
      <w:pPr>
        <w:pStyle w:val="Sub-HeadingTLRI"/>
      </w:pPr>
      <w:bookmarkStart w:id="394" w:name="_Toc211849445"/>
      <w:bookmarkStart w:id="395" w:name="_Toc218157347"/>
      <w:r w:rsidRPr="00EC02CA">
        <w:t>Formal cautions</w:t>
      </w:r>
      <w:bookmarkEnd w:id="394"/>
      <w:bookmarkEnd w:id="395"/>
    </w:p>
    <w:p w14:paraId="0E9B52B7" w14:textId="092B1ADD" w:rsidR="00436C49" w:rsidRPr="00EC02CA" w:rsidRDefault="008B258C" w:rsidP="002F0007">
      <w:pPr>
        <w:pStyle w:val="NormalNumberedTextTLRI"/>
      </w:pPr>
      <w:r w:rsidRPr="00EC02CA">
        <w:t>The TLRI’s view is tha</w:t>
      </w:r>
      <w:r w:rsidR="00692D6D" w:rsidRPr="00EC02CA">
        <w:t>t</w:t>
      </w:r>
      <w:r w:rsidR="0034052D" w:rsidRPr="00EC02CA">
        <w:t xml:space="preserve"> </w:t>
      </w:r>
      <w:r w:rsidR="003116E2" w:rsidRPr="00EC02CA">
        <w:t xml:space="preserve">reforms are required to the formal caution process under the </w:t>
      </w:r>
      <w:r w:rsidR="003116E2" w:rsidRPr="00EC02CA">
        <w:rPr>
          <w:i/>
        </w:rPr>
        <w:t xml:space="preserve">Youth Justice Act 1997 </w:t>
      </w:r>
      <w:r w:rsidR="003116E2" w:rsidRPr="00EC02CA">
        <w:t xml:space="preserve">(Tas) to make it better suited for use </w:t>
      </w:r>
      <w:r w:rsidR="0047254D" w:rsidRPr="00EC02CA">
        <w:t xml:space="preserve">as a </w:t>
      </w:r>
      <w:r w:rsidR="003116E2" w:rsidRPr="00EC02CA">
        <w:t xml:space="preserve">response to sexual offending </w:t>
      </w:r>
      <w:r w:rsidR="00493F4F" w:rsidRPr="00EC02CA">
        <w:t xml:space="preserve">by young people. </w:t>
      </w:r>
      <w:r w:rsidR="00A63623" w:rsidRPr="00EC02CA">
        <w:t>A</w:t>
      </w:r>
      <w:r w:rsidR="00493F4F" w:rsidRPr="00EC02CA">
        <w:t xml:space="preserve">s the </w:t>
      </w:r>
      <w:r w:rsidR="00BF5115" w:rsidRPr="00EC02CA">
        <w:t xml:space="preserve">TLRI </w:t>
      </w:r>
      <w:r w:rsidR="00C30398" w:rsidRPr="00EC02CA">
        <w:t xml:space="preserve">has observed, </w:t>
      </w:r>
      <w:r w:rsidR="00BE4850" w:rsidRPr="00EC02CA">
        <w:t>the</w:t>
      </w:r>
      <w:r w:rsidR="00831BD4" w:rsidRPr="00EC02CA">
        <w:t xml:space="preserve">re are two </w:t>
      </w:r>
      <w:r w:rsidR="000B5957" w:rsidRPr="00EC02CA">
        <w:t>u</w:t>
      </w:r>
      <w:r w:rsidR="006B24D6" w:rsidRPr="00EC02CA">
        <w:t>n</w:t>
      </w:r>
      <w:r w:rsidR="000B5957" w:rsidRPr="00EC02CA">
        <w:t xml:space="preserve">usual </w:t>
      </w:r>
      <w:r w:rsidR="00831BD4" w:rsidRPr="00EC02CA">
        <w:t>features of the formal caution process</w:t>
      </w:r>
      <w:r w:rsidR="00493F4F" w:rsidRPr="00EC02CA">
        <w:t xml:space="preserve"> in Tasmania:</w:t>
      </w:r>
      <w:r w:rsidR="00831BD4" w:rsidRPr="00EC02CA">
        <w:t xml:space="preserve"> </w:t>
      </w:r>
      <w:r w:rsidR="00A50EDD" w:rsidRPr="00EC02CA">
        <w:t xml:space="preserve">(1) </w:t>
      </w:r>
      <w:r w:rsidR="006B24D6" w:rsidRPr="00EC02CA">
        <w:t xml:space="preserve">the powers given to police </w:t>
      </w:r>
      <w:r w:rsidR="005920EB" w:rsidRPr="00EC02CA">
        <w:t>at a formal caution</w:t>
      </w:r>
      <w:r w:rsidR="00557E77" w:rsidRPr="00EC02CA">
        <w:t>;</w:t>
      </w:r>
      <w:r w:rsidR="005920EB" w:rsidRPr="00EC02CA">
        <w:t xml:space="preserve"> </w:t>
      </w:r>
      <w:r w:rsidR="006B24D6" w:rsidRPr="00EC02CA">
        <w:t xml:space="preserve">and </w:t>
      </w:r>
      <w:r w:rsidR="00A50EDD" w:rsidRPr="00EC02CA">
        <w:t xml:space="preserve">(2) </w:t>
      </w:r>
      <w:r w:rsidR="006B24D6" w:rsidRPr="00EC02CA">
        <w:t xml:space="preserve">the involvement of </w:t>
      </w:r>
      <w:r w:rsidR="00A50EDD" w:rsidRPr="00EC02CA">
        <w:t>victims.</w:t>
      </w:r>
      <w:r w:rsidR="004F1B44" w:rsidRPr="00EC02CA">
        <w:t xml:space="preserve"> </w:t>
      </w:r>
      <w:r w:rsidR="00326D32" w:rsidRPr="00EC02CA">
        <w:t xml:space="preserve">This creates </w:t>
      </w:r>
      <w:r w:rsidR="007A0337" w:rsidRPr="00EC02CA">
        <w:t>an undesirable and</w:t>
      </w:r>
      <w:r w:rsidR="00326D32" w:rsidRPr="00EC02CA">
        <w:t xml:space="preserve"> complicating </w:t>
      </w:r>
      <w:r w:rsidR="00272342" w:rsidRPr="00EC02CA">
        <w:t xml:space="preserve">situation </w:t>
      </w:r>
      <w:r w:rsidR="00557E77" w:rsidRPr="00EC02CA">
        <w:t xml:space="preserve">whereby </w:t>
      </w:r>
      <w:r w:rsidR="004F1B44" w:rsidRPr="00EC02CA">
        <w:t>police</w:t>
      </w:r>
      <w:r w:rsidR="00231C97" w:rsidRPr="00EC02CA">
        <w:t xml:space="preserve"> may</w:t>
      </w:r>
      <w:r w:rsidR="004F1B44" w:rsidRPr="00EC02CA">
        <w:t xml:space="preserve"> conduct</w:t>
      </w:r>
      <w:r w:rsidR="00326D32" w:rsidRPr="00EC02CA">
        <w:t xml:space="preserve"> </w:t>
      </w:r>
      <w:r w:rsidR="004F1B44" w:rsidRPr="00EC02CA">
        <w:t>formal caution</w:t>
      </w:r>
      <w:r w:rsidR="00231C97" w:rsidRPr="00EC02CA">
        <w:t>s</w:t>
      </w:r>
      <w:r w:rsidR="004F1B44" w:rsidRPr="00EC02CA">
        <w:t xml:space="preserve"> </w:t>
      </w:r>
      <w:r w:rsidR="00231C97" w:rsidRPr="00EC02CA">
        <w:t>as</w:t>
      </w:r>
      <w:r w:rsidR="00326D32" w:rsidRPr="00EC02CA">
        <w:t xml:space="preserve"> </w:t>
      </w:r>
      <w:r w:rsidR="004F1B44" w:rsidRPr="00EC02CA">
        <w:t>conferences</w:t>
      </w:r>
      <w:r w:rsidR="006F16E1" w:rsidRPr="00EC02CA">
        <w:t xml:space="preserve">, </w:t>
      </w:r>
      <w:r w:rsidR="00272342" w:rsidRPr="00EC02CA">
        <w:t>and so</w:t>
      </w:r>
      <w:r w:rsidR="004F1B44" w:rsidRPr="00EC02CA">
        <w:t xml:space="preserve"> </w:t>
      </w:r>
      <w:r w:rsidR="00231C97" w:rsidRPr="00EC02CA">
        <w:t xml:space="preserve">there are </w:t>
      </w:r>
      <w:r w:rsidR="004F1B44" w:rsidRPr="00EC02CA">
        <w:t>two conferencing systems opera</w:t>
      </w:r>
      <w:r w:rsidR="00272342" w:rsidRPr="00EC02CA">
        <w:t>t</w:t>
      </w:r>
      <w:r w:rsidR="00557E77" w:rsidRPr="00EC02CA">
        <w:t>ing</w:t>
      </w:r>
      <w:r w:rsidR="004F1B44" w:rsidRPr="00EC02CA">
        <w:t xml:space="preserve"> side by side</w:t>
      </w:r>
      <w:r w:rsidR="00557E77" w:rsidRPr="00EC02CA">
        <w:t xml:space="preserve"> –</w:t>
      </w:r>
      <w:r w:rsidR="004F1B44" w:rsidRPr="00EC02CA">
        <w:t xml:space="preserve"> one operated by the police and the other </w:t>
      </w:r>
      <w:r w:rsidR="00326D32" w:rsidRPr="00EC02CA">
        <w:t xml:space="preserve">by </w:t>
      </w:r>
      <w:r w:rsidR="004F1B44" w:rsidRPr="00EC02CA">
        <w:t>DECYP</w:t>
      </w:r>
      <w:r w:rsidR="00326D32" w:rsidRPr="00EC02CA">
        <w:t>.</w:t>
      </w:r>
      <w:r w:rsidR="006F16E1" w:rsidRPr="00EC02CA">
        <w:t xml:space="preserve"> </w:t>
      </w:r>
      <w:r w:rsidR="00985586" w:rsidRPr="00EC02CA">
        <w:t xml:space="preserve">As noted at </w:t>
      </w:r>
      <w:r w:rsidR="00314A8E" w:rsidRPr="00EC02CA">
        <w:t>[</w:t>
      </w:r>
      <w:r w:rsidR="00924EB3" w:rsidRPr="00EC02CA">
        <w:fldChar w:fldCharType="begin"/>
      </w:r>
      <w:r w:rsidR="00924EB3" w:rsidRPr="00EC02CA">
        <w:instrText xml:space="preserve"> REF _Ref218241681 \r \h </w:instrText>
      </w:r>
      <w:r w:rsidR="00924EB3" w:rsidRPr="00EC02CA">
        <w:fldChar w:fldCharType="separate"/>
      </w:r>
      <w:r w:rsidR="007D7830">
        <w:t>5.6</w:t>
      </w:r>
      <w:r w:rsidR="00924EB3" w:rsidRPr="00EC02CA">
        <w:fldChar w:fldCharType="end"/>
      </w:r>
      <w:r w:rsidR="00314A8E" w:rsidRPr="00EC02CA">
        <w:t>]</w:t>
      </w:r>
      <w:r w:rsidR="00985586" w:rsidRPr="00EC02CA">
        <w:t xml:space="preserve">, this does not occur in other Australian jurisdictions, where the formal caution process is </w:t>
      </w:r>
      <w:r w:rsidR="00124FBE" w:rsidRPr="00EC02CA">
        <w:t>part of a hierarchy of responses</w:t>
      </w:r>
      <w:r w:rsidR="00557E77" w:rsidRPr="00EC02CA">
        <w:t xml:space="preserve"> and</w:t>
      </w:r>
      <w:r w:rsidR="00124FBE" w:rsidRPr="00EC02CA">
        <w:t xml:space="preserve"> </w:t>
      </w:r>
      <w:r w:rsidR="00985586" w:rsidRPr="00EC02CA">
        <w:t xml:space="preserve">distinct from community conferences. It is the TLRI’s view that this should also be the </w:t>
      </w:r>
      <w:r w:rsidR="00557E77" w:rsidRPr="00EC02CA">
        <w:t xml:space="preserve">approach taken </w:t>
      </w:r>
      <w:r w:rsidR="00985586" w:rsidRPr="00EC02CA">
        <w:t>in Tasmania</w:t>
      </w:r>
      <w:r w:rsidR="00EA4ADB" w:rsidRPr="00EC02CA">
        <w:t>,</w:t>
      </w:r>
      <w:r w:rsidR="00124FBE" w:rsidRPr="00EC02CA">
        <w:t xml:space="preserve"> allow</w:t>
      </w:r>
      <w:r w:rsidR="00557E77" w:rsidRPr="00EC02CA">
        <w:t>ing</w:t>
      </w:r>
      <w:r w:rsidR="00124FBE" w:rsidRPr="00EC02CA">
        <w:t xml:space="preserve"> for tiered </w:t>
      </w:r>
      <w:r w:rsidR="00904829" w:rsidRPr="00EC02CA">
        <w:t xml:space="preserve">diversionary </w:t>
      </w:r>
      <w:r w:rsidR="00124FBE" w:rsidRPr="00EC02CA">
        <w:t>response</w:t>
      </w:r>
      <w:r w:rsidR="00904829" w:rsidRPr="00EC02CA">
        <w:t>s proportionate</w:t>
      </w:r>
      <w:r w:rsidR="00EA4ADB" w:rsidRPr="00EC02CA">
        <w:t xml:space="preserve"> to</w:t>
      </w:r>
      <w:r w:rsidR="00904829" w:rsidRPr="00EC02CA">
        <w:t xml:space="preserve"> the circumstances of the individual case</w:t>
      </w:r>
      <w:r w:rsidR="00985586" w:rsidRPr="00EC02CA">
        <w:t xml:space="preserve">. </w:t>
      </w:r>
    </w:p>
    <w:p w14:paraId="080A17F3" w14:textId="7E4FDA9D" w:rsidR="0047254D" w:rsidRPr="00EC02CA" w:rsidRDefault="00436C49" w:rsidP="002F0007">
      <w:pPr>
        <w:pStyle w:val="NormalNumberedTextTLRI"/>
      </w:pPr>
      <w:r w:rsidRPr="00EC02CA">
        <w:t>Typically, the purpose of the caution is to explain to the offender the possible consequences of future offending behaviour. In most jurisdictions</w:t>
      </w:r>
      <w:r w:rsidR="00F56244" w:rsidRPr="00EC02CA">
        <w:t>,</w:t>
      </w:r>
      <w:r w:rsidRPr="00EC02CA">
        <w:t xml:space="preserve"> formal cautions are relatively simple processes involving a police officer, the young offender and an adult. This process reflects the model used by the AFP for online offending in Tasmania, which was identified in the interviews as an efficient and effective process to respond to </w:t>
      </w:r>
      <w:r w:rsidR="00314A8E" w:rsidRPr="00EC02CA">
        <w:t xml:space="preserve">online </w:t>
      </w:r>
      <w:r w:rsidRPr="00EC02CA">
        <w:t>sexual offending by young people</w:t>
      </w:r>
      <w:r w:rsidR="00EE11F0" w:rsidRPr="00EC02CA">
        <w:t>.</w:t>
      </w:r>
      <w:r w:rsidR="0047254D" w:rsidRPr="00EC02CA">
        <w:rPr>
          <w:rFonts w:eastAsia="Times New Roman"/>
          <w:sz w:val="24"/>
          <w:lang w:eastAsia="en-AU"/>
        </w:rPr>
        <w:t xml:space="preserve"> </w:t>
      </w:r>
      <w:r w:rsidR="0047254D" w:rsidRPr="00EC02CA">
        <w:t xml:space="preserve">In this model, the caution is administered at the young person’s residence rather than at a police station, and does not involve the </w:t>
      </w:r>
      <w:r w:rsidR="00886B70" w:rsidRPr="00EC02CA">
        <w:t>victim-survivor</w:t>
      </w:r>
      <w:r w:rsidR="0047254D" w:rsidRPr="00EC02CA">
        <w:t>. Its objective is to deliver a timely intervention that emphasises the seriousness of the conduct and the implications of continued offending. The caution serves an educative function, helping the young person understand the gravity of their actions.</w:t>
      </w:r>
    </w:p>
    <w:p w14:paraId="06458126" w14:textId="0C17E5CF" w:rsidR="0047254D" w:rsidRPr="00EC02CA" w:rsidRDefault="0047254D" w:rsidP="002F0007">
      <w:pPr>
        <w:pStyle w:val="NormalNumberedTextTLRI"/>
      </w:pPr>
      <w:r w:rsidRPr="00EC02CA">
        <w:t xml:space="preserve">Additionally, the process provides an opportunity for police to assess whether the young person may benefit from therapeutic support, and to facilitate access to services such as the PAST program. The </w:t>
      </w:r>
      <w:r w:rsidR="001C6D66" w:rsidRPr="00EC02CA">
        <w:t>TLRI</w:t>
      </w:r>
      <w:r w:rsidRPr="00EC02CA">
        <w:t xml:space="preserve"> considers this model to offer a more appropriate police response than that currently provided under the </w:t>
      </w:r>
      <w:r w:rsidRPr="00EC02CA">
        <w:rPr>
          <w:i/>
        </w:rPr>
        <w:t xml:space="preserve">Youth Justice Act 1997 </w:t>
      </w:r>
      <w:r w:rsidRPr="00EC02CA">
        <w:t>(Tas). The TLRI further notes that the AFP/JACET model operates in other Australian jurisdictions, and recommends further research into its effectiveness in responding to online sexual offences committed by young people. Such research could inform the development of a revised approach to police cautions in Tasmania and potentially in other jurisdictions.</w:t>
      </w:r>
    </w:p>
    <w:p w14:paraId="306139C4" w14:textId="44A7DF86" w:rsidR="0010155C" w:rsidRPr="00EC02CA" w:rsidRDefault="00E55E5A" w:rsidP="002F0007">
      <w:pPr>
        <w:pStyle w:val="NormalNumberedTextTLRI"/>
      </w:pPr>
      <w:r w:rsidRPr="00EC02CA">
        <w:t>Although</w:t>
      </w:r>
      <w:r w:rsidR="009813E8" w:rsidRPr="00EC02CA">
        <w:t xml:space="preserve"> the TLRI has </w:t>
      </w:r>
      <w:r w:rsidR="00AB3588" w:rsidRPr="00EC02CA">
        <w:t xml:space="preserve">broader </w:t>
      </w:r>
      <w:r w:rsidR="009813E8" w:rsidRPr="00EC02CA">
        <w:t xml:space="preserve">concerns </w:t>
      </w:r>
      <w:r w:rsidR="00AB3588" w:rsidRPr="00EC02CA">
        <w:t>regarding</w:t>
      </w:r>
      <w:r w:rsidR="009813E8" w:rsidRPr="00EC02CA">
        <w:t xml:space="preserve"> </w:t>
      </w:r>
      <w:r w:rsidR="006D2BE6" w:rsidRPr="00EC02CA">
        <w:t xml:space="preserve">the </w:t>
      </w:r>
      <w:r w:rsidR="005E52CE" w:rsidRPr="00EC02CA">
        <w:t xml:space="preserve">current </w:t>
      </w:r>
      <w:r w:rsidR="006D2BE6" w:rsidRPr="00EC02CA">
        <w:t xml:space="preserve">formal cautioning </w:t>
      </w:r>
      <w:r w:rsidRPr="00EC02CA">
        <w:t>for</w:t>
      </w:r>
      <w:r w:rsidR="009813E8" w:rsidRPr="00EC02CA">
        <w:t xml:space="preserve"> </w:t>
      </w:r>
      <w:r w:rsidRPr="00EC02CA">
        <w:t>youth offending</w:t>
      </w:r>
      <w:r w:rsidR="009813E8" w:rsidRPr="00EC02CA">
        <w:t>,</w:t>
      </w:r>
      <w:r w:rsidR="005E52CE" w:rsidRPr="00EC02CA">
        <w:t xml:space="preserve"> in the context of this </w:t>
      </w:r>
      <w:r w:rsidR="00EA4ADB" w:rsidRPr="00EC02CA">
        <w:t>R</w:t>
      </w:r>
      <w:r w:rsidR="005E52CE" w:rsidRPr="00EC02CA">
        <w:t>esearch Paper,</w:t>
      </w:r>
      <w:r w:rsidRPr="00EC02CA">
        <w:t xml:space="preserve"> it </w:t>
      </w:r>
      <w:r w:rsidR="00282961" w:rsidRPr="00EC02CA">
        <w:t>specifically</w:t>
      </w:r>
      <w:r w:rsidRPr="00EC02CA">
        <w:t xml:space="preserve"> considers police-led conferences to be un</w:t>
      </w:r>
      <w:r w:rsidR="00282961" w:rsidRPr="00EC02CA">
        <w:t>suitable</w:t>
      </w:r>
      <w:r w:rsidRPr="00EC02CA">
        <w:t xml:space="preserve"> for addressing sexual violence</w:t>
      </w:r>
      <w:r w:rsidR="00A70317" w:rsidRPr="00EC02CA">
        <w:t xml:space="preserve">. The </w:t>
      </w:r>
      <w:r w:rsidR="00282961" w:rsidRPr="00EC02CA">
        <w:t>involvement</w:t>
      </w:r>
      <w:r w:rsidR="00A70317" w:rsidRPr="00EC02CA">
        <w:t xml:space="preserve"> of </w:t>
      </w:r>
      <w:r w:rsidR="00282961" w:rsidRPr="00EC02CA">
        <w:t>victim</w:t>
      </w:r>
      <w:r w:rsidR="004D63B7" w:rsidRPr="00EC02CA">
        <w:t>-survivor</w:t>
      </w:r>
      <w:r w:rsidR="00282961" w:rsidRPr="00EC02CA">
        <w:t>s</w:t>
      </w:r>
      <w:r w:rsidR="00A70317" w:rsidRPr="00EC02CA">
        <w:t xml:space="preserve"> in such a process presents </w:t>
      </w:r>
      <w:r w:rsidR="00282961" w:rsidRPr="00EC02CA">
        <w:t>significant</w:t>
      </w:r>
      <w:r w:rsidR="00A70317" w:rsidRPr="00EC02CA">
        <w:t xml:space="preserve"> risk</w:t>
      </w:r>
      <w:r w:rsidR="00A13660" w:rsidRPr="00EC02CA">
        <w:t>s</w:t>
      </w:r>
      <w:r w:rsidR="00A70317" w:rsidRPr="00EC02CA">
        <w:t xml:space="preserve">. As acknowledged in </w:t>
      </w:r>
      <w:r w:rsidR="004D63B7" w:rsidRPr="00EC02CA">
        <w:t xml:space="preserve">the </w:t>
      </w:r>
      <w:r w:rsidR="00A70317" w:rsidRPr="00EC02CA">
        <w:t xml:space="preserve">existing </w:t>
      </w:r>
      <w:r w:rsidR="00A13660" w:rsidRPr="00EC02CA">
        <w:t>literature</w:t>
      </w:r>
      <w:r w:rsidR="00A70317" w:rsidRPr="00EC02CA">
        <w:t xml:space="preserve"> and practice, </w:t>
      </w:r>
      <w:r w:rsidR="00886B70" w:rsidRPr="00EC02CA">
        <w:t>victim-survivor</w:t>
      </w:r>
      <w:r w:rsidR="000C53B4" w:rsidRPr="00EC02CA">
        <w:t xml:space="preserve"> </w:t>
      </w:r>
      <w:r w:rsidR="00A13660" w:rsidRPr="00EC02CA">
        <w:t>participation</w:t>
      </w:r>
      <w:r w:rsidR="00A70317" w:rsidRPr="00EC02CA">
        <w:t xml:space="preserve"> in </w:t>
      </w:r>
      <w:r w:rsidR="00A13660" w:rsidRPr="00EC02CA">
        <w:t>diversion</w:t>
      </w:r>
      <w:r w:rsidR="004D63B7" w:rsidRPr="00EC02CA">
        <w:t>ary</w:t>
      </w:r>
      <w:r w:rsidR="00A70317" w:rsidRPr="00EC02CA">
        <w:t xml:space="preserve"> </w:t>
      </w:r>
      <w:r w:rsidR="00A13660" w:rsidRPr="00EC02CA">
        <w:t>responses</w:t>
      </w:r>
      <w:r w:rsidR="00A70317" w:rsidRPr="00EC02CA">
        <w:t xml:space="preserve"> to sexual </w:t>
      </w:r>
      <w:r w:rsidR="00282961" w:rsidRPr="00EC02CA">
        <w:t xml:space="preserve">offending requires </w:t>
      </w:r>
      <w:r w:rsidR="00A13660" w:rsidRPr="00EC02CA">
        <w:t xml:space="preserve">robust </w:t>
      </w:r>
      <w:r w:rsidR="004331FA" w:rsidRPr="00EC02CA">
        <w:t xml:space="preserve">safeguards and </w:t>
      </w:r>
      <w:r w:rsidR="00B56F5D" w:rsidRPr="00EC02CA">
        <w:t>the skills</w:t>
      </w:r>
      <w:r w:rsidR="00AB129F" w:rsidRPr="00EC02CA">
        <w:t xml:space="preserve"> </w:t>
      </w:r>
      <w:r w:rsidR="00B56F5D" w:rsidRPr="00EC02CA">
        <w:t>of</w:t>
      </w:r>
      <w:r w:rsidR="00AB129F" w:rsidRPr="00EC02CA">
        <w:t xml:space="preserve"> trained facilitator</w:t>
      </w:r>
      <w:r w:rsidR="004D63B7" w:rsidRPr="00EC02CA">
        <w:t>s</w:t>
      </w:r>
      <w:r w:rsidR="00AB129F" w:rsidRPr="00EC02CA">
        <w:t xml:space="preserve"> and other experts</w:t>
      </w:r>
      <w:r w:rsidR="00CF68AA" w:rsidRPr="00EC02CA">
        <w:t>.</w:t>
      </w:r>
      <w:r w:rsidR="00D82ADD" w:rsidRPr="00EC02CA">
        <w:rPr>
          <w:rStyle w:val="FootnoteReference"/>
        </w:rPr>
        <w:footnoteReference w:id="806"/>
      </w:r>
      <w:r w:rsidR="00CF68AA" w:rsidRPr="00EC02CA">
        <w:t xml:space="preserve"> </w:t>
      </w:r>
      <w:r w:rsidR="007350E8" w:rsidRPr="00EC02CA">
        <w:t xml:space="preserve">These concerns were also expressed in interviews, with interviewees expressing reservations about the </w:t>
      </w:r>
      <w:r w:rsidR="00CC2529" w:rsidRPr="00EC02CA">
        <w:t>involvement</w:t>
      </w:r>
      <w:r w:rsidR="007350E8" w:rsidRPr="00EC02CA">
        <w:t xml:space="preserve"> of victims</w:t>
      </w:r>
      <w:r w:rsidR="00CC2529" w:rsidRPr="00EC02CA">
        <w:t>, recogni</w:t>
      </w:r>
      <w:r w:rsidR="004D63B7" w:rsidRPr="00EC02CA">
        <w:t>sing that</w:t>
      </w:r>
      <w:r w:rsidR="00CC2529" w:rsidRPr="00EC02CA">
        <w:t xml:space="preserve"> </w:t>
      </w:r>
      <w:r w:rsidR="0063368F" w:rsidRPr="00EC02CA">
        <w:t>safeguards</w:t>
      </w:r>
      <w:r w:rsidR="00CC2529" w:rsidRPr="00EC02CA">
        <w:t xml:space="preserve"> would need to be </w:t>
      </w:r>
      <w:r w:rsidR="0063368F" w:rsidRPr="00EC02CA">
        <w:t xml:space="preserve">in </w:t>
      </w:r>
      <w:r w:rsidR="00CC2529" w:rsidRPr="00EC02CA">
        <w:t xml:space="preserve">place to support </w:t>
      </w:r>
      <w:r w:rsidR="0063368F" w:rsidRPr="00EC02CA">
        <w:t xml:space="preserve">victims. </w:t>
      </w:r>
      <w:r w:rsidR="00B56F5D" w:rsidRPr="00EC02CA">
        <w:t xml:space="preserve">This </w:t>
      </w:r>
      <w:r w:rsidR="0063368F" w:rsidRPr="00EC02CA">
        <w:t>framework is not supported</w:t>
      </w:r>
      <w:r w:rsidR="00B56F5D" w:rsidRPr="00EC02CA">
        <w:t xml:space="preserve"> </w:t>
      </w:r>
      <w:r w:rsidR="00C97400" w:rsidRPr="00EC02CA">
        <w:t>in a formal caution</w:t>
      </w:r>
      <w:r w:rsidR="0063368F" w:rsidRPr="00EC02CA">
        <w:t xml:space="preserve"> process</w:t>
      </w:r>
      <w:r w:rsidR="00C97400" w:rsidRPr="00EC02CA">
        <w:t xml:space="preserve">. </w:t>
      </w:r>
      <w:r w:rsidR="00CF68AA" w:rsidRPr="00EC02CA">
        <w:t xml:space="preserve">Accordingly, </w:t>
      </w:r>
      <w:r w:rsidR="005E52CE" w:rsidRPr="00EC02CA">
        <w:t xml:space="preserve">it is the TLRI’s recommendation that </w:t>
      </w:r>
      <w:r w:rsidR="00E101E7" w:rsidRPr="00EC02CA">
        <w:t xml:space="preserve">the </w:t>
      </w:r>
      <w:r w:rsidR="00701EFF" w:rsidRPr="00EC02CA">
        <w:rPr>
          <w:i/>
        </w:rPr>
        <w:t xml:space="preserve">Youth Justice Act 1997 </w:t>
      </w:r>
      <w:r w:rsidR="00701EFF" w:rsidRPr="00EC02CA">
        <w:t xml:space="preserve">(Tas) should be amended to </w:t>
      </w:r>
      <w:r w:rsidR="00E101E7" w:rsidRPr="00EC02CA">
        <w:t xml:space="preserve">remove the ability for police to </w:t>
      </w:r>
      <w:r w:rsidR="0010155C" w:rsidRPr="00EC02CA">
        <w:t xml:space="preserve">provide a </w:t>
      </w:r>
      <w:r w:rsidR="00886B70" w:rsidRPr="00EC02CA">
        <w:t>victim-survivor</w:t>
      </w:r>
      <w:r w:rsidR="0010155C" w:rsidRPr="00EC02CA">
        <w:t xml:space="preserve"> </w:t>
      </w:r>
      <w:r w:rsidR="00A13660" w:rsidRPr="00EC02CA">
        <w:t>the</w:t>
      </w:r>
      <w:r w:rsidR="0010155C" w:rsidRPr="00EC02CA">
        <w:t xml:space="preserve"> opportunity to attend a formal caution for sexual offence</w:t>
      </w:r>
      <w:r w:rsidR="00A13660" w:rsidRPr="00EC02CA">
        <w:t>s</w:t>
      </w:r>
      <w:r w:rsidR="0010155C" w:rsidRPr="00EC02CA">
        <w:t xml:space="preserve">. </w:t>
      </w:r>
    </w:p>
    <w:p w14:paraId="61FA4998" w14:textId="0F108D32" w:rsidR="00A342B7" w:rsidRPr="00EC02CA" w:rsidRDefault="008E01E2" w:rsidP="002F0007">
      <w:pPr>
        <w:pStyle w:val="NormalNumberedTextTLRI"/>
      </w:pPr>
      <w:r w:rsidRPr="00EC02CA">
        <w:t>Further, the</w:t>
      </w:r>
      <w:r w:rsidR="0010155C" w:rsidRPr="00EC02CA">
        <w:t xml:space="preserve"> TLRI’s view is that additional reforms are required to </w:t>
      </w:r>
      <w:r w:rsidR="00701EFF" w:rsidRPr="00EC02CA">
        <w:t>create a clear distinction between the nature of formal cautions and</w:t>
      </w:r>
      <w:r w:rsidR="007540E4" w:rsidRPr="00EC02CA">
        <w:t xml:space="preserve"> community</w:t>
      </w:r>
      <w:r w:rsidR="00701EFF" w:rsidRPr="00EC02CA">
        <w:t xml:space="preserve"> conference</w:t>
      </w:r>
      <w:r w:rsidR="000438F2" w:rsidRPr="00EC02CA">
        <w:t>.</w:t>
      </w:r>
      <w:r w:rsidR="0010155C" w:rsidRPr="00EC02CA">
        <w:t xml:space="preserve"> </w:t>
      </w:r>
      <w:r w:rsidR="0059358D" w:rsidRPr="00EC02CA">
        <w:t>The</w:t>
      </w:r>
      <w:r w:rsidR="000A4AF9" w:rsidRPr="00EC02CA">
        <w:t xml:space="preserve"> powers of police </w:t>
      </w:r>
      <w:r w:rsidR="00D40CD0" w:rsidRPr="00EC02CA">
        <w:t xml:space="preserve">under the </w:t>
      </w:r>
      <w:r w:rsidR="00D40CD0" w:rsidRPr="00EC02CA">
        <w:rPr>
          <w:i/>
        </w:rPr>
        <w:t xml:space="preserve">Youth Justice Act 1997 </w:t>
      </w:r>
      <w:r w:rsidR="00D40CD0" w:rsidRPr="00EC02CA">
        <w:t>(Tas), s</w:t>
      </w:r>
      <w:r w:rsidR="00D44492" w:rsidRPr="00EC02CA">
        <w:t>s10 and 12A</w:t>
      </w:r>
      <w:r w:rsidR="00755EBE" w:rsidRPr="00EC02CA">
        <w:t>,</w:t>
      </w:r>
      <w:r w:rsidR="00D40CD0" w:rsidRPr="00EC02CA">
        <w:t xml:space="preserve"> </w:t>
      </w:r>
      <w:r w:rsidR="000A4AF9" w:rsidRPr="00EC02CA">
        <w:t xml:space="preserve">to impose </w:t>
      </w:r>
      <w:r w:rsidR="00D44492" w:rsidRPr="00EC02CA">
        <w:t xml:space="preserve">enforceable </w:t>
      </w:r>
      <w:r w:rsidR="000A4AF9" w:rsidRPr="00EC02CA">
        <w:t xml:space="preserve">sanctions </w:t>
      </w:r>
      <w:r w:rsidR="009D4EE9" w:rsidRPr="00EC02CA">
        <w:t xml:space="preserve">(akin to </w:t>
      </w:r>
      <w:r w:rsidR="000A4AF9" w:rsidRPr="00EC02CA">
        <w:t>a</w:t>
      </w:r>
      <w:r w:rsidR="006938FF" w:rsidRPr="00EC02CA">
        <w:t xml:space="preserve"> </w:t>
      </w:r>
      <w:r w:rsidR="000A4AF9" w:rsidRPr="00EC02CA">
        <w:t>s</w:t>
      </w:r>
      <w:r w:rsidR="006938FF" w:rsidRPr="00EC02CA">
        <w:t xml:space="preserve">entence) </w:t>
      </w:r>
      <w:r w:rsidR="00B82B89" w:rsidRPr="00EC02CA">
        <w:t xml:space="preserve">as </w:t>
      </w:r>
      <w:r w:rsidR="000A4AF9" w:rsidRPr="00EC02CA">
        <w:t xml:space="preserve">part of a formal </w:t>
      </w:r>
      <w:r w:rsidR="00B82B89" w:rsidRPr="00EC02CA">
        <w:t>caution</w:t>
      </w:r>
      <w:r w:rsidR="0059358D" w:rsidRPr="00EC02CA">
        <w:t xml:space="preserve"> are </w:t>
      </w:r>
      <w:r w:rsidR="001B4ED6" w:rsidRPr="00EC02CA">
        <w:t>problematic</w:t>
      </w:r>
      <w:r w:rsidR="009046AF" w:rsidRPr="00EC02CA">
        <w:t xml:space="preserve">. These powers blur the line between law </w:t>
      </w:r>
      <w:r w:rsidR="00767857" w:rsidRPr="00EC02CA">
        <w:t>enforcement and judicial functions</w:t>
      </w:r>
      <w:r w:rsidR="0059358D" w:rsidRPr="00EC02CA">
        <w:t xml:space="preserve"> because </w:t>
      </w:r>
      <w:r w:rsidR="00767857" w:rsidRPr="00EC02CA">
        <w:t xml:space="preserve">they </w:t>
      </w:r>
      <w:r w:rsidR="0059358D" w:rsidRPr="00EC02CA">
        <w:t xml:space="preserve">confer </w:t>
      </w:r>
      <w:r w:rsidR="00933C9E" w:rsidRPr="00EC02CA">
        <w:t>quasi</w:t>
      </w:r>
      <w:r w:rsidR="00661A9C" w:rsidRPr="00EC02CA">
        <w:t xml:space="preserve">-judicial powers </w:t>
      </w:r>
      <w:r w:rsidR="00755EBE" w:rsidRPr="00EC02CA">
        <w:t xml:space="preserve">on </w:t>
      </w:r>
      <w:r w:rsidR="00661A9C" w:rsidRPr="00EC02CA">
        <w:t>police to judge and punish young people</w:t>
      </w:r>
      <w:r w:rsidR="00B82B89" w:rsidRPr="00EC02CA">
        <w:t>.</w:t>
      </w:r>
      <w:r w:rsidR="00661A9C" w:rsidRPr="00EC02CA">
        <w:rPr>
          <w:rStyle w:val="FootnoteReference"/>
        </w:rPr>
        <w:footnoteReference w:id="807"/>
      </w:r>
      <w:r w:rsidR="00B82B89" w:rsidRPr="00EC02CA">
        <w:t xml:space="preserve"> </w:t>
      </w:r>
      <w:r w:rsidR="00F7533E" w:rsidRPr="00EC02CA">
        <w:t>Formal</w:t>
      </w:r>
      <w:r w:rsidR="00957BC9" w:rsidRPr="00EC02CA">
        <w:t xml:space="preserve"> </w:t>
      </w:r>
      <w:r w:rsidR="00F7533E" w:rsidRPr="00EC02CA">
        <w:t>cautions</w:t>
      </w:r>
      <w:r w:rsidR="00957BC9" w:rsidRPr="00EC02CA">
        <w:t xml:space="preserve"> can result in young offenders agreeing to complete </w:t>
      </w:r>
      <w:r w:rsidR="00F7533E" w:rsidRPr="00EC02CA">
        <w:t>undertakings</w:t>
      </w:r>
      <w:r w:rsidR="00957BC9" w:rsidRPr="00EC02CA">
        <w:t xml:space="preserve">, </w:t>
      </w:r>
      <w:r w:rsidR="00F7533E" w:rsidRPr="00EC02CA">
        <w:t>including</w:t>
      </w:r>
      <w:r w:rsidR="00957BC9" w:rsidRPr="00EC02CA">
        <w:t xml:space="preserve"> up to 35 hours </w:t>
      </w:r>
      <w:r w:rsidR="00755EBE" w:rsidRPr="00EC02CA">
        <w:t xml:space="preserve">of </w:t>
      </w:r>
      <w:r w:rsidR="00F7533E" w:rsidRPr="00EC02CA">
        <w:t>community</w:t>
      </w:r>
      <w:r w:rsidR="00957BC9" w:rsidRPr="00EC02CA">
        <w:t xml:space="preserve"> service</w:t>
      </w:r>
      <w:r w:rsidR="00F7533E" w:rsidRPr="00EC02CA">
        <w:t xml:space="preserve">. </w:t>
      </w:r>
      <w:r w:rsidR="006C4216" w:rsidRPr="00EC02CA">
        <w:t>In addition,</w:t>
      </w:r>
      <w:r w:rsidR="002219E9" w:rsidRPr="00EC02CA">
        <w:t xml:space="preserve"> </w:t>
      </w:r>
      <w:r w:rsidR="00767857" w:rsidRPr="00EC02CA">
        <w:t xml:space="preserve">these </w:t>
      </w:r>
      <w:r w:rsidR="006C4216" w:rsidRPr="00EC02CA">
        <w:t xml:space="preserve">powers for police officers do not seem to comply with Article 40(2)(b)(iii) of the </w:t>
      </w:r>
      <w:r w:rsidR="006C4216" w:rsidRPr="00EC02CA">
        <w:rPr>
          <w:i/>
        </w:rPr>
        <w:t>United Nations Convention on the Rights of the Child</w:t>
      </w:r>
      <w:r w:rsidR="006C4216" w:rsidRPr="00EC02CA">
        <w:t>, which states that every accused child is to be guaranteed a hearing by an ‘independent and impartial authority’.</w:t>
      </w:r>
      <w:r w:rsidR="00D43A1B" w:rsidRPr="00EC02CA">
        <w:t xml:space="preserve"> </w:t>
      </w:r>
      <w:r w:rsidR="00372916" w:rsidRPr="00EC02CA">
        <w:t>It is the TLRI’s view that these powers should be reviewed.</w:t>
      </w:r>
    </w:p>
    <w:p w14:paraId="1787AE17" w14:textId="77777777" w:rsidR="00F52DC6" w:rsidRDefault="00F52DC6" w:rsidP="00ED2E47">
      <w:pPr>
        <w:pStyle w:val="Sub-HeadingTLRI"/>
      </w:pPr>
      <w:bookmarkStart w:id="396" w:name="_Toc211849446"/>
      <w:bookmarkStart w:id="397" w:name="_Toc218157348"/>
    </w:p>
    <w:p w14:paraId="75256AED" w14:textId="5550CAFA" w:rsidR="00600C20" w:rsidRPr="00EC02CA" w:rsidRDefault="00600C20" w:rsidP="00ED2E47">
      <w:pPr>
        <w:pStyle w:val="Sub-HeadingTLRI"/>
      </w:pPr>
      <w:r w:rsidRPr="00EC02CA">
        <w:t>Community conferences</w:t>
      </w:r>
      <w:bookmarkEnd w:id="396"/>
      <w:bookmarkEnd w:id="397"/>
    </w:p>
    <w:p w14:paraId="5FDAF9D8" w14:textId="30717D73" w:rsidR="00B14422" w:rsidRPr="00EC02CA" w:rsidRDefault="00531FCF" w:rsidP="002F0007">
      <w:pPr>
        <w:pStyle w:val="NormalNumberedTextTLRI"/>
      </w:pPr>
      <w:r w:rsidRPr="00EC02CA">
        <w:t xml:space="preserve">Data showed that </w:t>
      </w:r>
      <w:r w:rsidR="0063368F" w:rsidRPr="00EC02CA">
        <w:t xml:space="preserve">community conference are not frequently used for sexual offending, and this was reflected in the responses of interviewees. </w:t>
      </w:r>
      <w:r w:rsidR="00F00FAD" w:rsidRPr="00EC02CA">
        <w:t xml:space="preserve">As noted, </w:t>
      </w:r>
      <w:r w:rsidR="007048C5" w:rsidRPr="00EC02CA">
        <w:t>i</w:t>
      </w:r>
      <w:r w:rsidR="005E57AB" w:rsidRPr="00EC02CA">
        <w:t>nterviewees</w:t>
      </w:r>
      <w:r w:rsidR="00C13C75" w:rsidRPr="00EC02CA">
        <w:t xml:space="preserve"> </w:t>
      </w:r>
      <w:r w:rsidR="007048C5" w:rsidRPr="00EC02CA">
        <w:t xml:space="preserve">also </w:t>
      </w:r>
      <w:r w:rsidR="00C13C75" w:rsidRPr="00EC02CA">
        <w:t>expressed reservations about</w:t>
      </w:r>
      <w:r w:rsidR="00F00FAD" w:rsidRPr="00EC02CA">
        <w:t xml:space="preserve"> the appropriateness of community conferences involving the participation of </w:t>
      </w:r>
      <w:r w:rsidR="003C2332" w:rsidRPr="00EC02CA">
        <w:t>victim-survivors</w:t>
      </w:r>
      <w:r w:rsidR="007048C5" w:rsidRPr="00EC02CA">
        <w:t>.</w:t>
      </w:r>
      <w:r w:rsidR="002D2714" w:rsidRPr="00EC02CA">
        <w:t xml:space="preserve"> As discussed at </w:t>
      </w:r>
      <w:r w:rsidR="00311CFC" w:rsidRPr="00EC02CA">
        <w:t>[</w:t>
      </w:r>
      <w:r w:rsidR="00924EB3" w:rsidRPr="00EC02CA">
        <w:fldChar w:fldCharType="begin"/>
      </w:r>
      <w:r w:rsidR="00924EB3" w:rsidRPr="00EC02CA">
        <w:instrText xml:space="preserve"> REF _Ref218241706 \r \h </w:instrText>
      </w:r>
      <w:r w:rsidR="00924EB3" w:rsidRPr="00EC02CA">
        <w:fldChar w:fldCharType="separate"/>
      </w:r>
      <w:r w:rsidR="007D7830">
        <w:t>7.6</w:t>
      </w:r>
      <w:r w:rsidR="00924EB3" w:rsidRPr="00EC02CA">
        <w:fldChar w:fldCharType="end"/>
      </w:r>
      <w:r w:rsidR="00311CFC" w:rsidRPr="00EC02CA">
        <w:t>]</w:t>
      </w:r>
      <w:r w:rsidR="002D2714" w:rsidRPr="00EC02CA">
        <w:t xml:space="preserve">, the use of restorative </w:t>
      </w:r>
      <w:r w:rsidR="00125D1F" w:rsidRPr="00EC02CA">
        <w:t>justice</w:t>
      </w:r>
      <w:r w:rsidR="002D2714" w:rsidRPr="00EC02CA">
        <w:t xml:space="preserve"> processes, </w:t>
      </w:r>
      <w:r w:rsidR="00125D1F" w:rsidRPr="00EC02CA">
        <w:t>including</w:t>
      </w:r>
      <w:r w:rsidR="002D2714" w:rsidRPr="00EC02CA">
        <w:t xml:space="preserve"> </w:t>
      </w:r>
      <w:r w:rsidR="00125D1F" w:rsidRPr="00EC02CA">
        <w:t>conferences</w:t>
      </w:r>
      <w:r w:rsidR="002D2714" w:rsidRPr="00EC02CA">
        <w:t xml:space="preserve">, for sexual </w:t>
      </w:r>
      <w:r w:rsidR="00125D1F" w:rsidRPr="00EC02CA">
        <w:t>offending</w:t>
      </w:r>
      <w:r w:rsidR="002D2714" w:rsidRPr="00EC02CA">
        <w:t xml:space="preserve"> has been a matter of debate. </w:t>
      </w:r>
      <w:r w:rsidR="00125D1F" w:rsidRPr="00EC02CA">
        <w:t>However</w:t>
      </w:r>
      <w:r w:rsidR="002D2714" w:rsidRPr="00EC02CA">
        <w:t xml:space="preserve">, more recently, there </w:t>
      </w:r>
      <w:r w:rsidR="00125D1F" w:rsidRPr="00EC02CA">
        <w:t>has been greater acceptance that it can be an appropriate response</w:t>
      </w:r>
      <w:r w:rsidR="001132FE" w:rsidRPr="00EC02CA">
        <w:t xml:space="preserve">, particularly for young people. For example, the ALRC supported the use of restorative </w:t>
      </w:r>
      <w:r w:rsidR="002C34CC" w:rsidRPr="00EC02CA">
        <w:t xml:space="preserve">justice </w:t>
      </w:r>
      <w:r w:rsidR="001132FE" w:rsidRPr="00EC02CA">
        <w:t>processes for young people who displayed harmful sexual behaviour</w:t>
      </w:r>
      <w:r w:rsidR="002C34CC" w:rsidRPr="00EC02CA">
        <w:t>,</w:t>
      </w:r>
      <w:r w:rsidR="001132FE" w:rsidRPr="00EC02CA">
        <w:t xml:space="preserve"> and reported that</w:t>
      </w:r>
      <w:r w:rsidR="002C34CC" w:rsidRPr="00EC02CA">
        <w:t>,</w:t>
      </w:r>
      <w:r w:rsidR="001132FE" w:rsidRPr="00EC02CA">
        <w:t xml:space="preserve"> ‘in line with the emphasis on rehabilitation in justice responses to children and young people, there [was] widespread support for improving the accessibility of restorative justice for youth sexual offences’.</w:t>
      </w:r>
      <w:r w:rsidR="008C56D9" w:rsidRPr="00EC02CA">
        <w:rPr>
          <w:rStyle w:val="FootnoteReference"/>
        </w:rPr>
        <w:footnoteReference w:id="808"/>
      </w:r>
      <w:r w:rsidR="00125D1F" w:rsidRPr="00EC02CA">
        <w:t xml:space="preserve"> </w:t>
      </w:r>
      <w:r w:rsidR="001132FE" w:rsidRPr="00EC02CA">
        <w:t xml:space="preserve">However, </w:t>
      </w:r>
      <w:r w:rsidR="008C56D9" w:rsidRPr="00EC02CA">
        <w:t xml:space="preserve">acceptance of </w:t>
      </w:r>
      <w:r w:rsidR="001132FE" w:rsidRPr="00EC02CA">
        <w:t xml:space="preserve">the use of </w:t>
      </w:r>
      <w:r w:rsidR="008C56D9" w:rsidRPr="00EC02CA">
        <w:t>restorative</w:t>
      </w:r>
      <w:r w:rsidR="001132FE" w:rsidRPr="00EC02CA">
        <w:t xml:space="preserve"> justice </w:t>
      </w:r>
      <w:r w:rsidR="008C56D9" w:rsidRPr="00EC02CA">
        <w:t>for sexual offence</w:t>
      </w:r>
      <w:r w:rsidR="002C34CC" w:rsidRPr="00EC02CA">
        <w:t>s</w:t>
      </w:r>
      <w:r w:rsidR="008C56D9" w:rsidRPr="00EC02CA">
        <w:t xml:space="preserve"> has been accompanied </w:t>
      </w:r>
      <w:r w:rsidR="00125D1F" w:rsidRPr="00EC02CA">
        <w:t xml:space="preserve">with the </w:t>
      </w:r>
      <w:r w:rsidR="00105854" w:rsidRPr="00EC02CA">
        <w:t xml:space="preserve">strong caveat </w:t>
      </w:r>
      <w:r w:rsidR="008C56D9" w:rsidRPr="00EC02CA">
        <w:t>that this</w:t>
      </w:r>
      <w:r w:rsidR="00105854" w:rsidRPr="00EC02CA">
        <w:t xml:space="preserve"> needs to be</w:t>
      </w:r>
      <w:r w:rsidR="002C34CC" w:rsidRPr="00EC02CA">
        <w:t xml:space="preserve"> within</w:t>
      </w:r>
      <w:r w:rsidR="001A4F97" w:rsidRPr="00EC02CA">
        <w:t xml:space="preserve"> a carefully </w:t>
      </w:r>
      <w:r w:rsidR="00E36CA3" w:rsidRPr="00EC02CA">
        <w:t xml:space="preserve">designed process, with considerable supports for </w:t>
      </w:r>
      <w:r w:rsidR="003C2332" w:rsidRPr="00EC02CA">
        <w:t>victim-survivors</w:t>
      </w:r>
      <w:r w:rsidR="00E36CA3" w:rsidRPr="00EC02CA">
        <w:t xml:space="preserve"> and </w:t>
      </w:r>
      <w:r w:rsidR="004F2030" w:rsidRPr="00EC02CA">
        <w:t xml:space="preserve">also for </w:t>
      </w:r>
      <w:r w:rsidR="001132FE" w:rsidRPr="00EC02CA">
        <w:t>the young offender</w:t>
      </w:r>
      <w:r w:rsidR="008C56D9" w:rsidRPr="00EC02CA">
        <w:t>.</w:t>
      </w:r>
      <w:r w:rsidR="008C56D9" w:rsidRPr="00EC02CA">
        <w:rPr>
          <w:rStyle w:val="FootnoteReference"/>
        </w:rPr>
        <w:footnoteReference w:id="809"/>
      </w:r>
      <w:r w:rsidR="007F624F" w:rsidRPr="00EC02CA">
        <w:t xml:space="preserve"> </w:t>
      </w:r>
    </w:p>
    <w:p w14:paraId="5E0CE734" w14:textId="6BA6D91C" w:rsidR="007F624F" w:rsidRPr="00EC02CA" w:rsidRDefault="008C56D9" w:rsidP="002F0007">
      <w:pPr>
        <w:pStyle w:val="NormalNumberedTextTLRI"/>
      </w:pPr>
      <w:r w:rsidRPr="00EC02CA">
        <w:t>The TLRI agrees</w:t>
      </w:r>
      <w:r w:rsidR="00A52443" w:rsidRPr="00EC02CA">
        <w:t xml:space="preserve"> that the greater use of community conferences </w:t>
      </w:r>
      <w:r w:rsidR="002C34CC" w:rsidRPr="00EC02CA">
        <w:t xml:space="preserve">– </w:t>
      </w:r>
      <w:r w:rsidR="00A52443" w:rsidRPr="00EC02CA">
        <w:t xml:space="preserve">within a </w:t>
      </w:r>
      <w:r w:rsidR="00E27346" w:rsidRPr="00EC02CA">
        <w:t>restorative</w:t>
      </w:r>
      <w:r w:rsidR="00A52443" w:rsidRPr="00EC02CA">
        <w:t xml:space="preserve"> </w:t>
      </w:r>
      <w:r w:rsidR="00E27346" w:rsidRPr="00EC02CA">
        <w:t>justice</w:t>
      </w:r>
      <w:r w:rsidR="00A52443" w:rsidRPr="00EC02CA">
        <w:t xml:space="preserve"> framework</w:t>
      </w:r>
      <w:r w:rsidR="002C34CC" w:rsidRPr="00EC02CA">
        <w:t xml:space="preserve"> –</w:t>
      </w:r>
      <w:r w:rsidR="00A52443" w:rsidRPr="00EC02CA">
        <w:t xml:space="preserve"> should be </w:t>
      </w:r>
      <w:r w:rsidR="00E27346" w:rsidRPr="00EC02CA">
        <w:t>encouraged, accompanied by the development of a framework to ensure</w:t>
      </w:r>
      <w:r w:rsidR="00821261" w:rsidRPr="00EC02CA">
        <w:t>:</w:t>
      </w:r>
      <w:r w:rsidR="00E27346" w:rsidRPr="00EC02CA">
        <w:t xml:space="preserve"> the safety of the </w:t>
      </w:r>
      <w:r w:rsidR="00886B70" w:rsidRPr="00EC02CA">
        <w:t>victim-survivor</w:t>
      </w:r>
      <w:r w:rsidR="00D76213" w:rsidRPr="00EC02CA">
        <w:t xml:space="preserve"> (</w:t>
      </w:r>
      <w:r w:rsidR="00A36ECC" w:rsidRPr="00EC02CA">
        <w:t>noting</w:t>
      </w:r>
      <w:r w:rsidR="00E9745C" w:rsidRPr="00EC02CA">
        <w:t xml:space="preserve"> the </w:t>
      </w:r>
      <w:r w:rsidR="00A36ECC" w:rsidRPr="00EC02CA">
        <w:t xml:space="preserve">options of </w:t>
      </w:r>
      <w:r w:rsidR="00636506" w:rsidRPr="00EC02CA">
        <w:t xml:space="preserve">participation by representatives of the </w:t>
      </w:r>
      <w:r w:rsidR="00886B70" w:rsidRPr="00EC02CA">
        <w:t>victim-survivor</w:t>
      </w:r>
      <w:r w:rsidR="00636506" w:rsidRPr="00EC02CA">
        <w:t>)</w:t>
      </w:r>
      <w:r w:rsidR="00672895" w:rsidRPr="00EC02CA">
        <w:t>,</w:t>
      </w:r>
      <w:r w:rsidR="00821261" w:rsidRPr="00EC02CA">
        <w:t xml:space="preserve"> </w:t>
      </w:r>
      <w:r w:rsidR="00877785" w:rsidRPr="00EC02CA">
        <w:t>and</w:t>
      </w:r>
      <w:r w:rsidR="00E9745C" w:rsidRPr="00EC02CA">
        <w:t xml:space="preserve"> </w:t>
      </w:r>
      <w:r w:rsidR="001B760B" w:rsidRPr="00EC02CA">
        <w:t>mechanisms</w:t>
      </w:r>
      <w:r w:rsidR="00E9745C" w:rsidRPr="00EC02CA">
        <w:t xml:space="preserve"> to support the young person to engage in the process</w:t>
      </w:r>
      <w:r w:rsidRPr="00EC02CA">
        <w:t>.</w:t>
      </w:r>
      <w:r w:rsidR="006672CC" w:rsidRPr="00EC02CA">
        <w:t xml:space="preserve"> It is necessary to evaluate the current operation of community </w:t>
      </w:r>
      <w:r w:rsidR="000A4703" w:rsidRPr="00EC02CA">
        <w:t>conferences as they may apply to sexual offending, and identify further supports and guidelines that may be needed</w:t>
      </w:r>
      <w:r w:rsidR="00F87145" w:rsidRPr="00EC02CA">
        <w:t>.</w:t>
      </w:r>
      <w:r w:rsidR="00E9745C" w:rsidRPr="00EC02CA">
        <w:t xml:space="preserve"> I</w:t>
      </w:r>
      <w:r w:rsidR="006672CC" w:rsidRPr="00EC02CA">
        <w:t>n</w:t>
      </w:r>
      <w:r w:rsidR="00E9745C" w:rsidRPr="00EC02CA">
        <w:t xml:space="preserve"> this regard, the TLRI observes that </w:t>
      </w:r>
      <w:r w:rsidR="006672CC" w:rsidRPr="00EC02CA">
        <w:t>consideration</w:t>
      </w:r>
      <w:r w:rsidR="00E9745C" w:rsidRPr="00EC02CA">
        <w:t xml:space="preserve"> should be given to </w:t>
      </w:r>
      <w:r w:rsidR="002C34CC" w:rsidRPr="00EC02CA">
        <w:t xml:space="preserve">the </w:t>
      </w:r>
      <w:r w:rsidR="00111973" w:rsidRPr="00EC02CA">
        <w:t xml:space="preserve">contribution that Arch could make to the </w:t>
      </w:r>
      <w:r w:rsidR="005B598D" w:rsidRPr="00EC02CA">
        <w:t xml:space="preserve">development and running of </w:t>
      </w:r>
      <w:r w:rsidR="00111973" w:rsidRPr="00EC02CA">
        <w:t xml:space="preserve">community </w:t>
      </w:r>
      <w:r w:rsidR="006672CC" w:rsidRPr="00EC02CA">
        <w:t>conference</w:t>
      </w:r>
      <w:r w:rsidR="00111973" w:rsidRPr="00EC02CA">
        <w:t xml:space="preserve"> process</w:t>
      </w:r>
      <w:r w:rsidR="005B598D" w:rsidRPr="00EC02CA">
        <w:t>es for sexual offending</w:t>
      </w:r>
      <w:r w:rsidR="00111973" w:rsidRPr="00EC02CA">
        <w:t>,</w:t>
      </w:r>
      <w:r w:rsidR="005B598D" w:rsidRPr="00EC02CA">
        <w:t xml:space="preserve"> and </w:t>
      </w:r>
      <w:r w:rsidR="00111973" w:rsidRPr="00EC02CA">
        <w:t xml:space="preserve">the use of witness </w:t>
      </w:r>
      <w:r w:rsidR="006672CC" w:rsidRPr="00EC02CA">
        <w:t>intermediaries</w:t>
      </w:r>
      <w:r w:rsidR="00111973" w:rsidRPr="00EC02CA">
        <w:t xml:space="preserve"> for both the </w:t>
      </w:r>
      <w:r w:rsidR="00886B70" w:rsidRPr="00EC02CA">
        <w:t>victim-survivor</w:t>
      </w:r>
      <w:r w:rsidR="00111973" w:rsidRPr="00EC02CA">
        <w:t xml:space="preserve"> and the </w:t>
      </w:r>
      <w:r w:rsidR="006672CC" w:rsidRPr="00EC02CA">
        <w:t>young</w:t>
      </w:r>
      <w:r w:rsidR="00111973" w:rsidRPr="00EC02CA">
        <w:t xml:space="preserve"> offender</w:t>
      </w:r>
      <w:r w:rsidR="005B598D" w:rsidRPr="00EC02CA">
        <w:t>.</w:t>
      </w:r>
      <w:r w:rsidR="005B598D" w:rsidRPr="00EC02CA">
        <w:rPr>
          <w:rStyle w:val="FootnoteReference"/>
        </w:rPr>
        <w:footnoteReference w:id="810"/>
      </w:r>
      <w:r w:rsidR="004A6EA0" w:rsidRPr="00EC02CA">
        <w:t xml:space="preserve"> </w:t>
      </w:r>
      <w:r w:rsidR="00C13EDB" w:rsidRPr="00EC02CA">
        <w:t xml:space="preserve">In addition, models for </w:t>
      </w:r>
      <w:r w:rsidR="00B14422" w:rsidRPr="00EC02CA">
        <w:t>community conference</w:t>
      </w:r>
      <w:r w:rsidR="002C34CC" w:rsidRPr="00EC02CA">
        <w:t>s</w:t>
      </w:r>
      <w:r w:rsidR="00B14422" w:rsidRPr="00EC02CA">
        <w:t xml:space="preserve"> which do not involve </w:t>
      </w:r>
      <w:r w:rsidR="00886B70" w:rsidRPr="00EC02CA">
        <w:t>victim-survivor</w:t>
      </w:r>
      <w:r w:rsidR="00B848BC" w:rsidRPr="00EC02CA">
        <w:t xml:space="preserve"> </w:t>
      </w:r>
      <w:r w:rsidR="00B14422" w:rsidRPr="00EC02CA">
        <w:t xml:space="preserve">attendance are found in other jurisdictions, and may provide guidance on options for reform in </w:t>
      </w:r>
      <w:r w:rsidR="008756D1" w:rsidRPr="00EC02CA">
        <w:t>Tasmania</w:t>
      </w:r>
      <w:r w:rsidR="00B14422" w:rsidRPr="00EC02CA">
        <w:t xml:space="preserve">. </w:t>
      </w:r>
      <w:r w:rsidR="00C13B6A" w:rsidRPr="00EC02CA">
        <w:t xml:space="preserve">For example, in </w:t>
      </w:r>
      <w:r w:rsidR="00E21B1C" w:rsidRPr="00EC02CA">
        <w:t>Queensland</w:t>
      </w:r>
      <w:r w:rsidR="00FD7EFA" w:rsidRPr="00EC02CA">
        <w:t xml:space="preserve">, there are provisions for conferences and also alternative diversion programs that </w:t>
      </w:r>
      <w:r w:rsidR="00043B26" w:rsidRPr="00EC02CA">
        <w:t xml:space="preserve">apply </w:t>
      </w:r>
      <w:r w:rsidR="00FD7EFA" w:rsidRPr="00EC02CA">
        <w:t xml:space="preserve">where it was not possible to progress a restorative justice conference </w:t>
      </w:r>
      <w:r w:rsidR="000C79F9" w:rsidRPr="00EC02CA">
        <w:t xml:space="preserve">– </w:t>
      </w:r>
      <w:r w:rsidR="00FD7EFA" w:rsidRPr="00EC02CA">
        <w:t xml:space="preserve">for example, where a </w:t>
      </w:r>
      <w:r w:rsidR="00043B26" w:rsidRPr="00EC02CA">
        <w:t>victim</w:t>
      </w:r>
      <w:r w:rsidR="00FD7EFA" w:rsidRPr="00EC02CA">
        <w:t xml:space="preserve"> is not willing to </w:t>
      </w:r>
      <w:r w:rsidR="00043B26" w:rsidRPr="00EC02CA">
        <w:t>participate</w:t>
      </w:r>
      <w:r w:rsidR="00FD7EFA" w:rsidRPr="00EC02CA">
        <w:t xml:space="preserve"> in a conference</w:t>
      </w:r>
      <w:r w:rsidR="002C34CC" w:rsidRPr="00EC02CA">
        <w:t>,</w:t>
      </w:r>
      <w:r w:rsidR="00AD624E" w:rsidRPr="00EC02CA">
        <w:t xml:space="preserve"> or where the</w:t>
      </w:r>
      <w:r w:rsidR="00CB6B9F" w:rsidRPr="00EC02CA">
        <w:t>re</w:t>
      </w:r>
      <w:r w:rsidR="00AD624E" w:rsidRPr="00EC02CA">
        <w:t xml:space="preserve"> is not a direct </w:t>
      </w:r>
      <w:r w:rsidR="00886B70" w:rsidRPr="00EC02CA">
        <w:t>victim-survivor</w:t>
      </w:r>
      <w:r w:rsidR="005F55E8" w:rsidRPr="00EC02CA">
        <w:t xml:space="preserve"> (as might be the case </w:t>
      </w:r>
      <w:r w:rsidR="00585B91" w:rsidRPr="00EC02CA">
        <w:t>with AI-generated CSEM</w:t>
      </w:r>
      <w:r w:rsidR="009823BD" w:rsidRPr="00EC02CA">
        <w:t>)</w:t>
      </w:r>
      <w:r w:rsidR="00FD7EFA" w:rsidRPr="00EC02CA">
        <w:t>.</w:t>
      </w:r>
      <w:r w:rsidR="00FD7EFA" w:rsidRPr="00EC02CA">
        <w:rPr>
          <w:rStyle w:val="FootnoteReference"/>
        </w:rPr>
        <w:footnoteReference w:id="811"/>
      </w:r>
      <w:r w:rsidR="00043B26" w:rsidRPr="00EC02CA">
        <w:t xml:space="preserve"> </w:t>
      </w:r>
      <w:r w:rsidR="00393701" w:rsidRPr="00EC02CA">
        <w:t xml:space="preserve">As noted, </w:t>
      </w:r>
      <w:r w:rsidR="006D1F67" w:rsidRPr="00EC02CA">
        <w:t xml:space="preserve">conferences can be more impactful and healing </w:t>
      </w:r>
      <w:r w:rsidR="006A6705" w:rsidRPr="00EC02CA">
        <w:t>where</w:t>
      </w:r>
      <w:r w:rsidR="005B3C31" w:rsidRPr="00EC02CA">
        <w:t xml:space="preserve"> </w:t>
      </w:r>
      <w:r w:rsidR="00050F71" w:rsidRPr="00EC02CA">
        <w:t>victim</w:t>
      </w:r>
      <w:r w:rsidR="008A5597" w:rsidRPr="00EC02CA">
        <w:t>s</w:t>
      </w:r>
      <w:r w:rsidR="00EE067B" w:rsidRPr="00EC02CA">
        <w:t xml:space="preserve"> </w:t>
      </w:r>
      <w:r w:rsidR="00F43954" w:rsidRPr="00EC02CA">
        <w:t>choose to participate in some way</w:t>
      </w:r>
      <w:r w:rsidR="0009475D" w:rsidRPr="00EC02CA">
        <w:t>.</w:t>
      </w:r>
      <w:r w:rsidR="00EE067B" w:rsidRPr="00EC02CA">
        <w:t xml:space="preserve"> This can be by </w:t>
      </w:r>
      <w:r w:rsidR="002C34CC" w:rsidRPr="00EC02CA">
        <w:t xml:space="preserve">their </w:t>
      </w:r>
      <w:r w:rsidR="00EE067B" w:rsidRPr="00EC02CA">
        <w:t>attendance</w:t>
      </w:r>
      <w:r w:rsidR="002C34CC" w:rsidRPr="00EC02CA">
        <w:t>,</w:t>
      </w:r>
      <w:r w:rsidR="00EE067B" w:rsidRPr="00EC02CA">
        <w:t xml:space="preserve"> or through the use </w:t>
      </w:r>
      <w:r w:rsidR="00050F71" w:rsidRPr="00EC02CA">
        <w:t>of a</w:t>
      </w:r>
      <w:r w:rsidR="00EE067B" w:rsidRPr="00EC02CA">
        <w:t xml:space="preserve"> pre-</w:t>
      </w:r>
      <w:r w:rsidR="00050F71" w:rsidRPr="00EC02CA">
        <w:t>recorded</w:t>
      </w:r>
      <w:r w:rsidR="00EE067B" w:rsidRPr="00EC02CA">
        <w:t xml:space="preserve"> </w:t>
      </w:r>
      <w:r w:rsidR="00953E07" w:rsidRPr="00EC02CA">
        <w:t>communication</w:t>
      </w:r>
      <w:r w:rsidR="002C34CC" w:rsidRPr="00EC02CA">
        <w:t>,</w:t>
      </w:r>
      <w:r w:rsidR="00953E07" w:rsidRPr="00EC02CA">
        <w:t xml:space="preserve"> or by </w:t>
      </w:r>
      <w:r w:rsidR="002C34CC" w:rsidRPr="00EC02CA">
        <w:t xml:space="preserve">the attendance of </w:t>
      </w:r>
      <w:r w:rsidR="00953E07" w:rsidRPr="00EC02CA">
        <w:t xml:space="preserve">a </w:t>
      </w:r>
      <w:r w:rsidR="00050F71" w:rsidRPr="00EC02CA">
        <w:t>representative</w:t>
      </w:r>
      <w:r w:rsidR="00953E07" w:rsidRPr="00EC02CA">
        <w:t xml:space="preserve"> of an </w:t>
      </w:r>
      <w:r w:rsidR="00CF3F30" w:rsidRPr="00EC02CA">
        <w:t>organisation</w:t>
      </w:r>
      <w:r w:rsidR="00953E07" w:rsidRPr="00EC02CA">
        <w:t xml:space="preserve"> that advocates for </w:t>
      </w:r>
      <w:r w:rsidR="003C2332" w:rsidRPr="00EC02CA">
        <w:t>victim-survivors</w:t>
      </w:r>
      <w:r w:rsidR="00B848BC" w:rsidRPr="00EC02CA">
        <w:t xml:space="preserve"> </w:t>
      </w:r>
      <w:r w:rsidR="00953E07" w:rsidRPr="00EC02CA">
        <w:t>of crime.</w:t>
      </w:r>
      <w:r w:rsidR="00953E07" w:rsidRPr="00EC02CA">
        <w:rPr>
          <w:rStyle w:val="FootnoteReference"/>
        </w:rPr>
        <w:footnoteReference w:id="812"/>
      </w:r>
      <w:r w:rsidR="00043B26" w:rsidRPr="00EC02CA">
        <w:t xml:space="preserve"> </w:t>
      </w:r>
      <w:r w:rsidR="00783D99" w:rsidRPr="00EC02CA">
        <w:t>Alternative</w:t>
      </w:r>
      <w:r w:rsidR="00135A16" w:rsidRPr="00EC02CA">
        <w:t xml:space="preserve"> diversion programs </w:t>
      </w:r>
      <w:r w:rsidR="002C34CC" w:rsidRPr="00EC02CA">
        <w:t xml:space="preserve">that </w:t>
      </w:r>
      <w:r w:rsidR="00C7635F" w:rsidRPr="00EC02CA">
        <w:t xml:space="preserve">do not involve the </w:t>
      </w:r>
      <w:r w:rsidR="00783D99" w:rsidRPr="00EC02CA">
        <w:t>participation</w:t>
      </w:r>
      <w:r w:rsidR="00C7635F" w:rsidRPr="00EC02CA">
        <w:t xml:space="preserve"> of a </w:t>
      </w:r>
      <w:r w:rsidR="00886B70" w:rsidRPr="00EC02CA">
        <w:t>victim-survivor</w:t>
      </w:r>
      <w:r w:rsidR="00B848BC" w:rsidRPr="00EC02CA">
        <w:t xml:space="preserve"> </w:t>
      </w:r>
      <w:r w:rsidR="00C7635F" w:rsidRPr="00EC02CA">
        <w:t xml:space="preserve">are </w:t>
      </w:r>
      <w:r w:rsidR="001B3513" w:rsidRPr="00EC02CA">
        <w:t xml:space="preserve">designed by youth justice workers as </w:t>
      </w:r>
      <w:r w:rsidR="00C7635F" w:rsidRPr="00EC02CA">
        <w:t xml:space="preserve">‘tailored programs for young </w:t>
      </w:r>
      <w:r w:rsidR="00783D99" w:rsidRPr="00EC02CA">
        <w:t>people</w:t>
      </w:r>
      <w:r w:rsidR="00C7635F" w:rsidRPr="00EC02CA">
        <w:t xml:space="preserve"> with the a</w:t>
      </w:r>
      <w:r w:rsidR="00783D99" w:rsidRPr="00EC02CA">
        <w:t>im</w:t>
      </w:r>
      <w:r w:rsidR="00C7635F" w:rsidRPr="00EC02CA">
        <w:t xml:space="preserve"> of addressing the young person’s </w:t>
      </w:r>
      <w:r w:rsidR="00783D99" w:rsidRPr="00EC02CA">
        <w:t>behaviour</w:t>
      </w:r>
      <w:r w:rsidR="00C7635F" w:rsidRPr="00EC02CA">
        <w:t xml:space="preserve"> and </w:t>
      </w:r>
      <w:r w:rsidR="00783D99" w:rsidRPr="00EC02CA">
        <w:t>reducing</w:t>
      </w:r>
      <w:r w:rsidR="00C7635F" w:rsidRPr="00EC02CA">
        <w:t xml:space="preserve"> </w:t>
      </w:r>
      <w:r w:rsidR="00783D99" w:rsidRPr="00EC02CA">
        <w:t>their</w:t>
      </w:r>
      <w:r w:rsidR="00C7635F" w:rsidRPr="00EC02CA">
        <w:t xml:space="preserve"> chan</w:t>
      </w:r>
      <w:r w:rsidR="00783D99" w:rsidRPr="00EC02CA">
        <w:t>c</w:t>
      </w:r>
      <w:r w:rsidR="00C7635F" w:rsidRPr="00EC02CA">
        <w:t>es of reoffending</w:t>
      </w:r>
      <w:r w:rsidR="00783D99" w:rsidRPr="00EC02CA">
        <w:t>’.</w:t>
      </w:r>
      <w:r w:rsidR="00783D99" w:rsidRPr="00EC02CA">
        <w:rPr>
          <w:rStyle w:val="FootnoteReference"/>
        </w:rPr>
        <w:footnoteReference w:id="813"/>
      </w:r>
      <w:r w:rsidR="002C34CC" w:rsidRPr="00EC02CA">
        <w:t xml:space="preserve"> </w:t>
      </w:r>
      <w:r w:rsidR="001E6FD2" w:rsidRPr="00EC02CA">
        <w:t>The TLRI’s view is that such an approach should be considered in Tasmania</w:t>
      </w:r>
      <w:r w:rsidR="002C34CC" w:rsidRPr="00EC02CA">
        <w:t>,</w:t>
      </w:r>
      <w:r w:rsidR="001E6FD2" w:rsidRPr="00EC02CA">
        <w:t xml:space="preserve"> to allow the </w:t>
      </w:r>
      <w:r w:rsidR="00886B70" w:rsidRPr="00EC02CA">
        <w:t>victim-survivor</w:t>
      </w:r>
      <w:r w:rsidR="00B848BC" w:rsidRPr="00EC02CA">
        <w:t xml:space="preserve"> </w:t>
      </w:r>
      <w:r w:rsidR="009E52FC" w:rsidRPr="00EC02CA">
        <w:t>to</w:t>
      </w:r>
      <w:r w:rsidR="001E6FD2" w:rsidRPr="00EC02CA">
        <w:t xml:space="preserve"> participate </w:t>
      </w:r>
      <w:r w:rsidR="009E52FC" w:rsidRPr="00EC02CA">
        <w:t>in a range of</w:t>
      </w:r>
      <w:r w:rsidR="00066DBC" w:rsidRPr="00EC02CA">
        <w:t xml:space="preserve"> ways in a </w:t>
      </w:r>
      <w:r w:rsidR="009E52FC" w:rsidRPr="00EC02CA">
        <w:t>conferencing process</w:t>
      </w:r>
      <w:r w:rsidR="00066DBC" w:rsidRPr="00EC02CA">
        <w:t xml:space="preserve">, as </w:t>
      </w:r>
      <w:r w:rsidR="009E52FC" w:rsidRPr="00EC02CA">
        <w:t xml:space="preserve">well as to </w:t>
      </w:r>
      <w:r w:rsidR="00106066" w:rsidRPr="00EC02CA">
        <w:t xml:space="preserve">allow for </w:t>
      </w:r>
      <w:r w:rsidR="002B2302" w:rsidRPr="00EC02CA">
        <w:t xml:space="preserve">the recognition of </w:t>
      </w:r>
      <w:r w:rsidR="002C34CC" w:rsidRPr="00EC02CA">
        <w:t xml:space="preserve">an </w:t>
      </w:r>
      <w:r w:rsidR="002B2302" w:rsidRPr="00EC02CA">
        <w:t>alternative diversion</w:t>
      </w:r>
      <w:r w:rsidR="00AD624E" w:rsidRPr="00EC02CA">
        <w:t xml:space="preserve"> program</w:t>
      </w:r>
      <w:r w:rsidR="002C34CC" w:rsidRPr="00EC02CA">
        <w:t>,</w:t>
      </w:r>
      <w:r w:rsidR="00AD624E" w:rsidRPr="00EC02CA">
        <w:t xml:space="preserve"> where a </w:t>
      </w:r>
      <w:r w:rsidR="00811C41" w:rsidRPr="00EC02CA">
        <w:t xml:space="preserve">criminal </w:t>
      </w:r>
      <w:r w:rsidR="00AD624E" w:rsidRPr="00EC02CA">
        <w:t xml:space="preserve">justice response more </w:t>
      </w:r>
      <w:r w:rsidR="002B2302" w:rsidRPr="00EC02CA">
        <w:t>significant than a formal caution is required</w:t>
      </w:r>
      <w:r w:rsidR="00811C41" w:rsidRPr="00EC02CA">
        <w:t>, but diversion from the court process is still appropriate.</w:t>
      </w:r>
    </w:p>
    <w:p w14:paraId="683650FA" w14:textId="306A8985" w:rsidR="000F488D" w:rsidRPr="00EC02CA" w:rsidRDefault="0017631F" w:rsidP="00AB59E8">
      <w:pPr>
        <w:pStyle w:val="TLRISubheading"/>
        <w:keepNext/>
        <w:keepLines/>
      </w:pPr>
      <w:bookmarkStart w:id="398" w:name="_Toc218157349"/>
      <w:r w:rsidRPr="00EC02CA">
        <w:t>Recommendations</w:t>
      </w:r>
      <w:bookmarkEnd w:id="398"/>
    </w:p>
    <w:p w14:paraId="5D92737F" w14:textId="7AE3F158" w:rsidR="00CE6E25" w:rsidRPr="00EC02CA" w:rsidRDefault="00DC7AC6" w:rsidP="00AB59E8">
      <w:pPr>
        <w:keepNext/>
        <w:keepLines/>
      </w:pPr>
      <w:r w:rsidRPr="00EC02CA">
        <w:rPr>
          <w:b/>
          <w:bCs/>
        </w:rPr>
        <w:t xml:space="preserve">Recommendation </w:t>
      </w:r>
      <w:r w:rsidR="00143A81" w:rsidRPr="00EC02CA">
        <w:rPr>
          <w:b/>
          <w:bCs/>
        </w:rPr>
        <w:t>7</w:t>
      </w:r>
      <w:r w:rsidRPr="00EC02CA">
        <w:t>:</w:t>
      </w:r>
      <w:r w:rsidR="00031B7C" w:rsidRPr="00EC02CA">
        <w:t xml:space="preserve"> </w:t>
      </w:r>
      <w:r w:rsidR="000F488D" w:rsidRPr="00EC02CA">
        <w:t>The eligibility criteria for pre-plea diversionary processes (both formal cautions and community conferences) should be reviewed</w:t>
      </w:r>
      <w:r w:rsidRPr="00EC02CA">
        <w:t>,</w:t>
      </w:r>
      <w:r w:rsidR="000F488D" w:rsidRPr="00EC02CA">
        <w:t xml:space="preserve"> </w:t>
      </w:r>
      <w:r w:rsidR="00CE6E25" w:rsidRPr="00EC02CA">
        <w:t>including:</w:t>
      </w:r>
    </w:p>
    <w:p w14:paraId="0EA32D27" w14:textId="15AEA5A6" w:rsidR="00CE6E25" w:rsidRPr="00EC02CA" w:rsidRDefault="00CE6E25" w:rsidP="00AB59E8">
      <w:pPr>
        <w:pStyle w:val="DotPointTLRI"/>
        <w:keepNext/>
        <w:keepLines/>
      </w:pPr>
      <w:r w:rsidRPr="00EC02CA">
        <w:t>the scope of the sexual offences that are eligible for diversion</w:t>
      </w:r>
      <w:r w:rsidR="00537905" w:rsidRPr="00EC02CA">
        <w:t xml:space="preserve">, including whether some offences </w:t>
      </w:r>
      <w:r w:rsidR="007D5FC5" w:rsidRPr="00EC02CA">
        <w:t>should</w:t>
      </w:r>
      <w:r w:rsidR="00537905" w:rsidRPr="00EC02CA">
        <w:t xml:space="preserve"> be excluded from diversion</w:t>
      </w:r>
      <w:r w:rsidR="00EF2585" w:rsidRPr="00EC02CA">
        <w:t xml:space="preserve"> and whether the use of ‘prescribed offences’ is the most appropriate mechanism </w:t>
      </w:r>
      <w:r w:rsidR="007D5FC5" w:rsidRPr="00EC02CA">
        <w:t>for this purpose</w:t>
      </w:r>
      <w:r w:rsidR="00DC7AC6" w:rsidRPr="00EC02CA">
        <w:t>; and</w:t>
      </w:r>
    </w:p>
    <w:p w14:paraId="5053AA71" w14:textId="245157AF" w:rsidR="000F488D" w:rsidRPr="00EC02CA" w:rsidRDefault="000F488D" w:rsidP="00AB59E8">
      <w:pPr>
        <w:pStyle w:val="DotPointTLRI"/>
        <w:keepNext/>
        <w:keepLines/>
      </w:pPr>
      <w:r w:rsidRPr="00EC02CA">
        <w:t>the requirement that the youth admit to the commission of the offence</w:t>
      </w:r>
      <w:r w:rsidR="00DC7AC6" w:rsidRPr="00EC02CA">
        <w:t>,</w:t>
      </w:r>
      <w:r w:rsidR="00566A9D" w:rsidRPr="00EC02CA">
        <w:t xml:space="preserve"> and </w:t>
      </w:r>
      <w:r w:rsidR="00BB2BB3" w:rsidRPr="00EC02CA">
        <w:t xml:space="preserve">the use </w:t>
      </w:r>
      <w:r w:rsidR="00DC7AC6" w:rsidRPr="00EC02CA">
        <w:t xml:space="preserve">that can be made </w:t>
      </w:r>
      <w:r w:rsidR="00BB2BB3" w:rsidRPr="00EC02CA">
        <w:t xml:space="preserve">of any admission </w:t>
      </w:r>
      <w:r w:rsidR="00DC7AC6" w:rsidRPr="00EC02CA">
        <w:t xml:space="preserve">of </w:t>
      </w:r>
      <w:r w:rsidR="00BB2BB3" w:rsidRPr="00EC02CA">
        <w:t>guilt</w:t>
      </w:r>
      <w:r w:rsidRPr="00EC02CA">
        <w:t xml:space="preserve">. </w:t>
      </w:r>
    </w:p>
    <w:p w14:paraId="43FB76F3" w14:textId="5F9D99F5" w:rsidR="00DF4B21" w:rsidRPr="00EC02CA" w:rsidRDefault="00DC7AC6" w:rsidP="00AB59E8">
      <w:pPr>
        <w:keepNext/>
        <w:keepLines/>
      </w:pPr>
      <w:r w:rsidRPr="00EC02CA">
        <w:rPr>
          <w:b/>
          <w:bCs/>
        </w:rPr>
        <w:t xml:space="preserve">Recommendation </w:t>
      </w:r>
      <w:r w:rsidR="00143A81" w:rsidRPr="00EC02CA">
        <w:rPr>
          <w:b/>
          <w:bCs/>
        </w:rPr>
        <w:t>8</w:t>
      </w:r>
      <w:r w:rsidRPr="00EC02CA">
        <w:t>:</w:t>
      </w:r>
      <w:r w:rsidR="008670A1" w:rsidRPr="00EC02CA">
        <w:t xml:space="preserve"> </w:t>
      </w:r>
      <w:r w:rsidR="008E01E2" w:rsidRPr="00EC02CA">
        <w:t xml:space="preserve">There </w:t>
      </w:r>
      <w:r w:rsidR="004F6E48" w:rsidRPr="00EC02CA">
        <w:t xml:space="preserve">should </w:t>
      </w:r>
      <w:r w:rsidR="008E01E2" w:rsidRPr="00EC02CA">
        <w:t xml:space="preserve">be a review of the </w:t>
      </w:r>
      <w:r w:rsidR="00DF4B21" w:rsidRPr="00EC02CA">
        <w:t xml:space="preserve">formal cautioning provisions in </w:t>
      </w:r>
      <w:r w:rsidR="005E52CE" w:rsidRPr="00EC02CA">
        <w:t xml:space="preserve">the </w:t>
      </w:r>
      <w:r w:rsidR="005E52CE" w:rsidRPr="00EC02CA">
        <w:rPr>
          <w:i/>
        </w:rPr>
        <w:t xml:space="preserve">Youth Justice Act 1997 </w:t>
      </w:r>
      <w:r w:rsidR="005E52CE" w:rsidRPr="00EC02CA">
        <w:t xml:space="preserve">(Tas) </w:t>
      </w:r>
      <w:r w:rsidR="00DF4B21" w:rsidRPr="00EC02CA">
        <w:t>to:</w:t>
      </w:r>
    </w:p>
    <w:p w14:paraId="52A23580" w14:textId="3C282D7C" w:rsidR="008670A1" w:rsidRPr="00EC02CA" w:rsidRDefault="00BB2BB3" w:rsidP="00AB59E8">
      <w:pPr>
        <w:pStyle w:val="DotPointTLRI"/>
        <w:keepNext/>
        <w:keepLines/>
      </w:pPr>
      <w:r w:rsidRPr="00EC02CA">
        <w:t>e</w:t>
      </w:r>
      <w:r w:rsidR="008670A1" w:rsidRPr="00EC02CA">
        <w:t>stablish a h</w:t>
      </w:r>
      <w:r w:rsidR="00EB673B" w:rsidRPr="00EC02CA">
        <w:t>ierarchy</w:t>
      </w:r>
      <w:r w:rsidR="00603730" w:rsidRPr="00EC02CA">
        <w:t xml:space="preserve"> of diversionary processes and so </w:t>
      </w:r>
      <w:r w:rsidR="00EB673B" w:rsidRPr="00EC02CA">
        <w:t>m</w:t>
      </w:r>
      <w:r w:rsidR="00EC49A3" w:rsidRPr="00EC02CA">
        <w:t xml:space="preserve">ake it clear that </w:t>
      </w:r>
      <w:r w:rsidR="00EB673B" w:rsidRPr="00EC02CA">
        <w:t>a f</w:t>
      </w:r>
      <w:r w:rsidR="00EC49A3" w:rsidRPr="00EC02CA">
        <w:t xml:space="preserve">ormal </w:t>
      </w:r>
      <w:r w:rsidR="00EB673B" w:rsidRPr="00EC02CA">
        <w:t>caution</w:t>
      </w:r>
      <w:r w:rsidR="00EC49A3" w:rsidRPr="00EC02CA">
        <w:t xml:space="preserve"> should not operate as a community conference</w:t>
      </w:r>
      <w:r w:rsidR="00DC7AC6" w:rsidRPr="00EC02CA">
        <w:t>;</w:t>
      </w:r>
    </w:p>
    <w:p w14:paraId="63F0FC48" w14:textId="6C65D3F2" w:rsidR="008670A1" w:rsidRPr="00EC02CA" w:rsidRDefault="00E375D6" w:rsidP="00AB59E8">
      <w:pPr>
        <w:pStyle w:val="DotPointTLRI"/>
        <w:keepNext/>
        <w:keepLines/>
      </w:pPr>
      <w:r w:rsidRPr="00EC02CA">
        <w:t>r</w:t>
      </w:r>
      <w:r w:rsidR="008670A1" w:rsidRPr="00EC02CA">
        <w:t>e</w:t>
      </w:r>
      <w:r w:rsidR="005E52CE" w:rsidRPr="00EC02CA">
        <w:t xml:space="preserve">move the ability for police to provide a </w:t>
      </w:r>
      <w:r w:rsidR="00886B70" w:rsidRPr="00EC02CA">
        <w:t>victim-survivor</w:t>
      </w:r>
      <w:r w:rsidR="00B848BC" w:rsidRPr="00EC02CA">
        <w:t xml:space="preserve"> </w:t>
      </w:r>
      <w:r w:rsidR="005E52CE" w:rsidRPr="00EC02CA">
        <w:t>with an opportunity to attend a formal caution for a sexual offence</w:t>
      </w:r>
      <w:r w:rsidR="00DC7AC6" w:rsidRPr="00EC02CA">
        <w:t>; and</w:t>
      </w:r>
    </w:p>
    <w:p w14:paraId="5D7DB9BB" w14:textId="10CC4651" w:rsidR="001B1926" w:rsidRPr="00EC02CA" w:rsidRDefault="00E375D6" w:rsidP="00AB59E8">
      <w:pPr>
        <w:pStyle w:val="DotPointTLRI"/>
        <w:keepNext/>
        <w:keepLines/>
      </w:pPr>
      <w:r w:rsidRPr="00EC02CA">
        <w:t>c</w:t>
      </w:r>
      <w:r w:rsidR="008670A1" w:rsidRPr="00EC02CA">
        <w:t>onsider</w:t>
      </w:r>
      <w:r w:rsidR="001F1BC6" w:rsidRPr="00EC02CA">
        <w:t xml:space="preserve"> </w:t>
      </w:r>
      <w:r w:rsidR="008670A1" w:rsidRPr="00EC02CA">
        <w:t>removing</w:t>
      </w:r>
      <w:r w:rsidR="001F1BC6" w:rsidRPr="00EC02CA">
        <w:t xml:space="preserve"> the</w:t>
      </w:r>
      <w:r w:rsidR="001B1926" w:rsidRPr="00EC02CA">
        <w:t xml:space="preserve"> powers in the </w:t>
      </w:r>
      <w:r w:rsidR="001B1926" w:rsidRPr="00EC02CA">
        <w:rPr>
          <w:i/>
        </w:rPr>
        <w:t xml:space="preserve">Youth Justice Act 1997 </w:t>
      </w:r>
      <w:r w:rsidR="001B1926" w:rsidRPr="00EC02CA">
        <w:t xml:space="preserve">(Tas) for police to </w:t>
      </w:r>
      <w:r w:rsidR="008670A1" w:rsidRPr="00EC02CA">
        <w:t>impose</w:t>
      </w:r>
      <w:r w:rsidR="001B1926" w:rsidRPr="00EC02CA">
        <w:t xml:space="preserve"> and </w:t>
      </w:r>
      <w:r w:rsidR="008670A1" w:rsidRPr="00EC02CA">
        <w:t>enforce</w:t>
      </w:r>
      <w:r w:rsidR="001B1926" w:rsidRPr="00EC02CA">
        <w:t xml:space="preserve"> undertaking</w:t>
      </w:r>
      <w:r w:rsidR="008670A1" w:rsidRPr="00EC02CA">
        <w:t>s made at formal c</w:t>
      </w:r>
      <w:r w:rsidR="00031B7C" w:rsidRPr="00EC02CA">
        <w:t>autions</w:t>
      </w:r>
      <w:r w:rsidR="001B1926" w:rsidRPr="00EC02CA">
        <w:t>.</w:t>
      </w:r>
    </w:p>
    <w:p w14:paraId="48E32A04" w14:textId="01F6AD95" w:rsidR="006672CC" w:rsidRPr="00EC02CA" w:rsidRDefault="00DC7AC6" w:rsidP="00AB59E8">
      <w:pPr>
        <w:keepNext/>
        <w:keepLines/>
      </w:pPr>
      <w:r w:rsidRPr="00EC02CA">
        <w:rPr>
          <w:b/>
          <w:bCs/>
        </w:rPr>
        <w:t xml:space="preserve">Recommendation </w:t>
      </w:r>
      <w:r w:rsidR="00143A81" w:rsidRPr="00EC02CA">
        <w:rPr>
          <w:b/>
          <w:bCs/>
        </w:rPr>
        <w:t>9</w:t>
      </w:r>
      <w:r w:rsidRPr="00EC02CA">
        <w:t>:</w:t>
      </w:r>
      <w:r w:rsidR="006672CC" w:rsidRPr="00EC02CA">
        <w:t xml:space="preserve"> </w:t>
      </w:r>
      <w:r w:rsidR="004907E0" w:rsidRPr="00EC02CA">
        <w:t xml:space="preserve">There should be a review of the community conference provisions in the </w:t>
      </w:r>
      <w:r w:rsidR="004907E0" w:rsidRPr="00EC02CA">
        <w:rPr>
          <w:i/>
        </w:rPr>
        <w:t xml:space="preserve">Youth Justice Act 1997 </w:t>
      </w:r>
      <w:r w:rsidR="004907E0" w:rsidRPr="00EC02CA">
        <w:t>(Tas) to:</w:t>
      </w:r>
    </w:p>
    <w:p w14:paraId="6DD5B867" w14:textId="6857D0AE" w:rsidR="004907E0" w:rsidRPr="00EC02CA" w:rsidRDefault="00E375D6" w:rsidP="00AB59E8">
      <w:pPr>
        <w:pStyle w:val="DotPointTLRI"/>
        <w:keepNext/>
        <w:keepLines/>
      </w:pPr>
      <w:r w:rsidRPr="00EC02CA">
        <w:t>i</w:t>
      </w:r>
      <w:r w:rsidR="004907E0" w:rsidRPr="00EC02CA">
        <w:t xml:space="preserve">dentify </w:t>
      </w:r>
      <w:r w:rsidR="00CE41EA" w:rsidRPr="00EC02CA">
        <w:t xml:space="preserve">and address </w:t>
      </w:r>
      <w:r w:rsidR="004907E0" w:rsidRPr="00EC02CA">
        <w:t>barriers to the use of community conferences for sexual offences involving youth offenders</w:t>
      </w:r>
      <w:r w:rsidR="00DC7AC6" w:rsidRPr="00EC02CA">
        <w:t>; and</w:t>
      </w:r>
    </w:p>
    <w:p w14:paraId="273FB73B" w14:textId="53FD8E18" w:rsidR="004907E0" w:rsidRPr="00EC02CA" w:rsidRDefault="00E375D6" w:rsidP="00AB59E8">
      <w:pPr>
        <w:pStyle w:val="DotPointTLRI"/>
        <w:keepNext/>
        <w:keepLines/>
      </w:pPr>
      <w:r w:rsidRPr="00EC02CA">
        <w:t>e</w:t>
      </w:r>
      <w:r w:rsidR="00CE41EA" w:rsidRPr="00EC02CA">
        <w:t>nsure that</w:t>
      </w:r>
      <w:r w:rsidR="008C1DE1" w:rsidRPr="00EC02CA">
        <w:t xml:space="preserve"> the community conference process</w:t>
      </w:r>
      <w:r w:rsidR="00CE41EA" w:rsidRPr="00EC02CA">
        <w:t xml:space="preserve"> has safeguards to</w:t>
      </w:r>
      <w:r w:rsidR="008C1DE1" w:rsidRPr="00EC02CA">
        <w:t xml:space="preserve"> </w:t>
      </w:r>
      <w:r w:rsidR="00CE41EA" w:rsidRPr="00EC02CA">
        <w:t>address the needs of</w:t>
      </w:r>
      <w:r w:rsidR="008756D1" w:rsidRPr="00EC02CA">
        <w:t xml:space="preserve"> </w:t>
      </w:r>
      <w:r w:rsidR="003C2332" w:rsidRPr="00EC02CA">
        <w:t>victim-survivors</w:t>
      </w:r>
      <w:r w:rsidR="00247813" w:rsidRPr="00EC02CA">
        <w:t xml:space="preserve"> and youth offender</w:t>
      </w:r>
      <w:r w:rsidR="00CE41EA" w:rsidRPr="00EC02CA">
        <w:t>s</w:t>
      </w:r>
      <w:r w:rsidR="00247813" w:rsidRPr="00EC02CA">
        <w:t>.</w:t>
      </w:r>
    </w:p>
    <w:p w14:paraId="6C66BEF6" w14:textId="7AB68186" w:rsidR="003D14EB" w:rsidRPr="00EC02CA" w:rsidRDefault="003D14EB" w:rsidP="00B737BF">
      <w:pPr>
        <w:pStyle w:val="NormalNumberedTextTLRI"/>
        <w:sectPr w:rsidR="003D14EB" w:rsidRPr="00EC02CA" w:rsidSect="00147507">
          <w:headerReference w:type="even" r:id="rId43"/>
          <w:headerReference w:type="default" r:id="rId44"/>
          <w:pgSz w:w="11906" w:h="16838"/>
          <w:pgMar w:top="1440" w:right="1440" w:bottom="1440" w:left="1440" w:header="708" w:footer="708" w:gutter="0"/>
          <w:cols w:space="708"/>
          <w:docGrid w:linePitch="360"/>
        </w:sectPr>
      </w:pPr>
    </w:p>
    <w:p w14:paraId="3A0EC27D" w14:textId="336771F2" w:rsidR="00F512A3" w:rsidRPr="00EC02CA" w:rsidRDefault="00BA6B37" w:rsidP="00A920EC">
      <w:pPr>
        <w:pStyle w:val="PartNoTLRI"/>
        <w:spacing w:after="640"/>
        <w:ind w:left="0" w:firstLine="0"/>
      </w:pPr>
      <w:bookmarkStart w:id="399" w:name="_Toc211849447"/>
      <w:bookmarkEnd w:id="399"/>
      <w:r w:rsidRPr="00EC02CA">
        <w:br/>
      </w:r>
      <w:r w:rsidRPr="00EC02CA">
        <w:br/>
      </w:r>
      <w:bookmarkStart w:id="400" w:name="_Toc218154218"/>
      <w:bookmarkStart w:id="401" w:name="_Toc218154473"/>
      <w:bookmarkStart w:id="402" w:name="_Toc218154973"/>
      <w:bookmarkStart w:id="403" w:name="_Toc218156533"/>
      <w:bookmarkStart w:id="404" w:name="_Toc218157138"/>
      <w:bookmarkStart w:id="405" w:name="_Toc218157350"/>
      <w:bookmarkStart w:id="406" w:name="_Toc218157351"/>
      <w:bookmarkEnd w:id="400"/>
      <w:bookmarkEnd w:id="401"/>
      <w:bookmarkEnd w:id="402"/>
      <w:bookmarkEnd w:id="403"/>
      <w:bookmarkEnd w:id="404"/>
      <w:bookmarkEnd w:id="405"/>
      <w:r w:rsidR="00147F93" w:rsidRPr="00EC02CA">
        <w:rPr>
          <w:sz w:val="52"/>
          <w:szCs w:val="28"/>
        </w:rPr>
        <w:t>Tasmanian</w:t>
      </w:r>
      <w:r w:rsidR="00FC6B45" w:rsidRPr="00EC02CA">
        <w:rPr>
          <w:sz w:val="52"/>
          <w:szCs w:val="28"/>
        </w:rPr>
        <w:t xml:space="preserve"> courts</w:t>
      </w:r>
      <w:r w:rsidR="00147F93" w:rsidRPr="00EC02CA">
        <w:rPr>
          <w:sz w:val="52"/>
          <w:szCs w:val="28"/>
        </w:rPr>
        <w:t xml:space="preserve"> and sexual offending by young people</w:t>
      </w:r>
      <w:bookmarkEnd w:id="406"/>
    </w:p>
    <w:p w14:paraId="6B165F25" w14:textId="75ED0007" w:rsidR="006B5BF8" w:rsidRPr="00EC02CA" w:rsidRDefault="006B5BF8" w:rsidP="005F72D3">
      <w:pPr>
        <w:pStyle w:val="NumberedHeadingTLRI"/>
      </w:pPr>
      <w:bookmarkStart w:id="407" w:name="_Toc211849448"/>
      <w:bookmarkStart w:id="408" w:name="_Toc218157352"/>
      <w:r w:rsidRPr="00EC02CA">
        <w:t>Introduction</w:t>
      </w:r>
      <w:bookmarkEnd w:id="407"/>
      <w:bookmarkEnd w:id="408"/>
    </w:p>
    <w:p w14:paraId="558AE97E" w14:textId="0CE7BEE8" w:rsidR="00270DA7" w:rsidRPr="00EC02CA" w:rsidRDefault="001C449F" w:rsidP="002F0007">
      <w:pPr>
        <w:pStyle w:val="NormalNumberedTextTLRI"/>
      </w:pPr>
      <w:r w:rsidRPr="00EC02CA">
        <w:t xml:space="preserve">Part </w:t>
      </w:r>
      <w:r w:rsidR="0032556D" w:rsidRPr="00EC02CA">
        <w:t>8</w:t>
      </w:r>
      <w:r w:rsidRPr="00EC02CA">
        <w:t xml:space="preserve"> considers the </w:t>
      </w:r>
      <w:r w:rsidR="00C84CB5" w:rsidRPr="00EC02CA">
        <w:t xml:space="preserve">role of the </w:t>
      </w:r>
      <w:r w:rsidR="00F23434" w:rsidRPr="00EC02CA">
        <w:t>Magistrates Court (</w:t>
      </w:r>
      <w:r w:rsidR="00C84CB5" w:rsidRPr="00EC02CA">
        <w:t>Youth Justice Division</w:t>
      </w:r>
      <w:r w:rsidR="00F23434" w:rsidRPr="00EC02CA">
        <w:t>)</w:t>
      </w:r>
      <w:r w:rsidR="00C84CB5" w:rsidRPr="00EC02CA">
        <w:t xml:space="preserve"> and the Supreme Court in relation to sexual offending by young people</w:t>
      </w:r>
      <w:r w:rsidR="00C32B9B" w:rsidRPr="00EC02CA">
        <w:t xml:space="preserve">. </w:t>
      </w:r>
      <w:r w:rsidR="00F426FC" w:rsidRPr="00EC02CA">
        <w:t>It examines d</w:t>
      </w:r>
      <w:r w:rsidR="005E3363" w:rsidRPr="00EC02CA">
        <w:t>ata</w:t>
      </w:r>
      <w:r w:rsidRPr="00EC02CA">
        <w:t xml:space="preserve"> about the use of </w:t>
      </w:r>
      <w:r w:rsidR="000D629D" w:rsidRPr="00EC02CA">
        <w:t xml:space="preserve">the </w:t>
      </w:r>
      <w:r w:rsidRPr="00EC02CA">
        <w:t xml:space="preserve">criminal courts and </w:t>
      </w:r>
      <w:r w:rsidR="00F426FC" w:rsidRPr="00EC02CA">
        <w:t xml:space="preserve">provides </w:t>
      </w:r>
      <w:r w:rsidRPr="00EC02CA">
        <w:t xml:space="preserve">information about sentencing outcomes. </w:t>
      </w:r>
      <w:r w:rsidR="00C32B9B" w:rsidRPr="00EC02CA">
        <w:t xml:space="preserve">Part 8 then </w:t>
      </w:r>
      <w:r w:rsidR="00B61D92" w:rsidRPr="00EC02CA">
        <w:t>sets out the views expressed in interviews about the operation of the courts in</w:t>
      </w:r>
      <w:r w:rsidR="00F426FC" w:rsidRPr="00EC02CA">
        <w:t xml:space="preserve"> </w:t>
      </w:r>
      <w:r w:rsidR="00B61D92" w:rsidRPr="00EC02CA">
        <w:t xml:space="preserve">relation to allegations of sexual offending by young people. </w:t>
      </w:r>
    </w:p>
    <w:p w14:paraId="43AE33FD" w14:textId="319382DA" w:rsidR="00D54D2E" w:rsidRPr="00EC02CA" w:rsidRDefault="00D54D2E" w:rsidP="002F0007">
      <w:pPr>
        <w:pStyle w:val="NormalNumberedTextTLRI"/>
      </w:pPr>
      <w:r w:rsidRPr="00EC02CA">
        <w:t xml:space="preserve"> </w:t>
      </w:r>
      <w:r w:rsidR="00250D8D" w:rsidRPr="00EC02CA">
        <w:t xml:space="preserve">In Part </w:t>
      </w:r>
      <w:r w:rsidR="004C255B" w:rsidRPr="00EC02CA">
        <w:t>7</w:t>
      </w:r>
      <w:r w:rsidR="00250D8D" w:rsidRPr="00EC02CA">
        <w:t>, the TLRI considered and made recommendation</w:t>
      </w:r>
      <w:r w:rsidR="00DD7B57" w:rsidRPr="00EC02CA">
        <w:t>s</w:t>
      </w:r>
      <w:r w:rsidR="00250D8D" w:rsidRPr="00EC02CA">
        <w:t xml:space="preserve"> in relation to pre-court diversion. In Part</w:t>
      </w:r>
      <w:r w:rsidR="00B15849" w:rsidRPr="00EC02CA">
        <w:t xml:space="preserve"> 8</w:t>
      </w:r>
      <w:r w:rsidR="00250D8D" w:rsidRPr="00EC02CA">
        <w:t xml:space="preserve">, the TLRI makes recommendations in relation to </w:t>
      </w:r>
      <w:r w:rsidR="004C255B" w:rsidRPr="00EC02CA">
        <w:t>the powers of the court</w:t>
      </w:r>
      <w:r w:rsidR="00DD7B57" w:rsidRPr="00EC02CA">
        <w:t>s</w:t>
      </w:r>
      <w:r w:rsidR="004C255B" w:rsidRPr="00EC02CA">
        <w:t xml:space="preserve"> to </w:t>
      </w:r>
      <w:r w:rsidR="00270DA7" w:rsidRPr="00EC02CA">
        <w:t xml:space="preserve">divert a young person before and after a </w:t>
      </w:r>
      <w:r w:rsidR="00DD7B57" w:rsidRPr="00EC02CA">
        <w:t xml:space="preserve">guilty plea or a </w:t>
      </w:r>
      <w:r w:rsidR="00270DA7" w:rsidRPr="00EC02CA">
        <w:t>finding of guilt.</w:t>
      </w:r>
    </w:p>
    <w:p w14:paraId="719B7512" w14:textId="77777777" w:rsidR="00EC1083" w:rsidRPr="00EC02CA" w:rsidRDefault="00EC1083" w:rsidP="00EC1083">
      <w:pPr>
        <w:pStyle w:val="NumberedHeadingTLRI"/>
      </w:pPr>
      <w:bookmarkStart w:id="409" w:name="_Toc211849449"/>
      <w:bookmarkStart w:id="410" w:name="_Ref217988136"/>
      <w:bookmarkStart w:id="411" w:name="_Toc218157353"/>
      <w:bookmarkStart w:id="412" w:name="_Ref218241840"/>
      <w:bookmarkStart w:id="413" w:name="_Ref218242068"/>
      <w:r w:rsidRPr="00EC02CA">
        <w:t>The Magistrates Court (Youth Justice Division)</w:t>
      </w:r>
      <w:bookmarkEnd w:id="409"/>
      <w:bookmarkEnd w:id="410"/>
      <w:bookmarkEnd w:id="411"/>
      <w:bookmarkEnd w:id="412"/>
      <w:bookmarkEnd w:id="413"/>
    </w:p>
    <w:p w14:paraId="339B5658" w14:textId="7D50542C" w:rsidR="00F426FC" w:rsidRPr="00EC02CA" w:rsidRDefault="00EC1083" w:rsidP="002F0007">
      <w:pPr>
        <w:pStyle w:val="NormalNumberedTextTLRI"/>
      </w:pPr>
      <w:r w:rsidRPr="00EC02CA">
        <w:t xml:space="preserve">As set out in Part 5, under the </w:t>
      </w:r>
      <w:r w:rsidRPr="00EC02CA">
        <w:rPr>
          <w:i/>
          <w:iCs/>
        </w:rPr>
        <w:t xml:space="preserve">Youth Justice Act 1997 </w:t>
      </w:r>
      <w:r w:rsidRPr="00EC02CA">
        <w:t xml:space="preserve">(Tas) s 161(1), the Magistrates Court (Youth Justice Division) can hear and determine charges against a youth </w:t>
      </w:r>
      <w:r w:rsidR="001E6C75" w:rsidRPr="00EC02CA">
        <w:t xml:space="preserve">– </w:t>
      </w:r>
      <w:r w:rsidRPr="00EC02CA">
        <w:t>other than for prescribed offences</w:t>
      </w:r>
      <w:r w:rsidR="001E6C75" w:rsidRPr="00EC02CA">
        <w:t xml:space="preserve"> –</w:t>
      </w:r>
      <w:r w:rsidRPr="00EC02CA">
        <w:t xml:space="preserve"> as well as </w:t>
      </w:r>
      <w:r w:rsidR="0068775F" w:rsidRPr="00EC02CA">
        <w:t xml:space="preserve">hear </w:t>
      </w:r>
      <w:r w:rsidRPr="00EC02CA">
        <w:t>committal proceedings where the defendant is a youth</w:t>
      </w:r>
      <w:r w:rsidR="0068775F" w:rsidRPr="00EC02CA">
        <w:t>,</w:t>
      </w:r>
      <w:r w:rsidRPr="00EC02CA">
        <w:t xml:space="preserve"> and </w:t>
      </w:r>
      <w:r w:rsidR="0068775F" w:rsidRPr="00EC02CA">
        <w:t xml:space="preserve">hear and determine </w:t>
      </w:r>
      <w:r w:rsidRPr="00EC02CA">
        <w:t xml:space="preserve">restraint order applications where a youth is the respondent to the </w:t>
      </w:r>
      <w:r w:rsidR="0068775F" w:rsidRPr="00EC02CA">
        <w:t xml:space="preserve">restraint </w:t>
      </w:r>
      <w:r w:rsidRPr="00EC02CA">
        <w:t xml:space="preserve">order. </w:t>
      </w:r>
    </w:p>
    <w:p w14:paraId="6E5C9A61" w14:textId="7E302C43" w:rsidR="00EC1083" w:rsidRPr="00EC02CA" w:rsidRDefault="00EC1083" w:rsidP="002F0007">
      <w:pPr>
        <w:pStyle w:val="NormalNumberedTextTLRI"/>
      </w:pPr>
      <w:r w:rsidRPr="00EC02CA">
        <w:t>As noted, the Youth Justice Division does not have jurisdiction to hear ‘prescribed offences’.</w:t>
      </w:r>
      <w:r w:rsidRPr="00EC02CA">
        <w:rPr>
          <w:vertAlign w:val="superscript"/>
        </w:rPr>
        <w:footnoteReference w:id="814"/>
      </w:r>
      <w:r w:rsidRPr="00EC02CA">
        <w:t xml:space="preserve"> </w:t>
      </w:r>
      <w:r w:rsidR="0068775F" w:rsidRPr="00EC02CA">
        <w:t>Charges of prescribed offences</w:t>
      </w:r>
      <w:r w:rsidR="0068775F" w:rsidRPr="00EC02CA">
        <w:rPr>
          <w:i/>
          <w:iCs/>
        </w:rPr>
        <w:t xml:space="preserve"> </w:t>
      </w:r>
      <w:r w:rsidRPr="00EC02CA">
        <w:t>are heard in the Supreme Court for youth offenders.</w:t>
      </w:r>
      <w:r w:rsidRPr="00EC02CA">
        <w:rPr>
          <w:vertAlign w:val="superscript"/>
        </w:rPr>
        <w:footnoteReference w:id="815"/>
      </w:r>
      <w:r w:rsidRPr="00EC02CA">
        <w:t xml:space="preserve"> Rape, aggravated sexual assault and persistent sexual abuse of a young person are the only </w:t>
      </w:r>
      <w:r w:rsidR="0068775F" w:rsidRPr="00EC02CA">
        <w:t xml:space="preserve">prescribed </w:t>
      </w:r>
      <w:r w:rsidRPr="00EC02CA">
        <w:t>sexual offences in Tasmania</w:t>
      </w:r>
      <w:r w:rsidR="0068775F" w:rsidRPr="00EC02CA">
        <w:t>,</w:t>
      </w:r>
      <w:r w:rsidRPr="00EC02CA">
        <w:t xml:space="preserve"> and are only prescribed </w:t>
      </w:r>
      <w:r w:rsidR="0068775F" w:rsidRPr="00EC02CA">
        <w:t xml:space="preserve">for </w:t>
      </w:r>
      <w:r w:rsidRPr="00EC02CA">
        <w:t>young people aged 1</w:t>
      </w:r>
      <w:r w:rsidR="00533C82" w:rsidRPr="00EC02CA">
        <w:t>4</w:t>
      </w:r>
      <w:r w:rsidRPr="00EC02CA">
        <w:t>–17.</w:t>
      </w:r>
      <w:r w:rsidRPr="00EC02CA">
        <w:rPr>
          <w:rStyle w:val="FootnoteReference"/>
        </w:rPr>
        <w:footnoteReference w:id="816"/>
      </w:r>
      <w:r w:rsidRPr="00EC02CA">
        <w:t xml:space="preserve"> </w:t>
      </w:r>
    </w:p>
    <w:p w14:paraId="6E3CD422" w14:textId="69077068" w:rsidR="006C643C" w:rsidRPr="00EC02CA" w:rsidRDefault="006C643C" w:rsidP="002F0007">
      <w:pPr>
        <w:pStyle w:val="NormalNumberedTextTLRI"/>
      </w:pPr>
      <w:r w:rsidRPr="00EC02CA">
        <w:t xml:space="preserve">As noted, </w:t>
      </w:r>
      <w:r w:rsidR="0068775F" w:rsidRPr="00EC02CA">
        <w:t xml:space="preserve">under the </w:t>
      </w:r>
      <w:r w:rsidR="0068775F" w:rsidRPr="00EC02CA">
        <w:rPr>
          <w:i/>
          <w:iCs/>
        </w:rPr>
        <w:t xml:space="preserve">Criminal Code </w:t>
      </w:r>
      <w:r w:rsidR="0068775F" w:rsidRPr="00EC02CA">
        <w:t xml:space="preserve">(Tas) s 308, </w:t>
      </w:r>
      <w:r w:rsidRPr="00EC02CA">
        <w:t xml:space="preserve">there is also </w:t>
      </w:r>
      <w:r w:rsidR="0068775F" w:rsidRPr="00EC02CA">
        <w:t xml:space="preserve">a </w:t>
      </w:r>
      <w:r w:rsidRPr="00EC02CA">
        <w:t>power for the Supreme Court  to remit matters to be tried summarily before a magistrate if it appears to a judge that a sentence of imprisonment not exceeding one year</w:t>
      </w:r>
      <w:r w:rsidR="0068775F" w:rsidRPr="00EC02CA">
        <w:t>,</w:t>
      </w:r>
      <w:r w:rsidRPr="00EC02CA">
        <w:t xml:space="preserve"> or a fine not exceeding 20 penalty units</w:t>
      </w:r>
      <w:r w:rsidR="0068775F" w:rsidRPr="00EC02CA">
        <w:t>,</w:t>
      </w:r>
      <w:r w:rsidRPr="00EC02CA">
        <w:t xml:space="preserve"> will be adequate </w:t>
      </w:r>
      <w:r w:rsidR="0068775F" w:rsidRPr="00EC02CA">
        <w:t xml:space="preserve">in </w:t>
      </w:r>
      <w:r w:rsidRPr="00EC02CA">
        <w:t>the circumstances of the case.</w:t>
      </w:r>
      <w:r w:rsidRPr="00EC02CA">
        <w:rPr>
          <w:rStyle w:val="FootnoteReference"/>
        </w:rPr>
        <w:footnoteReference w:id="817"/>
      </w:r>
      <w:r w:rsidRPr="00EC02CA">
        <w:t xml:space="preserve"> This includes </w:t>
      </w:r>
      <w:r w:rsidR="0068775F" w:rsidRPr="00EC02CA">
        <w:t xml:space="preserve">remitting a matter to </w:t>
      </w:r>
      <w:r w:rsidRPr="00EC02CA">
        <w:t>the Youth Justice Division, as it is constituted by a magistrate.</w:t>
      </w:r>
      <w:r w:rsidRPr="00EC02CA">
        <w:rPr>
          <w:rStyle w:val="FootnoteReference"/>
        </w:rPr>
        <w:footnoteReference w:id="818"/>
      </w:r>
      <w:r w:rsidRPr="00EC02CA">
        <w:t xml:space="preserve"> </w:t>
      </w:r>
    </w:p>
    <w:p w14:paraId="1CD15D72" w14:textId="73789955" w:rsidR="00201527" w:rsidRPr="00EC02CA" w:rsidRDefault="00201527" w:rsidP="00A920EC">
      <w:pPr>
        <w:pStyle w:val="TLRISubheading"/>
      </w:pPr>
      <w:bookmarkStart w:id="414" w:name="_Toc211849450"/>
      <w:bookmarkStart w:id="415" w:name="_Toc218157354"/>
      <w:r w:rsidRPr="00EC02CA">
        <w:t xml:space="preserve">Young </w:t>
      </w:r>
      <w:r w:rsidR="001216D1" w:rsidRPr="00EC02CA">
        <w:t xml:space="preserve">people </w:t>
      </w:r>
      <w:r w:rsidRPr="00EC02CA">
        <w:t>finalised in the Youth Justice Division</w:t>
      </w:r>
      <w:r w:rsidR="001216D1" w:rsidRPr="00EC02CA">
        <w:t xml:space="preserve"> for sexual offences</w:t>
      </w:r>
      <w:bookmarkEnd w:id="414"/>
      <w:bookmarkEnd w:id="415"/>
    </w:p>
    <w:p w14:paraId="58DB739F" w14:textId="12C47E75" w:rsidR="00201527" w:rsidRPr="00EC02CA" w:rsidRDefault="00201527" w:rsidP="002F0007">
      <w:pPr>
        <w:pStyle w:val="NormalNumberedTextTLRI"/>
      </w:pPr>
      <w:r w:rsidRPr="00EC02CA">
        <w:t xml:space="preserve">Court data show that very few young people were finalised in the Youth Justice Division for a sexual offence. The </w:t>
      </w:r>
      <w:r w:rsidR="00F93943" w:rsidRPr="00EC02CA">
        <w:t xml:space="preserve">Australian Bureau of </w:t>
      </w:r>
      <w:r w:rsidR="0060564E" w:rsidRPr="00EC02CA">
        <w:t>Statistics</w:t>
      </w:r>
      <w:r w:rsidR="00F93943" w:rsidRPr="00EC02CA">
        <w:t xml:space="preserve"> (ABS) </w:t>
      </w:r>
      <w:r w:rsidRPr="00EC02CA">
        <w:t>Criminal Courts data for 2023</w:t>
      </w:r>
      <w:r w:rsidR="00C42AB4" w:rsidRPr="00EC02CA">
        <w:t>–</w:t>
      </w:r>
      <w:r w:rsidRPr="00EC02CA">
        <w:t>24 show that there were no defendants finalised with an adjudicated outcome in the Youth Justice Division for a sexual offence.</w:t>
      </w:r>
      <w:r w:rsidRPr="00EC02CA">
        <w:rPr>
          <w:rStyle w:val="FootnoteReference"/>
        </w:rPr>
        <w:footnoteReference w:id="819"/>
      </w:r>
      <w:r w:rsidRPr="00EC02CA">
        <w:t xml:space="preserve"> </w:t>
      </w:r>
      <w:r w:rsidR="00C058DF" w:rsidRPr="00EC02CA">
        <w:t>This is reflected o</w:t>
      </w:r>
      <w:r w:rsidRPr="00EC02CA">
        <w:t>ver time</w:t>
      </w:r>
      <w:r w:rsidR="009D4C6C" w:rsidRPr="00EC02CA">
        <w:t xml:space="preserve"> </w:t>
      </w:r>
      <w:r w:rsidRPr="00EC02CA">
        <w:t xml:space="preserve">(as shown in Figure </w:t>
      </w:r>
      <w:r w:rsidR="00641D7F" w:rsidRPr="00EC02CA">
        <w:t>8</w:t>
      </w:r>
      <w:r w:rsidRPr="00EC02CA">
        <w:t>.</w:t>
      </w:r>
      <w:r w:rsidR="00641D7F" w:rsidRPr="00EC02CA">
        <w:t>1</w:t>
      </w:r>
      <w:r w:rsidRPr="00EC02CA">
        <w:t>)</w:t>
      </w:r>
      <w:r w:rsidR="002C3B59" w:rsidRPr="00EC02CA">
        <w:t>. In the period 2010</w:t>
      </w:r>
      <w:r w:rsidR="00C42AB4" w:rsidRPr="00EC02CA">
        <w:t>–</w:t>
      </w:r>
      <w:r w:rsidR="002C3B59" w:rsidRPr="00EC02CA">
        <w:t>11 to 2023</w:t>
      </w:r>
      <w:r w:rsidR="00C42AB4" w:rsidRPr="00EC02CA">
        <w:t>–</w:t>
      </w:r>
      <w:r w:rsidR="002C3B59" w:rsidRPr="00EC02CA">
        <w:t xml:space="preserve">24, </w:t>
      </w:r>
      <w:r w:rsidRPr="00EC02CA">
        <w:t xml:space="preserve">87 defendants </w:t>
      </w:r>
      <w:r w:rsidR="002C3B59" w:rsidRPr="00EC02CA">
        <w:t xml:space="preserve">were </w:t>
      </w:r>
      <w:r w:rsidRPr="00EC02CA">
        <w:t xml:space="preserve">finalised in the Youth Justice Division </w:t>
      </w:r>
      <w:r w:rsidR="002C3B59" w:rsidRPr="00EC02CA">
        <w:t xml:space="preserve">for a sexual </w:t>
      </w:r>
      <w:r w:rsidR="008622EA" w:rsidRPr="00EC02CA">
        <w:t>offence</w:t>
      </w:r>
      <w:r w:rsidRPr="00EC02CA">
        <w:t xml:space="preserve">. The ABS reports these data as a single category that includes both contact (sexual assault) and online offending (included within non-assaultive sexual offences). </w:t>
      </w:r>
    </w:p>
    <w:p w14:paraId="75EF6E01" w14:textId="4457806B" w:rsidR="00201527" w:rsidRPr="00EC02CA" w:rsidRDefault="00201527" w:rsidP="00A920EC">
      <w:r w:rsidRPr="00EC02CA">
        <w:rPr>
          <w:b/>
          <w:bCs/>
        </w:rPr>
        <w:t xml:space="preserve">Figure </w:t>
      </w:r>
      <w:r w:rsidR="00641D7F" w:rsidRPr="00EC02CA">
        <w:rPr>
          <w:b/>
          <w:bCs/>
        </w:rPr>
        <w:t>8</w:t>
      </w:r>
      <w:r w:rsidRPr="00EC02CA">
        <w:rPr>
          <w:b/>
          <w:bCs/>
        </w:rPr>
        <w:t>.</w:t>
      </w:r>
      <w:r w:rsidR="00641D7F" w:rsidRPr="00EC02CA">
        <w:rPr>
          <w:b/>
          <w:bCs/>
        </w:rPr>
        <w:t>1</w:t>
      </w:r>
      <w:r w:rsidRPr="00EC02CA">
        <w:rPr>
          <w:b/>
          <w:bCs/>
        </w:rPr>
        <w:t xml:space="preserve"> </w:t>
      </w:r>
      <w:r w:rsidRPr="00EC02CA">
        <w:t xml:space="preserve">Defendants finalised, sexual assault and related offences, Tasmania, all courts and Youth Justice </w:t>
      </w:r>
      <w:r w:rsidR="000110B0" w:rsidRPr="00EC02CA">
        <w:t>D</w:t>
      </w:r>
      <w:r w:rsidRPr="00EC02CA">
        <w:t>ivision</w:t>
      </w:r>
      <w:r w:rsidR="00FC6984" w:rsidRPr="00EC02CA">
        <w:t>,</w:t>
      </w:r>
      <w:r w:rsidRPr="00EC02CA">
        <w:t xml:space="preserve"> 2010</w:t>
      </w:r>
      <w:r w:rsidR="00FC6984" w:rsidRPr="00EC02CA">
        <w:t>–</w:t>
      </w:r>
      <w:r w:rsidRPr="00EC02CA">
        <w:t>11 to 2023</w:t>
      </w:r>
      <w:r w:rsidR="00FC6984" w:rsidRPr="00EC02CA">
        <w:t>–</w:t>
      </w:r>
      <w:r w:rsidRPr="00EC02CA">
        <w:t>24</w:t>
      </w:r>
      <w:r w:rsidRPr="00EC02CA">
        <w:rPr>
          <w:vertAlign w:val="superscript"/>
        </w:rPr>
        <w:footnoteReference w:id="820"/>
      </w:r>
    </w:p>
    <w:p w14:paraId="7D5C14FF" w14:textId="77777777" w:rsidR="00201527" w:rsidRPr="00EC02CA" w:rsidRDefault="00201527">
      <w:pPr>
        <w:rPr>
          <w:b/>
          <w:bCs/>
        </w:rPr>
      </w:pPr>
      <w:r w:rsidRPr="00EC02CA">
        <w:rPr>
          <w:b/>
          <w:bCs/>
          <w:noProof/>
        </w:rPr>
        <w:drawing>
          <wp:inline distT="0" distB="0" distL="0" distR="0" wp14:anchorId="67AB0094" wp14:editId="7A3487A8">
            <wp:extent cx="5486400" cy="3448050"/>
            <wp:effectExtent l="0" t="0" r="0" b="0"/>
            <wp:docPr id="149784208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8A51A2F" w14:textId="02028A3B" w:rsidR="001E6C75" w:rsidRPr="00EC02CA" w:rsidRDefault="001E6C75" w:rsidP="00A920EC">
      <w:pPr>
        <w:rPr>
          <w:i/>
          <w:iCs/>
        </w:rPr>
      </w:pPr>
      <w:r w:rsidRPr="00EC02CA">
        <w:rPr>
          <w:i/>
          <w:iCs/>
        </w:rPr>
        <w:t>Source: ABS Criminal Courts data</w:t>
      </w:r>
    </w:p>
    <w:p w14:paraId="5E935AC1" w14:textId="22E43F83" w:rsidR="00D27379" w:rsidRPr="00EC02CA" w:rsidRDefault="00D27379" w:rsidP="002F0007">
      <w:pPr>
        <w:pStyle w:val="NormalNumberedTextTLRI"/>
      </w:pPr>
      <w:r w:rsidRPr="00EC02CA">
        <w:t>Data provided to the TLRI by the Department of Justice provide</w:t>
      </w:r>
      <w:r w:rsidR="00B7073F" w:rsidRPr="00EC02CA">
        <w:t>s</w:t>
      </w:r>
      <w:r w:rsidRPr="00EC02CA">
        <w:t xml:space="preserve"> further detail about the operation of </w:t>
      </w:r>
      <w:r w:rsidR="00B7073F" w:rsidRPr="00EC02CA">
        <w:t xml:space="preserve">the </w:t>
      </w:r>
      <w:r w:rsidRPr="00EC02CA">
        <w:t>Youth Justice Division for young people charged with sexual offences. In the period 2013</w:t>
      </w:r>
      <w:r w:rsidR="00B7073F" w:rsidRPr="00EC02CA">
        <w:t>–</w:t>
      </w:r>
      <w:r w:rsidRPr="00EC02CA">
        <w:t>14 to 2023</w:t>
      </w:r>
      <w:r w:rsidR="00B7073F" w:rsidRPr="00EC02CA">
        <w:t>–</w:t>
      </w:r>
      <w:r w:rsidRPr="00EC02CA">
        <w:t xml:space="preserve">24, the majority of sexual offence charges </w:t>
      </w:r>
      <w:r w:rsidR="00B7073F" w:rsidRPr="00EC02CA">
        <w:t xml:space="preserve">(236 charges) </w:t>
      </w:r>
      <w:r w:rsidRPr="00EC02CA">
        <w:t>were processed in the</w:t>
      </w:r>
      <w:r w:rsidR="0099796F" w:rsidRPr="00EC02CA">
        <w:t xml:space="preserve"> </w:t>
      </w:r>
      <w:r w:rsidRPr="00EC02CA">
        <w:t>Youth Justice Division, compared to 115 in the Supreme Court. These charges related to 124 defendants.</w:t>
      </w:r>
    </w:p>
    <w:p w14:paraId="560D824B" w14:textId="3A0C4725" w:rsidR="00D27379" w:rsidRPr="00EC02CA" w:rsidRDefault="00D27379" w:rsidP="00A920EC">
      <w:pPr>
        <w:keepNext/>
        <w:keepLines/>
      </w:pPr>
      <w:r w:rsidRPr="00EC02CA">
        <w:rPr>
          <w:b/>
          <w:bCs/>
        </w:rPr>
        <w:t xml:space="preserve">Figure </w:t>
      </w:r>
      <w:r w:rsidR="0099796F" w:rsidRPr="00EC02CA">
        <w:rPr>
          <w:b/>
          <w:bCs/>
        </w:rPr>
        <w:t>8</w:t>
      </w:r>
      <w:r w:rsidRPr="00EC02CA">
        <w:rPr>
          <w:b/>
          <w:bCs/>
        </w:rPr>
        <w:t>.</w:t>
      </w:r>
      <w:r w:rsidR="0099796F" w:rsidRPr="00EC02CA">
        <w:rPr>
          <w:b/>
          <w:bCs/>
        </w:rPr>
        <w:t>2</w:t>
      </w:r>
      <w:r w:rsidRPr="00EC02CA">
        <w:t xml:space="preserve"> Number of finalised youth defendants and sexual offence charges, Youth Justice Division, 2013</w:t>
      </w:r>
      <w:r w:rsidR="00FC6984" w:rsidRPr="00EC02CA">
        <w:t>–</w:t>
      </w:r>
      <w:r w:rsidRPr="00EC02CA">
        <w:t>14 to 2023</w:t>
      </w:r>
      <w:r w:rsidR="00FC6984" w:rsidRPr="00EC02CA">
        <w:t>–</w:t>
      </w:r>
      <w:r w:rsidRPr="00EC02CA">
        <w:t>24</w:t>
      </w:r>
    </w:p>
    <w:p w14:paraId="0CF7F45E" w14:textId="05BF7844" w:rsidR="00D27379" w:rsidRPr="00EC02CA" w:rsidRDefault="009511CC" w:rsidP="00A920EC">
      <w:pPr>
        <w:keepNext/>
        <w:keepLines/>
      </w:pPr>
      <w:r w:rsidRPr="00EC02CA">
        <w:rPr>
          <w:noProof/>
        </w:rPr>
        <w:drawing>
          <wp:inline distT="0" distB="0" distL="0" distR="0" wp14:anchorId="1D758579" wp14:editId="3E4D50E0">
            <wp:extent cx="6017895" cy="3594295"/>
            <wp:effectExtent l="0" t="0" r="1905" b="6350"/>
            <wp:docPr id="527934976" name="Chart 1">
              <a:extLst xmlns:a="http://schemas.openxmlformats.org/drawingml/2006/main">
                <a:ext uri="{FF2B5EF4-FFF2-40B4-BE49-F238E27FC236}">
                  <a16:creationId xmlns:a16="http://schemas.microsoft.com/office/drawing/2014/main" id="{346F91B7-B2E9-5B9A-C184-FD9803583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F666F5A" w14:textId="041236A7" w:rsidR="00D27379" w:rsidRPr="00EC02CA" w:rsidRDefault="00D27379" w:rsidP="00A920EC">
      <w:pPr>
        <w:keepNext/>
        <w:keepLines/>
        <w:rPr>
          <w:i/>
          <w:iCs/>
        </w:rPr>
      </w:pPr>
      <w:r w:rsidRPr="00EC02CA">
        <w:rPr>
          <w:i/>
          <w:iCs/>
        </w:rPr>
        <w:t>Source: Unpublished</w:t>
      </w:r>
      <w:r w:rsidR="00CF13F0" w:rsidRPr="00EC02CA">
        <w:rPr>
          <w:i/>
          <w:iCs/>
        </w:rPr>
        <w:t xml:space="preserve"> data,</w:t>
      </w:r>
      <w:r w:rsidRPr="00EC02CA">
        <w:rPr>
          <w:i/>
          <w:iCs/>
        </w:rPr>
        <w:t xml:space="preserve"> Department of Justice </w:t>
      </w:r>
    </w:p>
    <w:p w14:paraId="37CA81D3" w14:textId="208BCA2D" w:rsidR="00D27379" w:rsidRPr="00EC02CA" w:rsidRDefault="00D27379" w:rsidP="002F0007">
      <w:pPr>
        <w:pStyle w:val="NormalNumberedTextTLRI"/>
      </w:pPr>
      <w:r w:rsidRPr="00EC02CA">
        <w:t xml:space="preserve">In terms of the charges dealt with in the Youth Justice Division, all related to physical sexual offending, as shown in Figure </w:t>
      </w:r>
      <w:r w:rsidR="0099796F" w:rsidRPr="00EC02CA">
        <w:t>8</w:t>
      </w:r>
      <w:r w:rsidRPr="00EC02CA">
        <w:t>.</w:t>
      </w:r>
      <w:r w:rsidR="0099796F" w:rsidRPr="00EC02CA">
        <w:t>3</w:t>
      </w:r>
      <w:r w:rsidRPr="00EC02CA">
        <w:t>. There were no child abuse material offences f</w:t>
      </w:r>
      <w:r w:rsidR="00D842B1" w:rsidRPr="00EC02CA">
        <w:t xml:space="preserve">inalised </w:t>
      </w:r>
      <w:r w:rsidR="00B7073F" w:rsidRPr="00EC02CA">
        <w:t xml:space="preserve">the Youth Justice Division during </w:t>
      </w:r>
      <w:r w:rsidR="00D842B1" w:rsidRPr="00EC02CA">
        <w:t>this period</w:t>
      </w:r>
      <w:r w:rsidRPr="00EC02CA">
        <w:t xml:space="preserve">. </w:t>
      </w:r>
      <w:r w:rsidR="00D62BCB" w:rsidRPr="00EC02CA">
        <w:t>T</w:t>
      </w:r>
      <w:r w:rsidRPr="00EC02CA">
        <w:t xml:space="preserve">he majority of charges </w:t>
      </w:r>
      <w:r w:rsidR="00B7073F" w:rsidRPr="00EC02CA">
        <w:t xml:space="preserve">(191; 80.9%) </w:t>
      </w:r>
      <w:r w:rsidRPr="00EC02CA">
        <w:t xml:space="preserve">related to </w:t>
      </w:r>
      <w:r w:rsidR="00D842B1" w:rsidRPr="00EC02CA">
        <w:t xml:space="preserve">sexual </w:t>
      </w:r>
      <w:r w:rsidRPr="00EC02CA">
        <w:t xml:space="preserve">offending against an adult compared </w:t>
      </w:r>
      <w:r w:rsidR="00D53AF0" w:rsidRPr="00EC02CA">
        <w:t>with</w:t>
      </w:r>
      <w:r w:rsidRPr="00EC02CA">
        <w:t xml:space="preserve"> offending against a child (</w:t>
      </w:r>
      <w:r w:rsidR="00C42AB4" w:rsidRPr="00EC02CA">
        <w:t xml:space="preserve">45; </w:t>
      </w:r>
      <w:r w:rsidRPr="00EC02CA">
        <w:t>19.1%).</w:t>
      </w:r>
      <w:r w:rsidR="00D842B1" w:rsidRPr="00EC02CA">
        <w:rPr>
          <w:rStyle w:val="FootnoteReference"/>
        </w:rPr>
        <w:footnoteReference w:id="821"/>
      </w:r>
    </w:p>
    <w:p w14:paraId="6EE342FB" w14:textId="26DE43B3" w:rsidR="00D27379" w:rsidRPr="00EC02CA" w:rsidRDefault="00D27379" w:rsidP="00A920EC">
      <w:pPr>
        <w:keepNext/>
        <w:keepLines/>
      </w:pPr>
      <w:r w:rsidRPr="00EC02CA">
        <w:rPr>
          <w:b/>
          <w:bCs/>
        </w:rPr>
        <w:t xml:space="preserve">Figure </w:t>
      </w:r>
      <w:r w:rsidR="0099796F" w:rsidRPr="00EC02CA">
        <w:rPr>
          <w:b/>
          <w:bCs/>
        </w:rPr>
        <w:t>8</w:t>
      </w:r>
      <w:r w:rsidRPr="00EC02CA">
        <w:rPr>
          <w:b/>
          <w:bCs/>
        </w:rPr>
        <w:t>.</w:t>
      </w:r>
      <w:r w:rsidR="0099796F" w:rsidRPr="00EC02CA">
        <w:rPr>
          <w:b/>
          <w:bCs/>
        </w:rPr>
        <w:t>3</w:t>
      </w:r>
      <w:r w:rsidRPr="00EC02CA">
        <w:t xml:space="preserve"> Youth Justice Division</w:t>
      </w:r>
      <w:r w:rsidR="00115361" w:rsidRPr="00EC02CA">
        <w:t>,</w:t>
      </w:r>
      <w:r w:rsidRPr="00EC02CA">
        <w:t xml:space="preserve"> </w:t>
      </w:r>
      <w:r w:rsidR="00115361" w:rsidRPr="00EC02CA">
        <w:t>s</w:t>
      </w:r>
      <w:r w:rsidRPr="00EC02CA">
        <w:t>exual offence charges finalised</w:t>
      </w:r>
      <w:r w:rsidR="00115361" w:rsidRPr="00EC02CA">
        <w:t>,</w:t>
      </w:r>
      <w:r w:rsidRPr="00EC02CA">
        <w:t xml:space="preserve"> 2013</w:t>
      </w:r>
      <w:r w:rsidR="000B6656" w:rsidRPr="00EC02CA">
        <w:t>–</w:t>
      </w:r>
      <w:r w:rsidRPr="00EC02CA">
        <w:t>14 to 2023</w:t>
      </w:r>
      <w:r w:rsidR="000B6656" w:rsidRPr="00EC02CA">
        <w:t>–</w:t>
      </w:r>
      <w:r w:rsidRPr="00EC02CA">
        <w:t>24</w:t>
      </w:r>
    </w:p>
    <w:p w14:paraId="1F8D9464" w14:textId="77777777" w:rsidR="00D27379" w:rsidRPr="00EC02CA" w:rsidRDefault="00D27379">
      <w:pPr>
        <w:keepNext/>
        <w:keepLines/>
      </w:pPr>
      <w:r w:rsidRPr="00EC02CA">
        <w:rPr>
          <w:noProof/>
        </w:rPr>
        <w:drawing>
          <wp:inline distT="0" distB="0" distL="0" distR="0" wp14:anchorId="3AE064F7" wp14:editId="0AA9F560">
            <wp:extent cx="5943600" cy="3573194"/>
            <wp:effectExtent l="0" t="0" r="0" b="8255"/>
            <wp:docPr id="14149190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3F6130B" w14:textId="77777777" w:rsidR="001E6C75" w:rsidRPr="00EC02CA" w:rsidRDefault="001E6C75" w:rsidP="001E6C75">
      <w:pPr>
        <w:rPr>
          <w:i/>
          <w:iCs/>
        </w:rPr>
      </w:pPr>
      <w:r w:rsidRPr="00EC02CA">
        <w:rPr>
          <w:i/>
          <w:iCs/>
        </w:rPr>
        <w:t>Source: ABS Criminal Courts data</w:t>
      </w:r>
    </w:p>
    <w:p w14:paraId="4C280234" w14:textId="0BAF22DF" w:rsidR="00201527" w:rsidRPr="00EC02CA" w:rsidRDefault="00D27379" w:rsidP="00A920EC">
      <w:pPr>
        <w:pStyle w:val="NormalNumberedTextTLRI"/>
      </w:pPr>
      <w:r w:rsidRPr="00EC02CA">
        <w:t>In the Youth Justice Division, almost half of all charges were committed for trial, sentence or adjourned to the Supreme Court (</w:t>
      </w:r>
      <w:r w:rsidR="001E6C75" w:rsidRPr="00EC02CA">
        <w:t xml:space="preserve">110; </w:t>
      </w:r>
      <w:r w:rsidRPr="00EC02CA">
        <w:t>46.6%), while one in four charges resulted in dismissal or withdrawal (</w:t>
      </w:r>
      <w:r w:rsidR="001E6C75" w:rsidRPr="00EC02CA">
        <w:t xml:space="preserve">63; </w:t>
      </w:r>
      <w:r w:rsidRPr="00EC02CA">
        <w:t>26.7%). Over one-quarter of charges resulted in a guilty plea or proven charge (</w:t>
      </w:r>
      <w:r w:rsidR="001E6C75" w:rsidRPr="00EC02CA">
        <w:t xml:space="preserve">62; </w:t>
      </w:r>
      <w:r w:rsidRPr="00EC02CA">
        <w:t>26.3%), while one (</w:t>
      </w:r>
      <w:r w:rsidR="00CF13F0" w:rsidRPr="00EC02CA">
        <w:t>0</w:t>
      </w:r>
      <w:r w:rsidRPr="00EC02CA">
        <w:t xml:space="preserve">.4%) method of finalisation was not guilty by way of mental impairment.  </w:t>
      </w:r>
    </w:p>
    <w:p w14:paraId="263CF55B" w14:textId="2DE0E969" w:rsidR="006302FA" w:rsidRPr="00EC02CA" w:rsidRDefault="006302FA" w:rsidP="00A920EC">
      <w:pPr>
        <w:pStyle w:val="TLRISubheading"/>
      </w:pPr>
      <w:bookmarkStart w:id="416" w:name="_Toc211849451"/>
      <w:bookmarkStart w:id="417" w:name="_Toc218157355"/>
      <w:r w:rsidRPr="00EC02CA">
        <w:t xml:space="preserve">Powers of under the </w:t>
      </w:r>
      <w:r w:rsidRPr="00EC02CA">
        <w:rPr>
          <w:i/>
          <w:iCs/>
        </w:rPr>
        <w:t xml:space="preserve">Youth Justice Act 1997 </w:t>
      </w:r>
      <w:r w:rsidR="0099796F" w:rsidRPr="00EC02CA">
        <w:t xml:space="preserve">(Tas) </w:t>
      </w:r>
      <w:r w:rsidR="002F2782" w:rsidRPr="00EC02CA">
        <w:t>for the court</w:t>
      </w:r>
      <w:r w:rsidR="002F2782" w:rsidRPr="00EC02CA">
        <w:rPr>
          <w:i/>
          <w:iCs/>
        </w:rPr>
        <w:t xml:space="preserve"> </w:t>
      </w:r>
      <w:r w:rsidRPr="00EC02CA">
        <w:t>to divert a young person</w:t>
      </w:r>
      <w:bookmarkEnd w:id="416"/>
      <w:bookmarkEnd w:id="417"/>
    </w:p>
    <w:p w14:paraId="0A056314" w14:textId="15DDA0C8" w:rsidR="006302FA" w:rsidRPr="00EC02CA" w:rsidRDefault="002F2782" w:rsidP="00A920EC">
      <w:pPr>
        <w:pStyle w:val="NormalNumberedTextTLRI"/>
      </w:pPr>
      <w:r w:rsidRPr="00EC02CA">
        <w:t xml:space="preserve">As discussed </w:t>
      </w:r>
      <w:r w:rsidR="00DB561C" w:rsidRPr="00EC02CA">
        <w:t>in</w:t>
      </w:r>
      <w:r w:rsidR="002F6692" w:rsidRPr="00EC02CA">
        <w:t xml:space="preserve"> </w:t>
      </w:r>
      <w:r w:rsidR="00DB561C" w:rsidRPr="00EC02CA">
        <w:t>P</w:t>
      </w:r>
      <w:r w:rsidR="002F6692" w:rsidRPr="00EC02CA">
        <w:t xml:space="preserve">art </w:t>
      </w:r>
      <w:r w:rsidR="00541577" w:rsidRPr="00EC02CA">
        <w:t>5</w:t>
      </w:r>
      <w:r w:rsidRPr="00EC02CA">
        <w:t>, f</w:t>
      </w:r>
      <w:r w:rsidR="006302FA" w:rsidRPr="00EC02CA">
        <w:t>ollowing a finding of guilt or a plea of guilty, instead of proceeding to sentence, the</w:t>
      </w:r>
      <w:r w:rsidR="006302FA" w:rsidRPr="00EC02CA">
        <w:rPr>
          <w:i/>
          <w:iCs/>
        </w:rPr>
        <w:t xml:space="preserve"> Youth Justice Act 1997</w:t>
      </w:r>
      <w:r w:rsidR="006302FA" w:rsidRPr="00EC02CA">
        <w:t xml:space="preserve"> </w:t>
      </w:r>
      <w:r w:rsidR="0099796F" w:rsidRPr="00EC02CA">
        <w:t xml:space="preserve">(Tas) </w:t>
      </w:r>
      <w:r w:rsidR="006302FA" w:rsidRPr="00EC02CA">
        <w:t>provides that the Youth Justice Division has several powers that it can use to divert a young person</w:t>
      </w:r>
      <w:r w:rsidR="00FD545C" w:rsidRPr="00EC02CA">
        <w:t xml:space="preserve">. </w:t>
      </w:r>
      <w:r w:rsidR="006302FA" w:rsidRPr="00EC02CA">
        <w:t>The Court is able to</w:t>
      </w:r>
      <w:r w:rsidR="00835DC7" w:rsidRPr="00EC02CA">
        <w:t xml:space="preserve"> </w:t>
      </w:r>
      <w:r w:rsidR="00B7073F" w:rsidRPr="00EC02CA">
        <w:t>o</w:t>
      </w:r>
      <w:r w:rsidR="006302FA" w:rsidRPr="00EC02CA">
        <w:t>rder the young person to attend a community conference</w:t>
      </w:r>
      <w:r w:rsidR="00835DC7" w:rsidRPr="00EC02CA">
        <w:t>,</w:t>
      </w:r>
      <w:r w:rsidR="006302FA" w:rsidRPr="00EC02CA">
        <w:rPr>
          <w:rStyle w:val="FootnoteReference"/>
        </w:rPr>
        <w:footnoteReference w:id="822"/>
      </w:r>
      <w:r w:rsidR="006302FA" w:rsidRPr="00EC02CA">
        <w:t xml:space="preserve"> </w:t>
      </w:r>
      <w:r w:rsidR="00835DC7" w:rsidRPr="00EC02CA">
        <w:t xml:space="preserve">or </w:t>
      </w:r>
      <w:r w:rsidR="00B7073F" w:rsidRPr="00EC02CA">
        <w:t>d</w:t>
      </w:r>
      <w:r w:rsidR="006302FA" w:rsidRPr="00EC02CA">
        <w:t>efer sentencing to allow them to take part in an intervention plan.</w:t>
      </w:r>
      <w:r w:rsidR="006302FA" w:rsidRPr="00EC02CA">
        <w:rPr>
          <w:rStyle w:val="FootnoteReference"/>
        </w:rPr>
        <w:footnoteReference w:id="823"/>
      </w:r>
      <w:r w:rsidR="006302FA" w:rsidRPr="00EC02CA">
        <w:t xml:space="preserve"> </w:t>
      </w:r>
    </w:p>
    <w:p w14:paraId="422B5DD9" w14:textId="0F65C13D" w:rsidR="00E04FF7" w:rsidRPr="00EC02CA" w:rsidRDefault="00FC74DE" w:rsidP="00A920EC">
      <w:pPr>
        <w:pStyle w:val="TLRISubheading"/>
      </w:pPr>
      <w:bookmarkStart w:id="418" w:name="_Toc211849452"/>
      <w:bookmarkStart w:id="419" w:name="_Toc218157356"/>
      <w:r w:rsidRPr="00EC02CA">
        <w:t xml:space="preserve">Sentencing </w:t>
      </w:r>
      <w:r w:rsidR="001216D1" w:rsidRPr="00EC02CA">
        <w:t>on the Youth Justice Division</w:t>
      </w:r>
      <w:bookmarkEnd w:id="418"/>
      <w:bookmarkEnd w:id="419"/>
    </w:p>
    <w:p w14:paraId="1EA77BBC" w14:textId="7CEE3A9C" w:rsidR="00015FCB" w:rsidRPr="00EC02CA" w:rsidRDefault="00F978FF" w:rsidP="002F0007">
      <w:pPr>
        <w:pStyle w:val="NormalNumberedTextTLRI"/>
      </w:pPr>
      <w:r w:rsidRPr="00EC02CA">
        <w:t xml:space="preserve">As </w:t>
      </w:r>
      <w:r w:rsidR="001310E8" w:rsidRPr="00EC02CA">
        <w:t xml:space="preserve">also </w:t>
      </w:r>
      <w:r w:rsidRPr="00EC02CA">
        <w:t xml:space="preserve">discussed in Part </w:t>
      </w:r>
      <w:r w:rsidR="00FD545C" w:rsidRPr="00EC02CA">
        <w:t>5</w:t>
      </w:r>
      <w:r w:rsidRPr="00EC02CA">
        <w:t xml:space="preserve">, the philosophy of youth justice and the focus under the </w:t>
      </w:r>
      <w:r w:rsidRPr="00EC02CA">
        <w:rPr>
          <w:i/>
          <w:iCs/>
        </w:rPr>
        <w:t xml:space="preserve">Youth Justice Act 1997 </w:t>
      </w:r>
      <w:r w:rsidRPr="00EC02CA">
        <w:t>(Tas) is on treatment, rehabilitation and</w:t>
      </w:r>
      <w:r w:rsidR="007944A5" w:rsidRPr="00EC02CA">
        <w:t>,</w:t>
      </w:r>
      <w:r w:rsidRPr="00EC02CA">
        <w:t xml:space="preserve"> if necessary, the imposition of an appropriate sanction.</w:t>
      </w:r>
      <w:r w:rsidRPr="00EC02CA">
        <w:rPr>
          <w:vertAlign w:val="superscript"/>
        </w:rPr>
        <w:footnoteReference w:id="824"/>
      </w:r>
      <w:r w:rsidR="00FA1994" w:rsidRPr="00EC02CA">
        <w:t xml:space="preserve"> </w:t>
      </w:r>
      <w:r w:rsidR="00FA4D90" w:rsidRPr="00EC02CA">
        <w:t>Detention</w:t>
      </w:r>
      <w:r w:rsidR="00FA1994" w:rsidRPr="00EC02CA">
        <w:t xml:space="preserve"> under the </w:t>
      </w:r>
      <w:r w:rsidR="00FA1994" w:rsidRPr="00EC02CA">
        <w:rPr>
          <w:i/>
          <w:iCs/>
        </w:rPr>
        <w:t xml:space="preserve">Youth Justice Act 1997 </w:t>
      </w:r>
      <w:r w:rsidR="00FA1994" w:rsidRPr="00EC02CA">
        <w:t xml:space="preserve">(Tas) is a </w:t>
      </w:r>
      <w:r w:rsidR="00FA4D90" w:rsidRPr="00EC02CA">
        <w:t xml:space="preserve">sanction of ‘last resort and should only be </w:t>
      </w:r>
      <w:r w:rsidR="00EE17D2" w:rsidRPr="00EC02CA">
        <w:t>for as short a time as is necessary’.</w:t>
      </w:r>
      <w:r w:rsidR="00EE17D2" w:rsidRPr="00EC02CA">
        <w:rPr>
          <w:rStyle w:val="FootnoteReference"/>
        </w:rPr>
        <w:footnoteReference w:id="825"/>
      </w:r>
      <w:r w:rsidR="001C1D2F" w:rsidRPr="00EC02CA">
        <w:t xml:space="preserve"> </w:t>
      </w:r>
      <w:r w:rsidR="00CF46A3" w:rsidRPr="00EC02CA">
        <w:t>Reflecting the focus on diversion,</w:t>
      </w:r>
      <w:r w:rsidR="00727317" w:rsidRPr="00EC02CA">
        <w:t xml:space="preserve"> as noted as </w:t>
      </w:r>
      <w:r w:rsidR="00B93EE0" w:rsidRPr="00EC02CA">
        <w:t>[</w:t>
      </w:r>
      <w:r w:rsidR="00924EB3" w:rsidRPr="00EC02CA">
        <w:fldChar w:fldCharType="begin"/>
      </w:r>
      <w:r w:rsidR="00924EB3" w:rsidRPr="00EC02CA">
        <w:instrText xml:space="preserve"> REF _Ref218241809 \r \h </w:instrText>
      </w:r>
      <w:r w:rsidR="00924EB3" w:rsidRPr="00EC02CA">
        <w:fldChar w:fldCharType="separate"/>
      </w:r>
      <w:r w:rsidR="007D7830">
        <w:t>5.6</w:t>
      </w:r>
      <w:r w:rsidR="00924EB3" w:rsidRPr="00EC02CA">
        <w:fldChar w:fldCharType="end"/>
      </w:r>
      <w:r w:rsidR="00087AEB" w:rsidRPr="00EC02CA">
        <w:t>]</w:t>
      </w:r>
      <w:r w:rsidR="00727317" w:rsidRPr="00EC02CA">
        <w:t>,</w:t>
      </w:r>
      <w:r w:rsidR="00CF46A3" w:rsidRPr="00EC02CA">
        <w:t xml:space="preserve"> the</w:t>
      </w:r>
      <w:r w:rsidR="000B6ECB" w:rsidRPr="00EC02CA">
        <w:t xml:space="preserve"> </w:t>
      </w:r>
      <w:r w:rsidR="007944A5" w:rsidRPr="00EC02CA">
        <w:t xml:space="preserve">court has </w:t>
      </w:r>
      <w:r w:rsidR="000B6ECB" w:rsidRPr="00EC02CA">
        <w:t xml:space="preserve">powers to divert young people </w:t>
      </w:r>
      <w:r w:rsidR="00C77083" w:rsidRPr="00EC02CA">
        <w:t xml:space="preserve">prior to sentencing. In imposing sentence, the </w:t>
      </w:r>
      <w:r w:rsidR="00A93D8B" w:rsidRPr="00EC02CA">
        <w:t xml:space="preserve">court may do </w:t>
      </w:r>
      <w:r w:rsidR="00015FCB" w:rsidRPr="00EC02CA">
        <w:t>one or more of the following:</w:t>
      </w:r>
      <w:bookmarkStart w:id="420" w:name="GS47@Gs1@Hpa@EN"/>
      <w:bookmarkEnd w:id="420"/>
    </w:p>
    <w:p w14:paraId="1A42A93A" w14:textId="1D44976B" w:rsidR="00015FCB" w:rsidRPr="00EC02CA" w:rsidRDefault="00015FCB" w:rsidP="00A920EC">
      <w:pPr>
        <w:ind w:left="851" w:hanging="425"/>
      </w:pPr>
      <w:r w:rsidRPr="00EC02CA">
        <w:t>(a)</w:t>
      </w:r>
      <w:r w:rsidR="00C8222E" w:rsidRPr="00EC02CA">
        <w:tab/>
      </w:r>
      <w:r w:rsidRPr="00EC02CA">
        <w:t>dismiss the charge and impose no further sentence;</w:t>
      </w:r>
    </w:p>
    <w:p w14:paraId="0A62C5F4" w14:textId="6B71A7C1" w:rsidR="00015FCB" w:rsidRPr="00EC02CA" w:rsidRDefault="00015FCB" w:rsidP="00A920EC">
      <w:pPr>
        <w:ind w:left="851" w:hanging="425"/>
      </w:pPr>
      <w:bookmarkStart w:id="421" w:name="GS47@Gs1@Hpb@EN"/>
      <w:bookmarkEnd w:id="421"/>
      <w:r w:rsidRPr="00EC02CA">
        <w:t>(b)</w:t>
      </w:r>
      <w:r w:rsidR="00C8222E" w:rsidRPr="00EC02CA">
        <w:tab/>
      </w:r>
      <w:r w:rsidRPr="00EC02CA">
        <w:t>dismiss the charge and reprimand the youth;</w:t>
      </w:r>
    </w:p>
    <w:p w14:paraId="0A50D7BE" w14:textId="0D64ACE3" w:rsidR="00015FCB" w:rsidRPr="00EC02CA" w:rsidRDefault="00F93943" w:rsidP="00A920EC">
      <w:pPr>
        <w:ind w:left="851" w:hanging="425"/>
      </w:pPr>
      <w:bookmarkStart w:id="422" w:name="GS47@Gs1@Hpc@EN"/>
      <w:bookmarkEnd w:id="422"/>
      <w:r w:rsidRPr="00EC02CA">
        <w:t>(c)</w:t>
      </w:r>
      <w:r w:rsidR="00C8222E" w:rsidRPr="00EC02CA">
        <w:tab/>
      </w:r>
      <w:r w:rsidR="00015FCB" w:rsidRPr="00EC02CA">
        <w:t>dismiss the charge and require the youth to enter into an undertaking to be of good behaviour;</w:t>
      </w:r>
    </w:p>
    <w:p w14:paraId="1A595C6F" w14:textId="1A55B38E" w:rsidR="004D2368" w:rsidRPr="00EC02CA" w:rsidRDefault="00015FCB">
      <w:pPr>
        <w:ind w:left="851" w:hanging="425"/>
      </w:pPr>
      <w:bookmarkStart w:id="423" w:name="GS47@Gs1@Hpd@EN"/>
      <w:bookmarkEnd w:id="423"/>
      <w:r w:rsidRPr="00EC02CA">
        <w:t>(d)</w:t>
      </w:r>
      <w:r w:rsidR="00C8222E" w:rsidRPr="00EC02CA">
        <w:tab/>
      </w:r>
      <w:r w:rsidRPr="00EC02CA">
        <w:t>release the youth and adjourn the proceedings on condition</w:t>
      </w:r>
      <w:bookmarkStart w:id="424" w:name="GS47@Gs1@Hpe@EN"/>
      <w:bookmarkEnd w:id="424"/>
      <w:r w:rsidR="005106F2">
        <w:t>;</w:t>
      </w:r>
    </w:p>
    <w:p w14:paraId="47A5819A" w14:textId="028EA790" w:rsidR="00015FCB" w:rsidRPr="00EC02CA" w:rsidRDefault="00015FCB" w:rsidP="00A920EC">
      <w:pPr>
        <w:ind w:left="851" w:hanging="425"/>
      </w:pPr>
      <w:r w:rsidRPr="00EC02CA">
        <w:t>(e)</w:t>
      </w:r>
      <w:r w:rsidR="00C8222E" w:rsidRPr="00EC02CA">
        <w:tab/>
      </w:r>
      <w:r w:rsidRPr="00EC02CA">
        <w:t>impose a fine;</w:t>
      </w:r>
    </w:p>
    <w:p w14:paraId="3369CC49" w14:textId="35BEE873" w:rsidR="00015FCB" w:rsidRPr="00EC02CA" w:rsidRDefault="00015FCB" w:rsidP="00A920EC">
      <w:pPr>
        <w:ind w:left="851" w:hanging="425"/>
      </w:pPr>
      <w:bookmarkStart w:id="425" w:name="GS47@Gs1@Hpf@EN"/>
      <w:bookmarkEnd w:id="425"/>
      <w:r w:rsidRPr="00EC02CA">
        <w:t>(f)</w:t>
      </w:r>
      <w:r w:rsidR="00C8222E" w:rsidRPr="00EC02CA">
        <w:tab/>
      </w:r>
      <w:r w:rsidRPr="00EC02CA">
        <w:t>make a probation order;</w:t>
      </w:r>
    </w:p>
    <w:p w14:paraId="7CCED01A" w14:textId="77E852E7" w:rsidR="00015FCB" w:rsidRPr="00EC02CA" w:rsidRDefault="00015FCB" w:rsidP="00A920EC">
      <w:pPr>
        <w:ind w:left="851" w:hanging="425"/>
      </w:pPr>
      <w:bookmarkStart w:id="426" w:name="GS47@Gs1@Hpg@EN"/>
      <w:bookmarkEnd w:id="426"/>
      <w:r w:rsidRPr="00EC02CA">
        <w:t>(g)</w:t>
      </w:r>
      <w:r w:rsidR="00C8222E" w:rsidRPr="00EC02CA">
        <w:tab/>
      </w:r>
      <w:r w:rsidRPr="00EC02CA">
        <w:t>order that the youth perform community service;</w:t>
      </w:r>
    </w:p>
    <w:p w14:paraId="25126F81" w14:textId="26C15192" w:rsidR="00015FCB" w:rsidRPr="00EC02CA" w:rsidRDefault="00015FCB" w:rsidP="00A920EC">
      <w:pPr>
        <w:ind w:left="851" w:hanging="425"/>
      </w:pPr>
      <w:bookmarkStart w:id="427" w:name="GS47@Gs1@Hph@EN"/>
      <w:bookmarkEnd w:id="427"/>
      <w:r w:rsidRPr="00EC02CA">
        <w:t>(h)</w:t>
      </w:r>
      <w:r w:rsidR="00C8222E" w:rsidRPr="00EC02CA">
        <w:tab/>
      </w:r>
      <w:r w:rsidRPr="00EC02CA">
        <w:t>make a detention order;</w:t>
      </w:r>
    </w:p>
    <w:p w14:paraId="4F4C7DA8" w14:textId="57F7219A" w:rsidR="00015FCB" w:rsidRPr="00EC02CA" w:rsidRDefault="00015FCB" w:rsidP="00A920EC">
      <w:pPr>
        <w:ind w:left="851" w:hanging="425"/>
      </w:pPr>
      <w:bookmarkStart w:id="428" w:name="GS47@Gs1@Hpha@EN"/>
      <w:bookmarkEnd w:id="428"/>
      <w:r w:rsidRPr="00EC02CA">
        <w:t>(ha)</w:t>
      </w:r>
      <w:r w:rsidR="00C8222E" w:rsidRPr="00EC02CA">
        <w:tab/>
      </w:r>
      <w:r w:rsidRPr="00EC02CA">
        <w:t>make an order it is permitted to make in accordance with</w:t>
      </w:r>
      <w:r w:rsidR="00C8222E" w:rsidRPr="00EC02CA">
        <w:t xml:space="preserve"> </w:t>
      </w:r>
      <w:r w:rsidR="007944A5" w:rsidRPr="00EC02CA">
        <w:t>s</w:t>
      </w:r>
      <w:r w:rsidR="00C8222E" w:rsidRPr="00EC02CA">
        <w:t xml:space="preserve"> </w:t>
      </w:r>
      <w:r w:rsidRPr="00EC02CA">
        <w:t>161A</w:t>
      </w:r>
      <w:r w:rsidR="00C86CD7" w:rsidRPr="00EC02CA">
        <w:t xml:space="preserve"> (these are sentences under the </w:t>
      </w:r>
      <w:r w:rsidR="00C86CD7" w:rsidRPr="00EC02CA">
        <w:rPr>
          <w:i/>
          <w:iCs/>
        </w:rPr>
        <w:t>Sentencing Act 1997</w:t>
      </w:r>
      <w:r w:rsidR="00C86CD7" w:rsidRPr="00EC02CA">
        <w:t xml:space="preserve"> (Ta</w:t>
      </w:r>
      <w:r w:rsidR="00C8222E" w:rsidRPr="00EC02CA">
        <w:t>s</w:t>
      </w:r>
      <w:r w:rsidR="00C86CD7" w:rsidRPr="00EC02CA">
        <w:t>) for a youth who is 18 years or more at the time of sentence)</w:t>
      </w:r>
      <w:r w:rsidRPr="00EC02CA">
        <w:t>;</w:t>
      </w:r>
    </w:p>
    <w:p w14:paraId="447D6F0C" w14:textId="3ED0FA98" w:rsidR="00015FCB" w:rsidRPr="00EC02CA" w:rsidRDefault="00015FCB" w:rsidP="00A920EC">
      <w:pPr>
        <w:ind w:left="851" w:hanging="425"/>
      </w:pPr>
      <w:bookmarkStart w:id="429" w:name="GS47@Gs1@Hpi@EN"/>
      <w:bookmarkEnd w:id="429"/>
      <w:r w:rsidRPr="00EC02CA">
        <w:t>(i)</w:t>
      </w:r>
      <w:r w:rsidR="00C8222E" w:rsidRPr="00EC02CA">
        <w:tab/>
      </w:r>
      <w:r w:rsidRPr="00EC02CA">
        <w:t>in the case of a family violence offence, make a rehabilitation program order;</w:t>
      </w:r>
    </w:p>
    <w:p w14:paraId="41027E52" w14:textId="497FD173" w:rsidR="00015FCB" w:rsidRPr="00EC02CA" w:rsidRDefault="00015FCB" w:rsidP="00A920EC">
      <w:pPr>
        <w:ind w:left="851" w:hanging="425"/>
      </w:pPr>
      <w:bookmarkStart w:id="430" w:name="GS47@Gs1@Hpj@EN"/>
      <w:bookmarkEnd w:id="430"/>
      <w:r w:rsidRPr="00EC02CA">
        <w:t>(j)</w:t>
      </w:r>
      <w:r w:rsidR="00C8222E" w:rsidRPr="00EC02CA">
        <w:tab/>
      </w:r>
      <w:r w:rsidRPr="00EC02CA">
        <w:t>adjourn the proceedings, grant bail to the youth under the</w:t>
      </w:r>
      <w:r w:rsidR="00C8222E" w:rsidRPr="00EC02CA">
        <w:t xml:space="preserve"> </w:t>
      </w:r>
      <w:r w:rsidRPr="00EC02CA">
        <w:rPr>
          <w:i/>
          <w:iCs/>
        </w:rPr>
        <w:t>Bail Act 1994</w:t>
      </w:r>
      <w:r w:rsidR="00C8222E" w:rsidRPr="00EC02CA">
        <w:t xml:space="preserve"> </w:t>
      </w:r>
      <w:r w:rsidR="007944A5" w:rsidRPr="00EC02CA">
        <w:t xml:space="preserve">(Tas) </w:t>
      </w:r>
      <w:r w:rsidRPr="00EC02CA">
        <w:t>and defer, in accordance with</w:t>
      </w:r>
      <w:r w:rsidR="00C8222E" w:rsidRPr="00EC02CA">
        <w:t xml:space="preserve"> </w:t>
      </w:r>
      <w:r w:rsidRPr="00EC02CA">
        <w:t>Division</w:t>
      </w:r>
      <w:r w:rsidR="00C8222E" w:rsidRPr="00EC02CA">
        <w:t xml:space="preserve"> </w:t>
      </w:r>
      <w:r w:rsidRPr="00EC02CA">
        <w:t>7A,</w:t>
      </w:r>
      <w:r w:rsidR="00C8222E" w:rsidRPr="00EC02CA">
        <w:t xml:space="preserve"> </w:t>
      </w:r>
      <w:r w:rsidRPr="00EC02CA">
        <w:t>sentencing the youth until a date specified in the order.</w:t>
      </w:r>
    </w:p>
    <w:p w14:paraId="6D777DD1" w14:textId="576FD1EF" w:rsidR="00484844" w:rsidRPr="00EC02CA" w:rsidRDefault="006F581A" w:rsidP="00A920EC">
      <w:pPr>
        <w:pStyle w:val="TLRISubheading"/>
      </w:pPr>
      <w:bookmarkStart w:id="431" w:name="_Toc211849453"/>
      <w:bookmarkStart w:id="432" w:name="_Toc218157357"/>
      <w:r w:rsidRPr="00EC02CA">
        <w:t>Sentencing young people for sexual offences in the Youth Justice Division</w:t>
      </w:r>
      <w:bookmarkEnd w:id="431"/>
      <w:bookmarkEnd w:id="432"/>
    </w:p>
    <w:p w14:paraId="3DD6ED9A" w14:textId="59549B39" w:rsidR="004A4114" w:rsidRPr="00EC02CA" w:rsidRDefault="004A4114" w:rsidP="002F0007">
      <w:pPr>
        <w:pStyle w:val="NormalNumberedTextTLRI"/>
      </w:pPr>
      <w:r w:rsidRPr="00EC02CA">
        <w:t>In the period 2013</w:t>
      </w:r>
      <w:r w:rsidR="007944A5" w:rsidRPr="00EC02CA">
        <w:t>–</w:t>
      </w:r>
      <w:r w:rsidRPr="00EC02CA">
        <w:t>14 to 2023</w:t>
      </w:r>
      <w:r w:rsidR="007944A5" w:rsidRPr="00EC02CA">
        <w:t>–</w:t>
      </w:r>
      <w:r w:rsidRPr="00EC02CA">
        <w:t xml:space="preserve">24, of the 63 charges that resulted in sentencing outcomes in the Youth Justice Division, </w:t>
      </w:r>
      <w:r w:rsidR="001E6C75" w:rsidRPr="00EC02CA">
        <w:t>18 (</w:t>
      </w:r>
      <w:r w:rsidRPr="00EC02CA">
        <w:t>28.6</w:t>
      </w:r>
      <w:r w:rsidR="00BB71B8" w:rsidRPr="00EC02CA">
        <w:t>%</w:t>
      </w:r>
      <w:r w:rsidR="001E6C75" w:rsidRPr="00EC02CA">
        <w:t>)</w:t>
      </w:r>
      <w:r w:rsidRPr="00EC02CA">
        <w:t xml:space="preserve"> resulted in a youth justice detention order, with a further </w:t>
      </w:r>
      <w:r w:rsidR="007944A5" w:rsidRPr="00EC02CA">
        <w:t>four</w:t>
      </w:r>
      <w:r w:rsidR="001E6C75" w:rsidRPr="00EC02CA">
        <w:t xml:space="preserve"> (</w:t>
      </w:r>
      <w:r w:rsidRPr="00EC02CA">
        <w:t>6.3</w:t>
      </w:r>
      <w:r w:rsidR="00BB71B8" w:rsidRPr="00EC02CA">
        <w:t>%</w:t>
      </w:r>
      <w:r w:rsidRPr="00EC02CA">
        <w:t>) resulting in imprisonment wholly suspended. The remaining sentencing outcomes included probation orders (30.2%)</w:t>
      </w:r>
      <w:r w:rsidR="007944A5" w:rsidRPr="00EC02CA">
        <w:t>,</w:t>
      </w:r>
      <w:r w:rsidRPr="00EC02CA">
        <w:t xml:space="preserve"> release on conditions (14.3%), recognisance</w:t>
      </w:r>
      <w:r w:rsidR="007944A5" w:rsidRPr="00EC02CA">
        <w:t xml:space="preserve"> orders</w:t>
      </w:r>
      <w:r w:rsidRPr="00EC02CA">
        <w:t xml:space="preserve"> (22.2%), community service</w:t>
      </w:r>
      <w:r w:rsidR="007944A5" w:rsidRPr="00EC02CA">
        <w:t xml:space="preserve"> orders</w:t>
      </w:r>
      <w:r w:rsidRPr="00EC02CA">
        <w:t xml:space="preserve"> (7.9%) community correction order</w:t>
      </w:r>
      <w:r w:rsidR="007944A5" w:rsidRPr="00EC02CA">
        <w:t>s</w:t>
      </w:r>
      <w:r w:rsidRPr="00EC02CA">
        <w:t xml:space="preserve"> (3.2%), driving disqualification</w:t>
      </w:r>
      <w:r w:rsidR="007944A5" w:rsidRPr="00EC02CA">
        <w:t>s</w:t>
      </w:r>
      <w:r w:rsidRPr="00EC02CA">
        <w:t xml:space="preserve"> (3.2%)</w:t>
      </w:r>
      <w:r w:rsidR="007944A5" w:rsidRPr="00EC02CA">
        <w:t>,</w:t>
      </w:r>
      <w:r w:rsidRPr="00EC02CA">
        <w:t xml:space="preserve"> or fines (33.3%). </w:t>
      </w:r>
    </w:p>
    <w:p w14:paraId="7965F399" w14:textId="21457385" w:rsidR="004A4114" w:rsidRPr="00EC02CA" w:rsidRDefault="004A4114" w:rsidP="00A920EC">
      <w:pPr>
        <w:keepNext/>
        <w:keepLines/>
      </w:pPr>
      <w:r w:rsidRPr="00EC02CA">
        <w:rPr>
          <w:b/>
          <w:bCs/>
        </w:rPr>
        <w:t xml:space="preserve">Figure </w:t>
      </w:r>
      <w:r w:rsidR="0099796F" w:rsidRPr="00EC02CA">
        <w:rPr>
          <w:b/>
          <w:bCs/>
        </w:rPr>
        <w:t>8</w:t>
      </w:r>
      <w:r w:rsidRPr="00EC02CA">
        <w:rPr>
          <w:b/>
          <w:bCs/>
        </w:rPr>
        <w:t>.</w:t>
      </w:r>
      <w:r w:rsidR="0099796F" w:rsidRPr="00EC02CA">
        <w:rPr>
          <w:b/>
          <w:bCs/>
        </w:rPr>
        <w:t>4</w:t>
      </w:r>
      <w:r w:rsidRPr="00EC02CA">
        <w:t xml:space="preserve"> Youth Justice Division, </w:t>
      </w:r>
      <w:r w:rsidR="00BB71B8" w:rsidRPr="00EC02CA">
        <w:t>s</w:t>
      </w:r>
      <w:r w:rsidRPr="00EC02CA">
        <w:t xml:space="preserve">entencing </w:t>
      </w:r>
      <w:r w:rsidR="00BB71B8" w:rsidRPr="00EC02CA">
        <w:t>o</w:t>
      </w:r>
      <w:r w:rsidRPr="00EC02CA">
        <w:t xml:space="preserve">utcomes for </w:t>
      </w:r>
      <w:r w:rsidR="00BB71B8" w:rsidRPr="00EC02CA">
        <w:t>s</w:t>
      </w:r>
      <w:r w:rsidRPr="00EC02CA">
        <w:t xml:space="preserve">exual </w:t>
      </w:r>
      <w:r w:rsidR="00BB71B8" w:rsidRPr="00EC02CA">
        <w:t>o</w:t>
      </w:r>
      <w:r w:rsidRPr="00EC02CA">
        <w:t>ffence charges</w:t>
      </w:r>
      <w:r w:rsidR="00BB71B8" w:rsidRPr="00EC02CA">
        <w:t>,</w:t>
      </w:r>
      <w:r w:rsidRPr="00EC02CA">
        <w:t xml:space="preserve"> 2013</w:t>
      </w:r>
      <w:r w:rsidR="000B6656" w:rsidRPr="00EC02CA">
        <w:t>–</w:t>
      </w:r>
      <w:r w:rsidRPr="00EC02CA">
        <w:t>14 to 2023</w:t>
      </w:r>
      <w:r w:rsidR="000B6656" w:rsidRPr="00EC02CA">
        <w:t>–</w:t>
      </w:r>
      <w:r w:rsidRPr="00EC02CA">
        <w:t>24</w:t>
      </w:r>
    </w:p>
    <w:p w14:paraId="4EA0A778" w14:textId="77777777" w:rsidR="007944A5" w:rsidRPr="00EC02CA" w:rsidRDefault="000D4B2B">
      <w:pPr>
        <w:keepNext/>
        <w:keepLines/>
        <w:spacing w:before="120"/>
        <w:rPr>
          <w:i/>
          <w:iCs/>
        </w:rPr>
      </w:pPr>
      <w:r w:rsidRPr="00EC02CA">
        <w:rPr>
          <w:noProof/>
        </w:rPr>
        <w:drawing>
          <wp:inline distT="0" distB="0" distL="0" distR="0" wp14:anchorId="250407CB" wp14:editId="701B7005">
            <wp:extent cx="5676265" cy="4775981"/>
            <wp:effectExtent l="0" t="0" r="635" b="5715"/>
            <wp:docPr id="69001089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4C1E766" w14:textId="448C1F7C" w:rsidR="004A4114" w:rsidRPr="00EC02CA" w:rsidRDefault="000D4B2B" w:rsidP="00A920EC">
      <w:pPr>
        <w:keepNext/>
        <w:keepLines/>
        <w:spacing w:before="120"/>
        <w:rPr>
          <w:highlight w:val="yellow"/>
        </w:rPr>
      </w:pPr>
      <w:r w:rsidRPr="00EC02CA">
        <w:rPr>
          <w:i/>
          <w:iCs/>
        </w:rPr>
        <w:t>Source: Unpublished data, Department of Justice</w:t>
      </w:r>
    </w:p>
    <w:p w14:paraId="75D049F0" w14:textId="01B4BB4C" w:rsidR="009E4E43" w:rsidRPr="00EC02CA" w:rsidRDefault="009E4E43" w:rsidP="005F72D3">
      <w:pPr>
        <w:pStyle w:val="NumberedHeadingTLRI"/>
      </w:pPr>
      <w:bookmarkStart w:id="433" w:name="_Toc211849454"/>
      <w:bookmarkStart w:id="434" w:name="_Ref217987503"/>
      <w:bookmarkStart w:id="435" w:name="_Toc218157358"/>
      <w:bookmarkStart w:id="436" w:name="_Ref218241437"/>
      <w:bookmarkStart w:id="437" w:name="_Ref218242079"/>
      <w:bookmarkStart w:id="438" w:name="_Ref218242214"/>
      <w:r w:rsidRPr="00EC02CA">
        <w:t>The Supreme Court</w:t>
      </w:r>
      <w:bookmarkEnd w:id="433"/>
      <w:bookmarkEnd w:id="434"/>
      <w:bookmarkEnd w:id="435"/>
      <w:bookmarkEnd w:id="436"/>
      <w:bookmarkEnd w:id="437"/>
      <w:bookmarkEnd w:id="438"/>
    </w:p>
    <w:p w14:paraId="3899E37C" w14:textId="2CA68845" w:rsidR="006302FA" w:rsidRPr="00EC02CA" w:rsidRDefault="006302FA" w:rsidP="00A920EC">
      <w:pPr>
        <w:pStyle w:val="TLRISubheading"/>
      </w:pPr>
      <w:bookmarkStart w:id="439" w:name="_Toc211849455"/>
      <w:bookmarkStart w:id="440" w:name="_Toc218157359"/>
      <w:r w:rsidRPr="00EC02CA">
        <w:t>Jurisdiction</w:t>
      </w:r>
      <w:bookmarkEnd w:id="439"/>
      <w:bookmarkEnd w:id="440"/>
    </w:p>
    <w:p w14:paraId="7C05C361" w14:textId="2381E8E8" w:rsidR="006302FA" w:rsidRPr="00EC02CA" w:rsidRDefault="00D90427" w:rsidP="002F0007">
      <w:pPr>
        <w:pStyle w:val="NormalNumberedTextTLRI"/>
      </w:pPr>
      <w:r w:rsidRPr="00EC02CA">
        <w:t xml:space="preserve">As noted, the Supreme Court </w:t>
      </w:r>
      <w:r w:rsidR="00342A3F" w:rsidRPr="00EC02CA">
        <w:t xml:space="preserve">will hear </w:t>
      </w:r>
      <w:r w:rsidRPr="00EC02CA">
        <w:t>matter</w:t>
      </w:r>
      <w:r w:rsidR="00342A3F" w:rsidRPr="00EC02CA">
        <w:t>s</w:t>
      </w:r>
      <w:r w:rsidRPr="00EC02CA">
        <w:t xml:space="preserve"> where a young person </w:t>
      </w:r>
      <w:r w:rsidR="004232C1" w:rsidRPr="00EC02CA">
        <w:t xml:space="preserve">aged </w:t>
      </w:r>
      <w:r w:rsidR="00533C82" w:rsidRPr="00EC02CA">
        <w:t>14</w:t>
      </w:r>
      <w:r w:rsidR="004232C1" w:rsidRPr="00EC02CA">
        <w:t xml:space="preserve"> and older </w:t>
      </w:r>
      <w:r w:rsidRPr="00EC02CA">
        <w:t>is charged with</w:t>
      </w:r>
      <w:r w:rsidR="00120BF6" w:rsidRPr="00EC02CA">
        <w:t xml:space="preserve"> an offence of</w:t>
      </w:r>
      <w:r w:rsidRPr="00EC02CA">
        <w:t xml:space="preserve"> rape, aggravated sexual assault</w:t>
      </w:r>
      <w:r w:rsidR="00A86CDE" w:rsidRPr="00EC02CA">
        <w:t>,</w:t>
      </w:r>
      <w:r w:rsidRPr="00EC02CA">
        <w:t xml:space="preserve"> or persistent sexual abuse of young person.</w:t>
      </w:r>
      <w:r w:rsidR="00712FB1" w:rsidRPr="00EC02CA">
        <w:rPr>
          <w:rStyle w:val="FootnoteReference"/>
        </w:rPr>
        <w:footnoteReference w:id="826"/>
      </w:r>
      <w:r w:rsidRPr="00EC02CA">
        <w:t xml:space="preserve"> </w:t>
      </w:r>
      <w:r w:rsidR="00880B78" w:rsidRPr="00EC02CA">
        <w:t xml:space="preserve">In addition to </w:t>
      </w:r>
      <w:r w:rsidR="00FD545C" w:rsidRPr="00EC02CA">
        <w:t xml:space="preserve">these </w:t>
      </w:r>
      <w:r w:rsidR="00880B78" w:rsidRPr="00EC02CA">
        <w:t>prescribed offences not being heard in the Youth Justice Division, there are also different sentencing principles that apply</w:t>
      </w:r>
      <w:r w:rsidR="00FD545C" w:rsidRPr="00EC02CA">
        <w:t xml:space="preserve"> in the Supreme Court</w:t>
      </w:r>
      <w:r w:rsidR="00880B78" w:rsidRPr="00EC02CA">
        <w:t xml:space="preserve">. </w:t>
      </w:r>
      <w:r w:rsidR="00D34448" w:rsidRPr="00EC02CA">
        <w:t xml:space="preserve">This is discussed </w:t>
      </w:r>
      <w:r w:rsidR="00FB450C" w:rsidRPr="00EC02CA">
        <w:t>below</w:t>
      </w:r>
      <w:r w:rsidR="00D34448" w:rsidRPr="00EC02CA">
        <w:t>.</w:t>
      </w:r>
    </w:p>
    <w:p w14:paraId="26E14CD6" w14:textId="06E54B8A" w:rsidR="001216D1" w:rsidRPr="00EC02CA" w:rsidRDefault="001216D1" w:rsidP="00A920EC">
      <w:pPr>
        <w:pStyle w:val="TLRISubheading"/>
      </w:pPr>
      <w:bookmarkStart w:id="441" w:name="_Toc211849456"/>
      <w:bookmarkStart w:id="442" w:name="_Toc218157360"/>
      <w:r w:rsidRPr="00EC02CA">
        <w:t>Young people finalised in the Supreme Court for sexual offences</w:t>
      </w:r>
      <w:bookmarkEnd w:id="441"/>
      <w:bookmarkEnd w:id="442"/>
    </w:p>
    <w:p w14:paraId="43E6C002" w14:textId="5F8574ED" w:rsidR="001216D1" w:rsidRPr="00EC02CA" w:rsidRDefault="001216D1" w:rsidP="002F0007">
      <w:pPr>
        <w:pStyle w:val="NormalNumberedTextTLRI"/>
      </w:pPr>
      <w:r w:rsidRPr="00EC02CA">
        <w:t>In the Supreme Court, in the period 2013</w:t>
      </w:r>
      <w:r w:rsidR="00D612F8" w:rsidRPr="00EC02CA">
        <w:t>–</w:t>
      </w:r>
      <w:r w:rsidRPr="00EC02CA">
        <w:t xml:space="preserve">14, there were 53 </w:t>
      </w:r>
      <w:r w:rsidR="00D612F8" w:rsidRPr="00EC02CA">
        <w:t>cases</w:t>
      </w:r>
      <w:r w:rsidR="009B72D9" w:rsidRPr="00EC02CA">
        <w:t xml:space="preserve"> finalised </w:t>
      </w:r>
      <w:r w:rsidR="00D612F8" w:rsidRPr="00EC02CA">
        <w:t xml:space="preserve">involving </w:t>
      </w:r>
      <w:r w:rsidR="00582082" w:rsidRPr="00EC02CA">
        <w:t>young people</w:t>
      </w:r>
      <w:r w:rsidRPr="00EC02CA">
        <w:t xml:space="preserve"> </w:t>
      </w:r>
      <w:r w:rsidR="009B72D9" w:rsidRPr="00EC02CA">
        <w:t>charged with</w:t>
      </w:r>
      <w:r w:rsidRPr="00EC02CA">
        <w:t xml:space="preserve"> a sexual offence</w:t>
      </w:r>
      <w:r w:rsidR="009B72D9" w:rsidRPr="00EC02CA">
        <w:t>.</w:t>
      </w:r>
      <w:r w:rsidRPr="00EC02CA">
        <w:rPr>
          <w:rStyle w:val="FootnoteReference"/>
        </w:rPr>
        <w:footnoteReference w:id="827"/>
      </w:r>
      <w:r w:rsidRPr="00EC02CA">
        <w:t xml:space="preserve"> </w:t>
      </w:r>
      <w:r w:rsidR="009B72D9" w:rsidRPr="00EC02CA">
        <w:t>S</w:t>
      </w:r>
      <w:r w:rsidRPr="00EC02CA">
        <w:t>exual offence charges represent</w:t>
      </w:r>
      <w:r w:rsidR="009B72D9" w:rsidRPr="00EC02CA">
        <w:t>ed</w:t>
      </w:r>
      <w:r w:rsidRPr="00EC02CA">
        <w:t xml:space="preserve"> 33% of all charges against young people finalised. </w:t>
      </w:r>
      <w:r w:rsidR="009B72D9" w:rsidRPr="00EC02CA">
        <w:t xml:space="preserve">During </w:t>
      </w:r>
      <w:r w:rsidRPr="00EC02CA">
        <w:t>this period, there were 115 charges again</w:t>
      </w:r>
      <w:r w:rsidR="00FD545C" w:rsidRPr="00EC02CA">
        <w:t>st</w:t>
      </w:r>
      <w:r w:rsidRPr="00EC02CA">
        <w:t xml:space="preserve"> young people finalised, with the numbers each year </w:t>
      </w:r>
      <w:r w:rsidR="009B72D9" w:rsidRPr="00EC02CA">
        <w:t xml:space="preserve">ranging </w:t>
      </w:r>
      <w:r w:rsidRPr="00EC02CA">
        <w:t>from no charges finalised to 20 charges finalised.</w:t>
      </w:r>
    </w:p>
    <w:p w14:paraId="0660E8AB" w14:textId="1DE391C0" w:rsidR="001216D1" w:rsidRPr="00EC02CA" w:rsidRDefault="001216D1" w:rsidP="00A920EC">
      <w:r w:rsidRPr="00EC02CA">
        <w:rPr>
          <w:b/>
          <w:bCs/>
        </w:rPr>
        <w:t xml:space="preserve">Figure </w:t>
      </w:r>
      <w:r w:rsidR="0099796F" w:rsidRPr="00EC02CA">
        <w:rPr>
          <w:b/>
          <w:bCs/>
        </w:rPr>
        <w:t>8</w:t>
      </w:r>
      <w:r w:rsidRPr="00EC02CA">
        <w:rPr>
          <w:b/>
          <w:bCs/>
        </w:rPr>
        <w:t>.</w:t>
      </w:r>
      <w:r w:rsidR="0099796F" w:rsidRPr="00EC02CA">
        <w:rPr>
          <w:b/>
          <w:bCs/>
        </w:rPr>
        <w:t>5</w:t>
      </w:r>
      <w:r w:rsidRPr="00EC02CA">
        <w:t xml:space="preserve"> Number of finalised youth defendants and sexual offence charges in the Supreme Court</w:t>
      </w:r>
    </w:p>
    <w:p w14:paraId="479D7EDF" w14:textId="253B2586" w:rsidR="005A085C" w:rsidRPr="00EC02CA" w:rsidRDefault="005A085C" w:rsidP="00A920EC">
      <w:r w:rsidRPr="00EC02CA">
        <w:rPr>
          <w:noProof/>
        </w:rPr>
        <w:drawing>
          <wp:inline distT="0" distB="0" distL="0" distR="0" wp14:anchorId="691B3BA0" wp14:editId="7A77548D">
            <wp:extent cx="5769033" cy="3158836"/>
            <wp:effectExtent l="0" t="0" r="3175" b="3810"/>
            <wp:docPr id="67523280" name="Chart 1">
              <a:extLst xmlns:a="http://schemas.openxmlformats.org/drawingml/2006/main">
                <a:ext uri="{FF2B5EF4-FFF2-40B4-BE49-F238E27FC236}">
                  <a16:creationId xmlns:a16="http://schemas.microsoft.com/office/drawing/2014/main" id="{09B7AD85-A0B6-DBE1-0293-2779AD3F5E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D0536A9" w14:textId="65A28207" w:rsidR="001216D1" w:rsidRPr="00EC02CA" w:rsidRDefault="001216D1" w:rsidP="00A920EC">
      <w:pPr>
        <w:rPr>
          <w:i/>
          <w:iCs/>
          <w:highlight w:val="yellow"/>
        </w:rPr>
      </w:pPr>
      <w:r w:rsidRPr="00EC02CA">
        <w:rPr>
          <w:i/>
          <w:iCs/>
        </w:rPr>
        <w:t>Source: Unpublished data</w:t>
      </w:r>
      <w:r w:rsidR="004A4114" w:rsidRPr="00EC02CA">
        <w:rPr>
          <w:i/>
          <w:iCs/>
        </w:rPr>
        <w:t>, Department of Justice</w:t>
      </w:r>
    </w:p>
    <w:p w14:paraId="5C0ECA1C" w14:textId="00C363B5" w:rsidR="001216D1" w:rsidRPr="00EC02CA" w:rsidRDefault="001216D1" w:rsidP="002F0007">
      <w:pPr>
        <w:pStyle w:val="NormalNumberedTextTLRI"/>
      </w:pPr>
      <w:r w:rsidRPr="00EC02CA">
        <w:t xml:space="preserve">As shown by Figure </w:t>
      </w:r>
      <w:r w:rsidR="0099796F" w:rsidRPr="00EC02CA">
        <w:t>8</w:t>
      </w:r>
      <w:r w:rsidRPr="00EC02CA">
        <w:t>.</w:t>
      </w:r>
      <w:r w:rsidR="0099796F" w:rsidRPr="00EC02CA">
        <w:t>6</w:t>
      </w:r>
      <w:r w:rsidRPr="00EC02CA">
        <w:t>, over the period 2013</w:t>
      </w:r>
      <w:r w:rsidR="00930213" w:rsidRPr="00EC02CA">
        <w:t>–</w:t>
      </w:r>
      <w:r w:rsidRPr="00EC02CA">
        <w:t>14 to 2023</w:t>
      </w:r>
      <w:r w:rsidR="00930213" w:rsidRPr="00EC02CA">
        <w:t>–</w:t>
      </w:r>
      <w:r w:rsidRPr="00EC02CA">
        <w:t xml:space="preserve">24, most of the charges </w:t>
      </w:r>
      <w:r w:rsidR="001E6C75" w:rsidRPr="00EC02CA">
        <w:t xml:space="preserve">(82; 71.3%) </w:t>
      </w:r>
      <w:r w:rsidRPr="00EC02CA">
        <w:t>related to sexual assault of an adult</w:t>
      </w:r>
      <w:r w:rsidR="001E6C75" w:rsidRPr="00EC02CA">
        <w:t>,</w:t>
      </w:r>
      <w:r w:rsidRPr="00EC02CA">
        <w:t xml:space="preserve"> with 26 (22.6%) relating to sexual abuse of a child. There were </w:t>
      </w:r>
      <w:r w:rsidR="002754A4" w:rsidRPr="00EC02CA">
        <w:t>six</w:t>
      </w:r>
      <w:r w:rsidRPr="00EC02CA">
        <w:t xml:space="preserve"> child exploitation material charges dealt with in the Supreme Court.</w:t>
      </w:r>
    </w:p>
    <w:p w14:paraId="3E6C7069" w14:textId="7F613C71" w:rsidR="001216D1" w:rsidRPr="00EC02CA" w:rsidRDefault="001216D1" w:rsidP="00A920EC">
      <w:pPr>
        <w:keepNext/>
        <w:keepLines/>
      </w:pPr>
      <w:r w:rsidRPr="00EC02CA">
        <w:rPr>
          <w:b/>
          <w:bCs/>
        </w:rPr>
        <w:t xml:space="preserve">Figure </w:t>
      </w:r>
      <w:r w:rsidR="0099796F" w:rsidRPr="00EC02CA">
        <w:rPr>
          <w:b/>
          <w:bCs/>
        </w:rPr>
        <w:t>8</w:t>
      </w:r>
      <w:r w:rsidRPr="00EC02CA">
        <w:rPr>
          <w:b/>
          <w:bCs/>
        </w:rPr>
        <w:t>.</w:t>
      </w:r>
      <w:r w:rsidR="0099796F" w:rsidRPr="00EC02CA">
        <w:rPr>
          <w:b/>
          <w:bCs/>
        </w:rPr>
        <w:t>6</w:t>
      </w:r>
      <w:r w:rsidRPr="00EC02CA">
        <w:t>: Supreme Court</w:t>
      </w:r>
      <w:r w:rsidR="00BB71B8" w:rsidRPr="00EC02CA">
        <w:t>,</w:t>
      </w:r>
      <w:r w:rsidRPr="00EC02CA">
        <w:t xml:space="preserve"> </w:t>
      </w:r>
      <w:r w:rsidR="00BB71B8" w:rsidRPr="00EC02CA">
        <w:t>s</w:t>
      </w:r>
      <w:r w:rsidRPr="00EC02CA">
        <w:t>exual offence charges finalised</w:t>
      </w:r>
      <w:r w:rsidR="00BB71B8" w:rsidRPr="00EC02CA">
        <w:t>,</w:t>
      </w:r>
      <w:r w:rsidRPr="00EC02CA">
        <w:t xml:space="preserve"> 2013</w:t>
      </w:r>
      <w:r w:rsidR="007937A0" w:rsidRPr="00EC02CA">
        <w:t>–</w:t>
      </w:r>
      <w:r w:rsidRPr="00EC02CA">
        <w:t>14 to 2023</w:t>
      </w:r>
      <w:r w:rsidR="007937A0" w:rsidRPr="00EC02CA">
        <w:t>–</w:t>
      </w:r>
      <w:r w:rsidRPr="00EC02CA">
        <w:t>24</w:t>
      </w:r>
    </w:p>
    <w:p w14:paraId="002DB90A" w14:textId="77777777" w:rsidR="009B72D9" w:rsidRPr="00EC02CA" w:rsidRDefault="001216D1">
      <w:pPr>
        <w:keepNext/>
        <w:keepLines/>
        <w:spacing w:before="120"/>
        <w:rPr>
          <w:i/>
          <w:iCs/>
        </w:rPr>
      </w:pPr>
      <w:r w:rsidRPr="00EC02CA">
        <w:rPr>
          <w:noProof/>
        </w:rPr>
        <w:drawing>
          <wp:inline distT="0" distB="0" distL="0" distR="0" wp14:anchorId="5E5A5EDD" wp14:editId="17A4C131">
            <wp:extent cx="5904411" cy="3409405"/>
            <wp:effectExtent l="0" t="0" r="1270" b="635"/>
            <wp:docPr id="60331339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0F8675F" w14:textId="43932CE2" w:rsidR="004A4114" w:rsidRPr="00EC02CA" w:rsidRDefault="004A4114" w:rsidP="00A920EC">
      <w:pPr>
        <w:keepNext/>
        <w:keepLines/>
        <w:spacing w:before="120"/>
        <w:rPr>
          <w:b/>
          <w:bCs/>
        </w:rPr>
      </w:pPr>
      <w:r w:rsidRPr="00EC02CA">
        <w:rPr>
          <w:i/>
          <w:iCs/>
        </w:rPr>
        <w:t>Source: Unpublished data, Department of Justice</w:t>
      </w:r>
    </w:p>
    <w:p w14:paraId="523960BB" w14:textId="1B4A1F10" w:rsidR="001216D1" w:rsidRPr="00EC02CA" w:rsidRDefault="001216D1" w:rsidP="002F0007">
      <w:pPr>
        <w:pStyle w:val="NormalNumberedTextTLRI"/>
      </w:pPr>
      <w:r w:rsidRPr="00EC02CA">
        <w:t>At the Supreme Court level, in relation to 53 distinct defendants, just over half of all changes (</w:t>
      </w:r>
      <w:r w:rsidR="009B72D9" w:rsidRPr="00EC02CA">
        <w:t xml:space="preserve">61; </w:t>
      </w:r>
      <w:r w:rsidRPr="00EC02CA">
        <w:t>53%) resulted in a guilty plea or proven charge, with one further charged resulting in a conviction on an alternative change. In over one-quarter of charges (</w:t>
      </w:r>
      <w:r w:rsidR="009B72D9" w:rsidRPr="00EC02CA">
        <w:t xml:space="preserve">33; </w:t>
      </w:r>
      <w:r w:rsidRPr="00EC02CA">
        <w:t xml:space="preserve">28.7%) the young person was found not guilty or acquitted of the charge in relation to the charge. In relation to </w:t>
      </w:r>
      <w:r w:rsidR="009B72D9" w:rsidRPr="00EC02CA">
        <w:t>20 charges (</w:t>
      </w:r>
      <w:r w:rsidRPr="00EC02CA">
        <w:t xml:space="preserve">17.4%), the charge was withdrawn or a </w:t>
      </w:r>
      <w:r w:rsidRPr="00EC02CA">
        <w:rPr>
          <w:i/>
          <w:iCs/>
        </w:rPr>
        <w:t>nolle prose</w:t>
      </w:r>
      <w:r w:rsidR="00171DFE" w:rsidRPr="00EC02CA">
        <w:rPr>
          <w:i/>
          <w:iCs/>
        </w:rPr>
        <w:t>qui</w:t>
      </w:r>
      <w:r w:rsidRPr="00EC02CA">
        <w:t xml:space="preserve"> filed</w:t>
      </w:r>
      <w:r w:rsidR="002477FB" w:rsidRPr="00EC02CA">
        <w:t xml:space="preserve"> (which</w:t>
      </w:r>
      <w:r w:rsidR="00C700AC" w:rsidRPr="00EC02CA">
        <w:t xml:space="preserve"> means that the charge did not </w:t>
      </w:r>
      <w:r w:rsidR="002477FB" w:rsidRPr="00EC02CA">
        <w:t>go ahead)</w:t>
      </w:r>
      <w:r w:rsidRPr="00EC02CA">
        <w:t xml:space="preserve">. </w:t>
      </w:r>
    </w:p>
    <w:p w14:paraId="14174A74" w14:textId="1FC2AFA8" w:rsidR="006F1B4C" w:rsidRPr="00EC02CA" w:rsidRDefault="006F1B4C" w:rsidP="00A920EC">
      <w:pPr>
        <w:pStyle w:val="TLRISubheading"/>
      </w:pPr>
      <w:bookmarkStart w:id="443" w:name="_Toc211849457"/>
      <w:bookmarkStart w:id="444" w:name="_Toc218157361"/>
      <w:r w:rsidRPr="00EC02CA">
        <w:t>Powers of diversion</w:t>
      </w:r>
      <w:r w:rsidR="001216D1" w:rsidRPr="00EC02CA">
        <w:t xml:space="preserve"> for young offenders in the Supreme Court</w:t>
      </w:r>
      <w:bookmarkEnd w:id="443"/>
      <w:bookmarkEnd w:id="444"/>
    </w:p>
    <w:p w14:paraId="438AFE33" w14:textId="186970D2" w:rsidR="00D90427" w:rsidRPr="00EC02CA" w:rsidRDefault="00345348" w:rsidP="002F0007">
      <w:pPr>
        <w:pStyle w:val="NormalNumberedTextTLRI"/>
      </w:pPr>
      <w:r w:rsidRPr="00EC02CA">
        <w:t xml:space="preserve">If a </w:t>
      </w:r>
      <w:r w:rsidR="00BA6123" w:rsidRPr="00EC02CA">
        <w:t xml:space="preserve">young person is found guilty or enters a </w:t>
      </w:r>
      <w:r w:rsidR="0026709E" w:rsidRPr="00EC02CA">
        <w:t xml:space="preserve">guilty </w:t>
      </w:r>
      <w:r w:rsidR="00BA6123" w:rsidRPr="00EC02CA">
        <w:t xml:space="preserve">plea, </w:t>
      </w:r>
      <w:r w:rsidR="009B7B48" w:rsidRPr="00EC02CA">
        <w:t>t</w:t>
      </w:r>
      <w:r w:rsidR="00ED194C" w:rsidRPr="00EC02CA">
        <w:t xml:space="preserve">he </w:t>
      </w:r>
      <w:r w:rsidR="00ED194C" w:rsidRPr="00EC02CA">
        <w:rPr>
          <w:i/>
          <w:iCs/>
        </w:rPr>
        <w:t>Youth Justice Act 1997</w:t>
      </w:r>
      <w:r w:rsidR="00ED194C" w:rsidRPr="00EC02CA">
        <w:t xml:space="preserve"> (Tas) s 107(2)</w:t>
      </w:r>
      <w:r w:rsidR="00F0446C" w:rsidRPr="00EC02CA">
        <w:t xml:space="preserve"> provides that</w:t>
      </w:r>
      <w:r w:rsidR="0026709E" w:rsidRPr="00EC02CA">
        <w:t>, when sentencing,</w:t>
      </w:r>
      <w:r w:rsidR="00F0446C" w:rsidRPr="00EC02CA">
        <w:t xml:space="preserve"> the Supreme Court may exercise the </w:t>
      </w:r>
      <w:r w:rsidR="001F42BC" w:rsidRPr="00EC02CA">
        <w:t>powers</w:t>
      </w:r>
      <w:r w:rsidR="00F0446C" w:rsidRPr="00EC02CA">
        <w:t xml:space="preserve"> of the Youth Justice Division under Part 4 </w:t>
      </w:r>
      <w:r w:rsidR="0026709E" w:rsidRPr="00EC02CA">
        <w:t xml:space="preserve">of that Act </w:t>
      </w:r>
      <w:r w:rsidR="00F0446C" w:rsidRPr="00EC02CA">
        <w:t>in relation to</w:t>
      </w:r>
      <w:r w:rsidR="00BA6123" w:rsidRPr="00EC02CA">
        <w:t xml:space="preserve"> </w:t>
      </w:r>
      <w:r w:rsidR="00F0446C" w:rsidRPr="00EC02CA">
        <w:t>a young person</w:t>
      </w:r>
      <w:r w:rsidR="001F42BC" w:rsidRPr="00EC02CA">
        <w:t>. This include</w:t>
      </w:r>
      <w:r w:rsidR="0026709E" w:rsidRPr="00EC02CA">
        <w:t>s</w:t>
      </w:r>
      <w:r w:rsidR="00BA6123" w:rsidRPr="00EC02CA">
        <w:t xml:space="preserve"> </w:t>
      </w:r>
      <w:r w:rsidR="001F42BC" w:rsidRPr="00EC02CA">
        <w:t>the power to order a community conference</w:t>
      </w:r>
      <w:r w:rsidR="00D55969" w:rsidRPr="00EC02CA">
        <w:rPr>
          <w:rStyle w:val="FootnoteReference"/>
        </w:rPr>
        <w:footnoteReference w:id="828"/>
      </w:r>
      <w:r w:rsidR="00BA6123" w:rsidRPr="00EC02CA">
        <w:t xml:space="preserve"> and the power to defer sentence to allow a young person to participate in a treatment program. </w:t>
      </w:r>
      <w:r w:rsidR="00137C10" w:rsidRPr="00EC02CA">
        <w:t xml:space="preserve">As noted at </w:t>
      </w:r>
      <w:r w:rsidR="00441706" w:rsidRPr="00EC02CA">
        <w:t>[</w:t>
      </w:r>
      <w:r w:rsidR="00924EB3" w:rsidRPr="00EC02CA">
        <w:fldChar w:fldCharType="begin"/>
      </w:r>
      <w:r w:rsidR="00924EB3" w:rsidRPr="00EC02CA">
        <w:instrText xml:space="preserve"> REF _Ref218241876 \r \h </w:instrText>
      </w:r>
      <w:r w:rsidR="00924EB3" w:rsidRPr="00EC02CA">
        <w:fldChar w:fldCharType="separate"/>
      </w:r>
      <w:r w:rsidR="007D7830">
        <w:t>5.6</w:t>
      </w:r>
      <w:r w:rsidR="00924EB3" w:rsidRPr="00EC02CA">
        <w:fldChar w:fldCharType="end"/>
      </w:r>
      <w:r w:rsidR="00441706" w:rsidRPr="00EC02CA">
        <w:t>],</w:t>
      </w:r>
      <w:r w:rsidR="00137C10" w:rsidRPr="00EC02CA">
        <w:t xml:space="preserve"> if a community conference is convened on the order of the court, then if the </w:t>
      </w:r>
      <w:r w:rsidR="005B4E52" w:rsidRPr="00EC02CA">
        <w:t>conference is held and</w:t>
      </w:r>
      <w:r w:rsidR="002341BB" w:rsidRPr="00EC02CA">
        <w:t xml:space="preserve"> either</w:t>
      </w:r>
      <w:r w:rsidR="005B4E52" w:rsidRPr="00EC02CA">
        <w:t xml:space="preserve"> no undertakings are entered</w:t>
      </w:r>
      <w:r w:rsidR="0026709E" w:rsidRPr="00EC02CA">
        <w:t>,</w:t>
      </w:r>
      <w:r w:rsidR="002341BB" w:rsidRPr="00EC02CA">
        <w:t xml:space="preserve"> or </w:t>
      </w:r>
      <w:r w:rsidR="00C92D9B" w:rsidRPr="00EC02CA">
        <w:t>undertakings</w:t>
      </w:r>
      <w:r w:rsidR="002341BB" w:rsidRPr="00EC02CA">
        <w:t xml:space="preserve"> are entered and completed, then t</w:t>
      </w:r>
      <w:r w:rsidR="005B4E52" w:rsidRPr="00EC02CA">
        <w:t xml:space="preserve">he </w:t>
      </w:r>
      <w:r w:rsidR="00D45479" w:rsidRPr="00EC02CA">
        <w:t xml:space="preserve">charges against the </w:t>
      </w:r>
      <w:r w:rsidR="00137C10" w:rsidRPr="00EC02CA">
        <w:t>young person</w:t>
      </w:r>
      <w:r w:rsidR="00D45479" w:rsidRPr="00EC02CA">
        <w:t xml:space="preserve"> are dismissed.</w:t>
      </w:r>
      <w:r w:rsidR="002341BB" w:rsidRPr="00EC02CA">
        <w:rPr>
          <w:rStyle w:val="FootnoteReference"/>
        </w:rPr>
        <w:footnoteReference w:id="829"/>
      </w:r>
      <w:r w:rsidR="00137C10" w:rsidRPr="00EC02CA">
        <w:t xml:space="preserve"> </w:t>
      </w:r>
      <w:r w:rsidR="00974241" w:rsidRPr="00EC02CA">
        <w:t xml:space="preserve">If the young </w:t>
      </w:r>
      <w:r w:rsidR="00412ED6" w:rsidRPr="00EC02CA">
        <w:t>person</w:t>
      </w:r>
      <w:r w:rsidR="00974241" w:rsidRPr="00EC02CA">
        <w:t xml:space="preserve"> does not </w:t>
      </w:r>
      <w:r w:rsidR="0026709E" w:rsidRPr="00EC02CA">
        <w:t xml:space="preserve">attend the conference, or </w:t>
      </w:r>
      <w:r w:rsidR="00412ED6" w:rsidRPr="00EC02CA">
        <w:t>fulfil undertakings, then the court will proceed to make a sentencing order.</w:t>
      </w:r>
      <w:r w:rsidR="00412ED6" w:rsidRPr="00EC02CA">
        <w:rPr>
          <w:rStyle w:val="FootnoteReference"/>
        </w:rPr>
        <w:footnoteReference w:id="830"/>
      </w:r>
      <w:r w:rsidR="00412ED6" w:rsidRPr="00EC02CA">
        <w:t xml:space="preserve"> </w:t>
      </w:r>
    </w:p>
    <w:p w14:paraId="02B106F2" w14:textId="3EDF6026" w:rsidR="00BA6123" w:rsidRPr="00EC02CA" w:rsidRDefault="00BA6123" w:rsidP="002F0007">
      <w:pPr>
        <w:pStyle w:val="NormalNumberedTextTLRI"/>
      </w:pPr>
      <w:r w:rsidRPr="00EC02CA">
        <w:t xml:space="preserve">If the court sentences a young person under the </w:t>
      </w:r>
      <w:r w:rsidR="009613E0" w:rsidRPr="00EC02CA">
        <w:rPr>
          <w:i/>
          <w:iCs/>
        </w:rPr>
        <w:t xml:space="preserve">Sentencing Act 1997 </w:t>
      </w:r>
      <w:r w:rsidR="009613E0" w:rsidRPr="00EC02CA">
        <w:t>(Tas), there</w:t>
      </w:r>
      <w:r w:rsidR="000528CF" w:rsidRPr="00EC02CA">
        <w:t xml:space="preserve"> is also power to defer </w:t>
      </w:r>
      <w:r w:rsidR="00BB3139" w:rsidRPr="00EC02CA">
        <w:t>sentencing</w:t>
      </w:r>
      <w:r w:rsidR="000B28CB" w:rsidRPr="00EC02CA">
        <w:t>.</w:t>
      </w:r>
      <w:r w:rsidR="00BB3139" w:rsidRPr="00EC02CA">
        <w:rPr>
          <w:rStyle w:val="FootnoteReference"/>
        </w:rPr>
        <w:footnoteReference w:id="831"/>
      </w:r>
      <w:r w:rsidR="000528CF" w:rsidRPr="00EC02CA">
        <w:t xml:space="preserve"> </w:t>
      </w:r>
      <w:r w:rsidR="000B28CB" w:rsidRPr="00EC02CA">
        <w:t xml:space="preserve">There are also </w:t>
      </w:r>
      <w:r w:rsidR="009B7B48" w:rsidRPr="00EC02CA">
        <w:t>powers</w:t>
      </w:r>
      <w:r w:rsidR="009613E0" w:rsidRPr="00EC02CA">
        <w:t xml:space="preserve"> for the court to </w:t>
      </w:r>
      <w:r w:rsidR="009B7B48" w:rsidRPr="00EC02CA">
        <w:t>impose</w:t>
      </w:r>
      <w:r w:rsidR="009613E0" w:rsidRPr="00EC02CA">
        <w:t xml:space="preserve"> a treatment </w:t>
      </w:r>
      <w:r w:rsidR="00FD74AF" w:rsidRPr="00EC02CA">
        <w:t xml:space="preserve">requirement as a </w:t>
      </w:r>
      <w:r w:rsidR="00701A0B" w:rsidRPr="00EC02CA">
        <w:t xml:space="preserve">condition of </w:t>
      </w:r>
      <w:r w:rsidR="0026709E" w:rsidRPr="00EC02CA">
        <w:t xml:space="preserve">either </w:t>
      </w:r>
      <w:r w:rsidR="00701A0B" w:rsidRPr="00EC02CA">
        <w:t>a suspended</w:t>
      </w:r>
      <w:r w:rsidR="003D49E2" w:rsidRPr="00EC02CA">
        <w:t xml:space="preserve"> sentence</w:t>
      </w:r>
      <w:r w:rsidR="00701A0B" w:rsidRPr="00EC02CA">
        <w:t xml:space="preserve"> of imprison</w:t>
      </w:r>
      <w:r w:rsidR="00E52528" w:rsidRPr="00EC02CA">
        <w:t>ment</w:t>
      </w:r>
      <w:r w:rsidR="003D49E2" w:rsidRPr="00EC02CA">
        <w:rPr>
          <w:rStyle w:val="FootnoteReference"/>
        </w:rPr>
        <w:footnoteReference w:id="832"/>
      </w:r>
      <w:r w:rsidR="009A13C5" w:rsidRPr="00EC02CA">
        <w:t xml:space="preserve"> </w:t>
      </w:r>
      <w:r w:rsidR="001666BA" w:rsidRPr="00EC02CA">
        <w:t>or</w:t>
      </w:r>
      <w:r w:rsidR="00E13BEA" w:rsidRPr="00EC02CA">
        <w:t xml:space="preserve"> a </w:t>
      </w:r>
      <w:r w:rsidR="00FD74AF" w:rsidRPr="00EC02CA">
        <w:t>community correction order</w:t>
      </w:r>
      <w:r w:rsidR="00E13BEA" w:rsidRPr="00EC02CA">
        <w:t>.</w:t>
      </w:r>
      <w:r w:rsidR="00D04771" w:rsidRPr="00EC02CA">
        <w:rPr>
          <w:rStyle w:val="FootnoteReference"/>
        </w:rPr>
        <w:footnoteReference w:id="833"/>
      </w:r>
      <w:r w:rsidR="00FD74AF" w:rsidRPr="00EC02CA">
        <w:t xml:space="preserve"> </w:t>
      </w:r>
      <w:r w:rsidR="009613E0" w:rsidRPr="00EC02CA">
        <w:t xml:space="preserve"> </w:t>
      </w:r>
      <w:r w:rsidR="001666BA" w:rsidRPr="00EC02CA">
        <w:t xml:space="preserve">The </w:t>
      </w:r>
      <w:r w:rsidR="006019B2" w:rsidRPr="00EC02CA">
        <w:t>Supreme</w:t>
      </w:r>
      <w:r w:rsidR="001666BA" w:rsidRPr="00EC02CA">
        <w:t xml:space="preserve"> Court is not</w:t>
      </w:r>
      <w:r w:rsidR="006019B2" w:rsidRPr="00EC02CA">
        <w:t xml:space="preserve"> </w:t>
      </w:r>
      <w:r w:rsidR="001666BA" w:rsidRPr="00EC02CA">
        <w:t xml:space="preserve">able to impose a </w:t>
      </w:r>
      <w:r w:rsidR="00B31F2A" w:rsidRPr="00EC02CA">
        <w:t xml:space="preserve">sentence of home </w:t>
      </w:r>
      <w:r w:rsidR="006019B2" w:rsidRPr="00EC02CA">
        <w:t>detention</w:t>
      </w:r>
      <w:r w:rsidR="00B31F2A" w:rsidRPr="00EC02CA">
        <w:t xml:space="preserve"> on a</w:t>
      </w:r>
      <w:r w:rsidR="006019B2" w:rsidRPr="00EC02CA">
        <w:t xml:space="preserve"> person</w:t>
      </w:r>
      <w:r w:rsidR="00B31F2A" w:rsidRPr="00EC02CA">
        <w:t xml:space="preserve"> </w:t>
      </w:r>
      <w:r w:rsidR="0026709E" w:rsidRPr="00EC02CA">
        <w:t xml:space="preserve">aged </w:t>
      </w:r>
      <w:r w:rsidR="00B31F2A" w:rsidRPr="00EC02CA">
        <w:t xml:space="preserve">under 18, however if the person </w:t>
      </w:r>
      <w:r w:rsidR="0026709E" w:rsidRPr="00EC02CA">
        <w:t>i</w:t>
      </w:r>
      <w:r w:rsidR="00B31F2A" w:rsidRPr="00EC02CA">
        <w:t>s 18 at the time of sentencing</w:t>
      </w:r>
      <w:r w:rsidR="006019B2" w:rsidRPr="00EC02CA">
        <w:t xml:space="preserve">, the court </w:t>
      </w:r>
      <w:r w:rsidR="0026709E" w:rsidRPr="00EC02CA">
        <w:t xml:space="preserve">may </w:t>
      </w:r>
      <w:r w:rsidR="006019B2" w:rsidRPr="00EC02CA">
        <w:t xml:space="preserve">impose a </w:t>
      </w:r>
      <w:r w:rsidR="00A2617F" w:rsidRPr="00EC02CA">
        <w:t xml:space="preserve">home detention order and may impose a </w:t>
      </w:r>
      <w:r w:rsidR="006019B2" w:rsidRPr="00EC02CA">
        <w:t xml:space="preserve">treatment requirement as part of </w:t>
      </w:r>
      <w:r w:rsidR="00A2617F" w:rsidRPr="00EC02CA">
        <w:t xml:space="preserve">that </w:t>
      </w:r>
      <w:r w:rsidR="006019B2" w:rsidRPr="00EC02CA">
        <w:t>order</w:t>
      </w:r>
      <w:r w:rsidR="00F95372" w:rsidRPr="00EC02CA">
        <w:t>.</w:t>
      </w:r>
      <w:r w:rsidR="006019B2" w:rsidRPr="00EC02CA">
        <w:rPr>
          <w:rStyle w:val="FootnoteReference"/>
        </w:rPr>
        <w:footnoteReference w:id="834"/>
      </w:r>
    </w:p>
    <w:p w14:paraId="7B4A2102" w14:textId="4C3CEF04" w:rsidR="00D34448" w:rsidRPr="00EC02CA" w:rsidRDefault="00D34448" w:rsidP="00A920EC">
      <w:pPr>
        <w:pStyle w:val="TLRISubheading"/>
      </w:pPr>
      <w:bookmarkStart w:id="445" w:name="_Toc211849458"/>
      <w:bookmarkStart w:id="446" w:name="_Toc218157362"/>
      <w:r w:rsidRPr="00EC02CA">
        <w:t xml:space="preserve">Sentencing under the </w:t>
      </w:r>
      <w:r w:rsidRPr="00EC02CA">
        <w:rPr>
          <w:i/>
          <w:iCs/>
        </w:rPr>
        <w:t xml:space="preserve">Sentencing Act 1997 </w:t>
      </w:r>
      <w:r w:rsidRPr="00EC02CA">
        <w:t>(Tas)</w:t>
      </w:r>
      <w:bookmarkEnd w:id="445"/>
      <w:bookmarkEnd w:id="446"/>
    </w:p>
    <w:p w14:paraId="579ED7D1" w14:textId="133F1EFC" w:rsidR="00D34448" w:rsidRPr="00EC02CA" w:rsidRDefault="00313544" w:rsidP="002F0007">
      <w:pPr>
        <w:pStyle w:val="NormalNumberedTextTLRI"/>
      </w:pPr>
      <w:r w:rsidRPr="00EC02CA">
        <w:t>As noted</w:t>
      </w:r>
      <w:r w:rsidR="00A17468" w:rsidRPr="00EC02CA">
        <w:t xml:space="preserve"> above</w:t>
      </w:r>
      <w:r w:rsidRPr="00EC02CA">
        <w:t>, i</w:t>
      </w:r>
      <w:r w:rsidR="00D34448" w:rsidRPr="00EC02CA">
        <w:t>f a youth is found guilty of a prescribed offence</w:t>
      </w:r>
      <w:r w:rsidR="00502C0A" w:rsidRPr="00EC02CA">
        <w:t xml:space="preserve"> or enters a plea of guilty</w:t>
      </w:r>
      <w:r w:rsidR="00D34448" w:rsidRPr="00EC02CA">
        <w:t xml:space="preserve">, the Supreme Court has discretion to sentence the youth under </w:t>
      </w:r>
      <w:r w:rsidR="00D608ED" w:rsidRPr="00EC02CA">
        <w:t xml:space="preserve">either </w:t>
      </w:r>
      <w:r w:rsidR="00D34448" w:rsidRPr="00EC02CA">
        <w:t xml:space="preserve">the </w:t>
      </w:r>
      <w:r w:rsidR="00D34448" w:rsidRPr="00EC02CA">
        <w:rPr>
          <w:i/>
          <w:iCs/>
        </w:rPr>
        <w:t xml:space="preserve">Sentencing Act 1997 </w:t>
      </w:r>
      <w:r w:rsidR="00D34448" w:rsidRPr="00EC02CA">
        <w:t xml:space="preserve">(Tas) or the </w:t>
      </w:r>
      <w:r w:rsidR="00D34448" w:rsidRPr="00EC02CA">
        <w:rPr>
          <w:i/>
          <w:iCs/>
        </w:rPr>
        <w:t xml:space="preserve">Youth Justice Act 1997 </w:t>
      </w:r>
      <w:r w:rsidR="00D34448" w:rsidRPr="00EC02CA">
        <w:t>(Tas).</w:t>
      </w:r>
      <w:r w:rsidR="00D34448" w:rsidRPr="00EC02CA">
        <w:rPr>
          <w:vertAlign w:val="superscript"/>
        </w:rPr>
        <w:footnoteReference w:id="835"/>
      </w:r>
      <w:r w:rsidR="00D34448" w:rsidRPr="00EC02CA">
        <w:t xml:space="preserve"> In exercising its discretion in relation to the approach to take, consideration is given to the adequacy of the sentences available under the </w:t>
      </w:r>
      <w:r w:rsidR="00D34448" w:rsidRPr="00EC02CA">
        <w:rPr>
          <w:i/>
          <w:iCs/>
        </w:rPr>
        <w:t xml:space="preserve">Youth Justice Act 1997 </w:t>
      </w:r>
      <w:r w:rsidR="00D34448" w:rsidRPr="00EC02CA">
        <w:t xml:space="preserve">(Tas), </w:t>
      </w:r>
      <w:r w:rsidR="00D608ED" w:rsidRPr="00EC02CA">
        <w:t xml:space="preserve">as well as </w:t>
      </w:r>
      <w:r w:rsidR="00D34448" w:rsidRPr="00EC02CA">
        <w:t>the focus that should be placed on the rehabilitation of the young person in light of the offender’s age, the circumstances of the offence</w:t>
      </w:r>
      <w:r w:rsidR="00D608ED" w:rsidRPr="00EC02CA">
        <w:t>,</w:t>
      </w:r>
      <w:r w:rsidR="00D34448" w:rsidRPr="00EC02CA">
        <w:t xml:space="preserve"> and the offender’s personal circumstances.</w:t>
      </w:r>
      <w:r w:rsidR="00D34448" w:rsidRPr="00EC02CA">
        <w:rPr>
          <w:rStyle w:val="FootnoteReference"/>
        </w:rPr>
        <w:footnoteReference w:id="836"/>
      </w:r>
      <w:r w:rsidR="00D34448" w:rsidRPr="00EC02CA">
        <w:t xml:space="preserve"> Under the </w:t>
      </w:r>
      <w:r w:rsidR="00D34448" w:rsidRPr="00EC02CA">
        <w:rPr>
          <w:i/>
          <w:iCs/>
        </w:rPr>
        <w:t xml:space="preserve">Youth Justice Act 1997 </w:t>
      </w:r>
      <w:r w:rsidR="00D34448" w:rsidRPr="00EC02CA">
        <w:t>(Tas),</w:t>
      </w:r>
      <w:r w:rsidR="00D34448" w:rsidRPr="00EC02CA">
        <w:rPr>
          <w:i/>
          <w:iCs/>
        </w:rPr>
        <w:t xml:space="preserve"> </w:t>
      </w:r>
      <w:r w:rsidR="00D34448" w:rsidRPr="00EC02CA">
        <w:t>the maximum period of detention that can be imposed is two years.</w:t>
      </w:r>
      <w:r w:rsidR="00D34448" w:rsidRPr="00EC02CA">
        <w:rPr>
          <w:rStyle w:val="FootnoteReference"/>
        </w:rPr>
        <w:footnoteReference w:id="837"/>
      </w:r>
    </w:p>
    <w:p w14:paraId="6989E32E" w14:textId="31F1A66C" w:rsidR="00264030" w:rsidRPr="00EC02CA" w:rsidRDefault="00D34448" w:rsidP="002F0007">
      <w:pPr>
        <w:pStyle w:val="NormalNumberedTextTLRI"/>
      </w:pPr>
      <w:r w:rsidRPr="00EC02CA">
        <w:t xml:space="preserve">The principles that apply under the </w:t>
      </w:r>
      <w:r w:rsidRPr="00EC02CA">
        <w:rPr>
          <w:i/>
          <w:iCs/>
        </w:rPr>
        <w:t xml:space="preserve">Youth Justice Act 1997 </w:t>
      </w:r>
      <w:r w:rsidRPr="00EC02CA">
        <w:t xml:space="preserve">(Tas) differ significantly from the approach to sentencing contained in the </w:t>
      </w:r>
      <w:r w:rsidRPr="00EC02CA">
        <w:rPr>
          <w:i/>
          <w:iCs/>
        </w:rPr>
        <w:t>Sentencing Act 1997</w:t>
      </w:r>
      <w:r w:rsidR="008D7E7E" w:rsidRPr="00EC02CA">
        <w:rPr>
          <w:i/>
          <w:iCs/>
        </w:rPr>
        <w:t xml:space="preserve"> </w:t>
      </w:r>
      <w:r w:rsidRPr="00EC02CA">
        <w:t xml:space="preserve">(Tas). If the Supreme Court sentences a young person under the </w:t>
      </w:r>
      <w:r w:rsidRPr="00EC02CA">
        <w:rPr>
          <w:i/>
          <w:iCs/>
        </w:rPr>
        <w:t xml:space="preserve">Youth Justice Act 1997 </w:t>
      </w:r>
      <w:r w:rsidRPr="00EC02CA">
        <w:t>(Tas), then the court applies the sentencing principles</w:t>
      </w:r>
      <w:r w:rsidR="00D608ED" w:rsidRPr="00EC02CA">
        <w:t xml:space="preserve"> described under that Act and the relevant common law</w:t>
      </w:r>
      <w:r w:rsidRPr="00EC02CA">
        <w:t>.</w:t>
      </w:r>
      <w:r w:rsidRPr="00EC02CA">
        <w:rPr>
          <w:rStyle w:val="FootnoteReference"/>
        </w:rPr>
        <w:footnoteReference w:id="838"/>
      </w:r>
      <w:r w:rsidRPr="00EC02CA">
        <w:t xml:space="preserve"> In contrast, the purpose of the </w:t>
      </w:r>
      <w:r w:rsidRPr="00EC02CA">
        <w:rPr>
          <w:i/>
          <w:iCs/>
        </w:rPr>
        <w:t xml:space="preserve">Sentencing Act 1997 </w:t>
      </w:r>
      <w:r w:rsidRPr="00EC02CA">
        <w:t xml:space="preserve">(Tas) is to promote the protection of the community as </w:t>
      </w:r>
      <w:r w:rsidR="00D608ED" w:rsidRPr="00EC02CA">
        <w:t>the</w:t>
      </w:r>
      <w:r w:rsidRPr="00EC02CA">
        <w:t xml:space="preserve"> primary consideration in sentencing offenders</w:t>
      </w:r>
      <w:r w:rsidR="00D608ED" w:rsidRPr="00EC02CA">
        <w:t>,</w:t>
      </w:r>
      <w:r w:rsidRPr="00EC02CA">
        <w:t xml:space="preserve"> as well as to help prevent crime and promote respect for the law by allowing courts to impose sentences aimed at deterrence, rehabilitation and denunciation.</w:t>
      </w:r>
      <w:r w:rsidRPr="00EC02CA">
        <w:rPr>
          <w:vertAlign w:val="superscript"/>
        </w:rPr>
        <w:footnoteReference w:id="839"/>
      </w:r>
      <w:r w:rsidRPr="00EC02CA">
        <w:t xml:space="preserve"> </w:t>
      </w:r>
      <w:r w:rsidR="008D7E7E" w:rsidRPr="00EC02CA">
        <w:t>There are also</w:t>
      </w:r>
      <w:r w:rsidR="00D90DA0" w:rsidRPr="00EC02CA">
        <w:t xml:space="preserve"> legislatively specified aggravating factors that </w:t>
      </w:r>
      <w:r w:rsidR="00D608ED" w:rsidRPr="00EC02CA">
        <w:t>must</w:t>
      </w:r>
      <w:r w:rsidR="00D90DA0" w:rsidRPr="00EC02CA">
        <w:t xml:space="preserve"> be considered by the court </w:t>
      </w:r>
      <w:r w:rsidR="00D608ED" w:rsidRPr="00EC02CA">
        <w:t xml:space="preserve">and </w:t>
      </w:r>
      <w:r w:rsidR="000036C8" w:rsidRPr="00EC02CA">
        <w:t xml:space="preserve">mitigating factors that are to be disregarded </w:t>
      </w:r>
      <w:r w:rsidR="00D90DA0" w:rsidRPr="00EC02CA">
        <w:t xml:space="preserve">when </w:t>
      </w:r>
      <w:r w:rsidR="000036C8" w:rsidRPr="00EC02CA">
        <w:t>sentencing</w:t>
      </w:r>
      <w:r w:rsidR="00D90DA0" w:rsidRPr="00EC02CA">
        <w:t xml:space="preserve"> under </w:t>
      </w:r>
      <w:r w:rsidR="00D90DA0" w:rsidRPr="00EC02CA">
        <w:rPr>
          <w:i/>
          <w:iCs/>
        </w:rPr>
        <w:t xml:space="preserve">the </w:t>
      </w:r>
      <w:r w:rsidR="000036C8" w:rsidRPr="00EC02CA">
        <w:rPr>
          <w:i/>
          <w:iCs/>
        </w:rPr>
        <w:t>Sentencing</w:t>
      </w:r>
      <w:r w:rsidR="00D90DA0" w:rsidRPr="00EC02CA">
        <w:rPr>
          <w:i/>
          <w:iCs/>
        </w:rPr>
        <w:t xml:space="preserve"> Act 1997 </w:t>
      </w:r>
      <w:r w:rsidR="00D90DA0" w:rsidRPr="00EC02CA">
        <w:t>(Tas)</w:t>
      </w:r>
      <w:r w:rsidR="000036C8" w:rsidRPr="00EC02CA">
        <w:t>.</w:t>
      </w:r>
    </w:p>
    <w:p w14:paraId="054DB212" w14:textId="1B3D59B5" w:rsidR="00296ADA" w:rsidRPr="00EC02CA" w:rsidRDefault="001E6C75" w:rsidP="002F0007">
      <w:pPr>
        <w:pStyle w:val="NormalNumberedTextTLRI"/>
      </w:pPr>
      <w:r w:rsidRPr="00EC02CA">
        <w:t>When sentencing u</w:t>
      </w:r>
      <w:r w:rsidR="00313544" w:rsidRPr="00EC02CA">
        <w:t xml:space="preserve">nder the </w:t>
      </w:r>
      <w:r w:rsidR="00313544" w:rsidRPr="00EC02CA">
        <w:rPr>
          <w:i/>
          <w:iCs/>
        </w:rPr>
        <w:t>Sentencing Act 1997</w:t>
      </w:r>
      <w:r w:rsidR="00313544" w:rsidRPr="00EC02CA">
        <w:t xml:space="preserve"> (Tas), the </w:t>
      </w:r>
      <w:r w:rsidRPr="00EC02CA">
        <w:t>court</w:t>
      </w:r>
      <w:r w:rsidR="00131500" w:rsidRPr="00EC02CA">
        <w:t xml:space="preserve"> may:</w:t>
      </w:r>
    </w:p>
    <w:p w14:paraId="5CA4E53C" w14:textId="1BA747C7" w:rsidR="00502C0A" w:rsidRPr="00EC02CA" w:rsidRDefault="00502C0A" w:rsidP="00A920EC">
      <w:pPr>
        <w:pStyle w:val="ListParagraph"/>
        <w:numPr>
          <w:ilvl w:val="0"/>
          <w:numId w:val="238"/>
        </w:numPr>
        <w:spacing w:before="220"/>
      </w:pPr>
      <w:r w:rsidRPr="00EC02CA">
        <w:t xml:space="preserve"> record a conviction and order that the offender serve a term of imprisonment; or</w:t>
      </w:r>
    </w:p>
    <w:p w14:paraId="3CFB27A8" w14:textId="4402A4B9" w:rsidR="00502C0A" w:rsidRPr="00EC02CA" w:rsidRDefault="00502C0A" w:rsidP="00A920EC">
      <w:pPr>
        <w:spacing w:before="220"/>
        <w:ind w:left="851" w:hanging="425"/>
      </w:pPr>
      <w:r w:rsidRPr="00EC02CA">
        <w:t xml:space="preserve">(ab) if the court is constituted by a magistrate or is the Supreme Court or the Court of Criminal Appeal, record a conviction and make a drug treatment order under Part 3A </w:t>
      </w:r>
      <w:r w:rsidR="00D608ED" w:rsidRPr="00EC02CA">
        <w:t xml:space="preserve">of the </w:t>
      </w:r>
      <w:r w:rsidR="00D608ED" w:rsidRPr="00EC02CA">
        <w:rPr>
          <w:i/>
          <w:iCs/>
        </w:rPr>
        <w:t>Sentencing Act 1997</w:t>
      </w:r>
      <w:r w:rsidR="00D608ED" w:rsidRPr="00EC02CA">
        <w:t xml:space="preserve"> (Tas) </w:t>
      </w:r>
      <w:r w:rsidRPr="00EC02CA">
        <w:t>in respect of the offender; or</w:t>
      </w:r>
    </w:p>
    <w:p w14:paraId="0A2D3159" w14:textId="7B795AA8" w:rsidR="00502C0A" w:rsidRPr="00EC02CA" w:rsidRDefault="00502C0A" w:rsidP="00A920EC">
      <w:pPr>
        <w:spacing w:before="220"/>
        <w:ind w:left="851" w:hanging="425"/>
      </w:pPr>
      <w:r w:rsidRPr="00EC02CA">
        <w:t xml:space="preserve">(b) </w:t>
      </w:r>
      <w:r w:rsidR="00C8222E" w:rsidRPr="00EC02CA">
        <w:tab/>
      </w:r>
      <w:r w:rsidRPr="00EC02CA">
        <w:t>record a conviction and order that the offender serve a term of imprisonment that is wholly or partly suspende</w:t>
      </w:r>
      <w:r w:rsidR="0060564E" w:rsidRPr="00EC02CA">
        <w:t xml:space="preserve">d; </w:t>
      </w:r>
      <w:r w:rsidRPr="00EC02CA">
        <w:t>or</w:t>
      </w:r>
    </w:p>
    <w:p w14:paraId="02CAEA98" w14:textId="7997D62A" w:rsidR="00502C0A" w:rsidRPr="00EC02CA" w:rsidRDefault="00502C0A" w:rsidP="00A920EC">
      <w:pPr>
        <w:spacing w:before="220"/>
        <w:ind w:left="851" w:hanging="425"/>
      </w:pPr>
      <w:r w:rsidRPr="00EC02CA">
        <w:t xml:space="preserve">(c) </w:t>
      </w:r>
      <w:r w:rsidR="00C8222E" w:rsidRPr="00EC02CA">
        <w:tab/>
      </w:r>
      <w:r w:rsidRPr="00EC02CA">
        <w:t xml:space="preserve">record a conviction and make a home detention order under </w:t>
      </w:r>
      <w:r w:rsidR="00D608ED" w:rsidRPr="00EC02CA">
        <w:t xml:space="preserve">s </w:t>
      </w:r>
      <w:r w:rsidRPr="00EC02CA">
        <w:t xml:space="preserve">42AC </w:t>
      </w:r>
      <w:r w:rsidR="00D608ED" w:rsidRPr="00EC02CA">
        <w:t xml:space="preserve">of the </w:t>
      </w:r>
      <w:r w:rsidR="00D608ED" w:rsidRPr="00EC02CA">
        <w:rPr>
          <w:i/>
          <w:iCs/>
        </w:rPr>
        <w:t>Sentencing Act 1997</w:t>
      </w:r>
      <w:r w:rsidR="00D608ED" w:rsidRPr="00EC02CA">
        <w:t xml:space="preserve"> (Tas) </w:t>
      </w:r>
      <w:r w:rsidRPr="00EC02CA">
        <w:t>in respect of the offender, if the offender has attained the age of 18 years; or</w:t>
      </w:r>
    </w:p>
    <w:p w14:paraId="3D9672BB" w14:textId="51000244" w:rsidR="00502C0A" w:rsidRPr="00EC02CA" w:rsidRDefault="00502C0A" w:rsidP="00A920EC">
      <w:pPr>
        <w:spacing w:before="220"/>
        <w:ind w:left="851" w:hanging="425"/>
      </w:pPr>
      <w:r w:rsidRPr="00EC02CA">
        <w:t xml:space="preserve">(d) </w:t>
      </w:r>
      <w:r w:rsidR="00C8222E" w:rsidRPr="00EC02CA">
        <w:tab/>
      </w:r>
      <w:r w:rsidRPr="00EC02CA">
        <w:t xml:space="preserve">with or without recording a conviction, make a community correction order under </w:t>
      </w:r>
      <w:r w:rsidR="00D608ED" w:rsidRPr="00EC02CA">
        <w:t xml:space="preserve">s </w:t>
      </w:r>
      <w:r w:rsidRPr="00EC02CA">
        <w:t xml:space="preserve">42AN </w:t>
      </w:r>
      <w:r w:rsidR="00D608ED" w:rsidRPr="00EC02CA">
        <w:t xml:space="preserve">of the </w:t>
      </w:r>
      <w:r w:rsidR="00D608ED" w:rsidRPr="00EC02CA">
        <w:rPr>
          <w:i/>
          <w:iCs/>
        </w:rPr>
        <w:t>Sentencing Act 1997</w:t>
      </w:r>
      <w:r w:rsidR="00D608ED" w:rsidRPr="00EC02CA">
        <w:t xml:space="preserve"> (Tas) </w:t>
      </w:r>
      <w:r w:rsidRPr="00EC02CA">
        <w:t>in respect of the offender, if the offender has attained the age of 18 years; or</w:t>
      </w:r>
    </w:p>
    <w:p w14:paraId="4FBC3B8A" w14:textId="1BD3C60E" w:rsidR="00502C0A" w:rsidRPr="00EC02CA" w:rsidRDefault="00502C0A" w:rsidP="00A920EC">
      <w:pPr>
        <w:spacing w:before="220"/>
        <w:ind w:left="851" w:hanging="425"/>
      </w:pPr>
      <w:r w:rsidRPr="00EC02CA">
        <w:t xml:space="preserve">(e) </w:t>
      </w:r>
      <w:r w:rsidR="00C8222E" w:rsidRPr="00EC02CA">
        <w:tab/>
      </w:r>
      <w:r w:rsidRPr="00EC02CA">
        <w:t>with or without recording a conviction, order the offender to pay a fine; or</w:t>
      </w:r>
    </w:p>
    <w:p w14:paraId="0344F22E" w14:textId="77777777" w:rsidR="00502C0A" w:rsidRPr="00EC02CA" w:rsidRDefault="00502C0A" w:rsidP="00A920EC">
      <w:pPr>
        <w:spacing w:before="220"/>
        <w:ind w:left="851" w:hanging="425"/>
      </w:pPr>
      <w:r w:rsidRPr="00EC02CA">
        <w:t>(ea) in the case of a family violence offence, with or without recording a conviction, make a rehabilitation program order; or</w:t>
      </w:r>
    </w:p>
    <w:p w14:paraId="070B8869" w14:textId="33A7798A" w:rsidR="00502C0A" w:rsidRPr="00EC02CA" w:rsidRDefault="00502C0A" w:rsidP="00A920EC">
      <w:pPr>
        <w:spacing w:before="220"/>
        <w:ind w:left="851" w:hanging="425"/>
      </w:pPr>
      <w:r w:rsidRPr="00EC02CA">
        <w:t xml:space="preserve">(eb) adjourn the proceedings, grant bail under the </w:t>
      </w:r>
      <w:r w:rsidRPr="00EC02CA">
        <w:rPr>
          <w:i/>
          <w:iCs/>
        </w:rPr>
        <w:t>Bail Act 1994</w:t>
      </w:r>
      <w:r w:rsidRPr="00EC02CA">
        <w:t xml:space="preserve"> </w:t>
      </w:r>
      <w:r w:rsidR="00D608ED" w:rsidRPr="00EC02CA">
        <w:t xml:space="preserve">(Tas) </w:t>
      </w:r>
      <w:r w:rsidRPr="00EC02CA">
        <w:t xml:space="preserve">and, by order, defer, in accordance with Division 1 of Part 8 </w:t>
      </w:r>
      <w:r w:rsidR="00D608ED" w:rsidRPr="00EC02CA">
        <w:t xml:space="preserve">of the </w:t>
      </w:r>
      <w:r w:rsidR="00D608ED" w:rsidRPr="00EC02CA">
        <w:rPr>
          <w:i/>
          <w:iCs/>
        </w:rPr>
        <w:t>Sentencing Act 1997</w:t>
      </w:r>
      <w:r w:rsidR="00D608ED" w:rsidRPr="00EC02CA">
        <w:t xml:space="preserve"> (Tas)</w:t>
      </w:r>
      <w:r w:rsidRPr="00EC02CA">
        <w:t>, sentencing the offender until a date specified in the order; or</w:t>
      </w:r>
    </w:p>
    <w:p w14:paraId="607CD260" w14:textId="663E8237" w:rsidR="00502C0A" w:rsidRPr="00EC02CA" w:rsidRDefault="00502C0A" w:rsidP="00A920EC">
      <w:pPr>
        <w:spacing w:before="220"/>
        <w:ind w:left="851" w:hanging="425"/>
      </w:pPr>
      <w:r w:rsidRPr="00EC02CA">
        <w:t xml:space="preserve">(f) </w:t>
      </w:r>
      <w:r w:rsidR="00C8222E" w:rsidRPr="00EC02CA">
        <w:tab/>
      </w:r>
      <w:r w:rsidRPr="00EC02CA">
        <w:t>with or without recording a conviction, adjourn the proceedings for a period not exceeding 60 months and, on the offender giving an undertaking with conditions attached, order the release of the offender; or</w:t>
      </w:r>
    </w:p>
    <w:p w14:paraId="2F9FA07B" w14:textId="63FFFDF0" w:rsidR="00502C0A" w:rsidRPr="00EC02CA" w:rsidRDefault="00502C0A" w:rsidP="00A920EC">
      <w:pPr>
        <w:spacing w:before="220"/>
        <w:ind w:left="851" w:hanging="425"/>
      </w:pPr>
      <w:r w:rsidRPr="00EC02CA">
        <w:t xml:space="preserve">(g) </w:t>
      </w:r>
      <w:r w:rsidR="00C8222E" w:rsidRPr="00EC02CA">
        <w:tab/>
      </w:r>
      <w:r w:rsidRPr="00EC02CA">
        <w:t>record a conviction and order the discharge of the offender; or</w:t>
      </w:r>
    </w:p>
    <w:p w14:paraId="19DC63A8" w14:textId="06700B79" w:rsidR="00502C0A" w:rsidRPr="00EC02CA" w:rsidRDefault="00502C0A" w:rsidP="00A920EC">
      <w:pPr>
        <w:spacing w:before="220"/>
        <w:ind w:left="851" w:hanging="425"/>
      </w:pPr>
      <w:r w:rsidRPr="00EC02CA">
        <w:t xml:space="preserve">(h) </w:t>
      </w:r>
      <w:r w:rsidR="00C8222E" w:rsidRPr="00EC02CA">
        <w:tab/>
      </w:r>
      <w:r w:rsidRPr="00EC02CA">
        <w:t>without recording a conviction, order the dismissal of the charge for the offence; or</w:t>
      </w:r>
    </w:p>
    <w:p w14:paraId="2ABD6EDB" w14:textId="787BF154" w:rsidR="00502C0A" w:rsidRPr="00EC02CA" w:rsidRDefault="00502C0A" w:rsidP="00A920EC">
      <w:pPr>
        <w:spacing w:before="220"/>
        <w:ind w:left="851" w:hanging="425"/>
      </w:pPr>
      <w:r w:rsidRPr="00EC02CA">
        <w:t xml:space="preserve">(i) </w:t>
      </w:r>
      <w:r w:rsidR="00C8222E" w:rsidRPr="00EC02CA">
        <w:tab/>
      </w:r>
      <w:r w:rsidRPr="00EC02CA">
        <w:t xml:space="preserve">impose any other sentence or make any order, or any combination of orders, that the court is authorised to make </w:t>
      </w:r>
      <w:r w:rsidR="003E1D99" w:rsidRPr="00EC02CA">
        <w:t xml:space="preserve">under the </w:t>
      </w:r>
      <w:r w:rsidR="003E1D99" w:rsidRPr="00EC02CA">
        <w:rPr>
          <w:i/>
          <w:iCs/>
        </w:rPr>
        <w:t>Sentencing Act 1997</w:t>
      </w:r>
      <w:r w:rsidR="003E1D99" w:rsidRPr="00EC02CA">
        <w:t xml:space="preserve"> (Tas)</w:t>
      </w:r>
      <w:r w:rsidRPr="00EC02CA">
        <w:t xml:space="preserve"> or any other </w:t>
      </w:r>
      <w:r w:rsidR="003E1D99" w:rsidRPr="00EC02CA">
        <w:t>Act</w:t>
      </w:r>
      <w:r w:rsidRPr="00EC02CA">
        <w:t>.</w:t>
      </w:r>
    </w:p>
    <w:p w14:paraId="57BFA594" w14:textId="69A2FFB7" w:rsidR="00E375B8" w:rsidRPr="00EC02CA" w:rsidRDefault="00E375B8" w:rsidP="002F0007">
      <w:pPr>
        <w:pStyle w:val="NormalNumberedTextTLRI"/>
      </w:pPr>
      <w:r w:rsidRPr="00EC02CA">
        <w:t xml:space="preserve">If a young </w:t>
      </w:r>
      <w:r w:rsidR="005D6CA6" w:rsidRPr="00EC02CA">
        <w:t>person</w:t>
      </w:r>
      <w:r w:rsidRPr="00EC02CA">
        <w:t xml:space="preserve"> is sentenced under the </w:t>
      </w:r>
      <w:r w:rsidR="005D6CA6" w:rsidRPr="00EC02CA">
        <w:rPr>
          <w:i/>
          <w:iCs/>
        </w:rPr>
        <w:t xml:space="preserve">Sentencing Act 1997 </w:t>
      </w:r>
      <w:r w:rsidR="005D6CA6" w:rsidRPr="00EC02CA">
        <w:t xml:space="preserve">(Tas), </w:t>
      </w:r>
      <w:r w:rsidR="007D2856" w:rsidRPr="00EC02CA">
        <w:t>s 11A</w:t>
      </w:r>
      <w:r w:rsidR="000926AD" w:rsidRPr="00EC02CA">
        <w:t xml:space="preserve"> </w:t>
      </w:r>
      <w:r w:rsidR="00D608ED" w:rsidRPr="00EC02CA">
        <w:t xml:space="preserve">of that Act </w:t>
      </w:r>
      <w:r w:rsidR="000926AD" w:rsidRPr="00EC02CA">
        <w:t>sets out aggravating cir</w:t>
      </w:r>
      <w:r w:rsidR="007D2856" w:rsidRPr="00EC02CA">
        <w:t>cumsta</w:t>
      </w:r>
      <w:r w:rsidR="000926AD" w:rsidRPr="00EC02CA">
        <w:t xml:space="preserve">nces that </w:t>
      </w:r>
      <w:r w:rsidR="004F1A43" w:rsidRPr="00EC02CA">
        <w:t xml:space="preserve">must </w:t>
      </w:r>
      <w:r w:rsidR="000926AD" w:rsidRPr="00EC02CA">
        <w:t xml:space="preserve">be taken into account in relation to </w:t>
      </w:r>
      <w:r w:rsidR="004F1A43" w:rsidRPr="00EC02CA">
        <w:t xml:space="preserve">a </w:t>
      </w:r>
      <w:r w:rsidR="000926AD" w:rsidRPr="00EC02CA">
        <w:t>sexual of</w:t>
      </w:r>
      <w:r w:rsidR="00BB156D" w:rsidRPr="00EC02CA">
        <w:t xml:space="preserve">fence as well as </w:t>
      </w:r>
      <w:r w:rsidR="00276D6C" w:rsidRPr="00EC02CA">
        <w:t xml:space="preserve">excluding some factors from consideration in sentencing as mitigating factors (such as </w:t>
      </w:r>
      <w:r w:rsidR="00BB156D" w:rsidRPr="00EC02CA">
        <w:t xml:space="preserve">any alleged consent or acquiescence </w:t>
      </w:r>
      <w:r w:rsidR="007D2856" w:rsidRPr="00EC02CA">
        <w:t xml:space="preserve">made or given by the victim </w:t>
      </w:r>
      <w:r w:rsidR="00276D6C" w:rsidRPr="00EC02CA">
        <w:t xml:space="preserve">of a </w:t>
      </w:r>
      <w:r w:rsidR="007D2856" w:rsidRPr="00EC02CA">
        <w:t>child sexual offence</w:t>
      </w:r>
      <w:r w:rsidR="00276D6C" w:rsidRPr="00EC02CA">
        <w:t>). The aggravating circumstances are as follows</w:t>
      </w:r>
      <w:r w:rsidR="007D2856" w:rsidRPr="00EC02CA">
        <w:t>:</w:t>
      </w:r>
    </w:p>
    <w:p w14:paraId="6AEE6293" w14:textId="77777777" w:rsidR="0047330B" w:rsidRPr="00EC02CA" w:rsidRDefault="0047330B" w:rsidP="0047330B">
      <w:pPr>
        <w:pStyle w:val="Indentedquote"/>
      </w:pPr>
      <w:r w:rsidRPr="00EC02CA">
        <w:rPr>
          <w:b/>
          <w:bCs/>
        </w:rPr>
        <w:t>aggravating circumstance</w:t>
      </w:r>
      <w:r w:rsidRPr="00EC02CA">
        <w:t>, in relation to a sexual offence, includes, but is not limited to, the following:</w:t>
      </w:r>
    </w:p>
    <w:p w14:paraId="56488F65" w14:textId="77F8AA10" w:rsidR="0047330B" w:rsidRPr="00EC02CA" w:rsidRDefault="0047330B" w:rsidP="00A920EC">
      <w:pPr>
        <w:pStyle w:val="Indentedquote"/>
        <w:ind w:left="1134" w:hanging="414"/>
      </w:pPr>
      <w:r w:rsidRPr="00EC02CA">
        <w:t xml:space="preserve">(a) </w:t>
      </w:r>
      <w:r w:rsidR="00A86CDE" w:rsidRPr="00EC02CA">
        <w:tab/>
      </w:r>
      <w:r w:rsidRPr="00EC02CA">
        <w:t>the victim being under the care, supervision or authority of the offender;</w:t>
      </w:r>
    </w:p>
    <w:p w14:paraId="38B20868" w14:textId="1A5AE51F" w:rsidR="0047330B" w:rsidRPr="00EC02CA" w:rsidRDefault="0047330B" w:rsidP="00A920EC">
      <w:pPr>
        <w:pStyle w:val="Indentedquote"/>
        <w:ind w:left="1134" w:hanging="414"/>
      </w:pPr>
      <w:r w:rsidRPr="00EC02CA">
        <w:t xml:space="preserve">(b) </w:t>
      </w:r>
      <w:r w:rsidR="00A86CDE" w:rsidRPr="00EC02CA">
        <w:tab/>
      </w:r>
      <w:r w:rsidRPr="00EC02CA">
        <w:t>the victim being a person with a disability;</w:t>
      </w:r>
    </w:p>
    <w:p w14:paraId="20F95B25" w14:textId="2271DE13" w:rsidR="0047330B" w:rsidRPr="00EC02CA" w:rsidRDefault="0047330B" w:rsidP="00A920EC">
      <w:pPr>
        <w:pStyle w:val="Indentedquote"/>
        <w:ind w:left="1134" w:hanging="414"/>
      </w:pPr>
      <w:r w:rsidRPr="00EC02CA">
        <w:t xml:space="preserve">(c) </w:t>
      </w:r>
      <w:r w:rsidR="00A86CDE" w:rsidRPr="00EC02CA">
        <w:tab/>
      </w:r>
      <w:r w:rsidRPr="00EC02CA">
        <w:t>the victim being under the age of 13 years;</w:t>
      </w:r>
    </w:p>
    <w:p w14:paraId="192A5A5C" w14:textId="6B8FFC67" w:rsidR="0047330B" w:rsidRPr="00EC02CA" w:rsidRDefault="0047330B" w:rsidP="00A920EC">
      <w:pPr>
        <w:pStyle w:val="Indentedquote"/>
        <w:ind w:left="1134" w:hanging="414"/>
      </w:pPr>
      <w:r w:rsidRPr="00EC02CA">
        <w:t xml:space="preserve">(d) </w:t>
      </w:r>
      <w:r w:rsidR="00A86CDE" w:rsidRPr="00EC02CA">
        <w:tab/>
      </w:r>
      <w:r w:rsidRPr="00EC02CA">
        <w:t>the offender committing the offence in whole or in part in the presence of any other person or persons, besides the victim;</w:t>
      </w:r>
    </w:p>
    <w:p w14:paraId="08D92C94" w14:textId="6189C8EA" w:rsidR="0047330B" w:rsidRPr="00EC02CA" w:rsidRDefault="0047330B" w:rsidP="00A920EC">
      <w:pPr>
        <w:pStyle w:val="Indentedquote"/>
        <w:ind w:left="1134" w:hanging="414"/>
      </w:pPr>
      <w:r w:rsidRPr="00EC02CA">
        <w:t xml:space="preserve">(da) </w:t>
      </w:r>
      <w:r w:rsidR="00A86CDE" w:rsidRPr="00EC02CA">
        <w:tab/>
      </w:r>
      <w:r w:rsidRPr="00EC02CA">
        <w:t>the victim being under the age of 18 years and the offender being a person in a position of authority in relation to the victim (regardless of whether the offence is under section 124A of the Criminal Code, or any other section of the Criminal Code);</w:t>
      </w:r>
    </w:p>
    <w:p w14:paraId="0E8FE33D" w14:textId="5718C83C" w:rsidR="0047330B" w:rsidRPr="00EC02CA" w:rsidRDefault="0047330B" w:rsidP="00A920EC">
      <w:pPr>
        <w:pStyle w:val="Indentedquote"/>
        <w:ind w:left="1134" w:hanging="414"/>
      </w:pPr>
      <w:r w:rsidRPr="00EC02CA">
        <w:t xml:space="preserve">(e) </w:t>
      </w:r>
      <w:r w:rsidR="00A86CDE" w:rsidRPr="00EC02CA">
        <w:tab/>
      </w:r>
      <w:r w:rsidRPr="00EC02CA">
        <w:t>the offender subjecting the victim to violence or the threat of violence;</w:t>
      </w:r>
    </w:p>
    <w:p w14:paraId="410D5AD9" w14:textId="4241FF03" w:rsidR="0047330B" w:rsidRPr="00EC02CA" w:rsidRDefault="0047330B" w:rsidP="00A920EC">
      <w:pPr>
        <w:pStyle w:val="Indentedquote"/>
        <w:ind w:left="1134" w:hanging="414"/>
      </w:pPr>
      <w:r w:rsidRPr="00EC02CA">
        <w:t xml:space="preserve">(f) </w:t>
      </w:r>
      <w:r w:rsidR="00A86CDE" w:rsidRPr="00EC02CA">
        <w:tab/>
      </w:r>
      <w:r w:rsidRPr="00EC02CA">
        <w:t>the offender supplying the victim with alcohol or drugs with the intention of facilitating the commission of the offence;</w:t>
      </w:r>
    </w:p>
    <w:p w14:paraId="38631FCF" w14:textId="57DC86D9" w:rsidR="0047330B" w:rsidRPr="00EC02CA" w:rsidRDefault="0047330B" w:rsidP="00A920EC">
      <w:pPr>
        <w:pStyle w:val="Indentedquote"/>
        <w:ind w:left="1134" w:hanging="414"/>
      </w:pPr>
      <w:r w:rsidRPr="00EC02CA">
        <w:t xml:space="preserve">(g) </w:t>
      </w:r>
      <w:r w:rsidR="00A86CDE" w:rsidRPr="00EC02CA">
        <w:tab/>
      </w:r>
      <w:r w:rsidRPr="00EC02CA">
        <w:t>the offender making forced or uninvited entry into the victim's home or other premises;</w:t>
      </w:r>
    </w:p>
    <w:p w14:paraId="4DC80E08" w14:textId="4938BBC4" w:rsidR="0047330B" w:rsidRPr="00EC02CA" w:rsidRDefault="0047330B" w:rsidP="00A920EC">
      <w:pPr>
        <w:pStyle w:val="Indentedquote"/>
        <w:ind w:left="1134" w:hanging="414"/>
      </w:pPr>
      <w:r w:rsidRPr="00EC02CA">
        <w:t xml:space="preserve">(h) </w:t>
      </w:r>
      <w:r w:rsidR="00A86CDE" w:rsidRPr="00EC02CA">
        <w:tab/>
      </w:r>
      <w:r w:rsidRPr="00EC02CA">
        <w:t>the offender doing, in the course of committing the sexual offence, an act likely to seriously and substantially degrade or humiliate the victim;</w:t>
      </w:r>
    </w:p>
    <w:p w14:paraId="4F7B0503" w14:textId="2D38EF8A" w:rsidR="007D2856" w:rsidRPr="00EC02CA" w:rsidRDefault="0047330B" w:rsidP="00A920EC">
      <w:pPr>
        <w:pStyle w:val="Indentedquote"/>
        <w:ind w:left="1134" w:hanging="414"/>
      </w:pPr>
      <w:r w:rsidRPr="00EC02CA">
        <w:t xml:space="preserve">(i) </w:t>
      </w:r>
      <w:r w:rsidR="00A86CDE" w:rsidRPr="00EC02CA">
        <w:tab/>
      </w:r>
      <w:r w:rsidRPr="00EC02CA">
        <w:t>the offender causing any other person or persons to carry out an act referred to in paragraph (e), (f), (g) or (h) of this definition.</w:t>
      </w:r>
      <w:r w:rsidRPr="00EC02CA">
        <w:rPr>
          <w:rStyle w:val="FootnoteReference"/>
        </w:rPr>
        <w:footnoteReference w:id="840"/>
      </w:r>
    </w:p>
    <w:p w14:paraId="6F23FAC2" w14:textId="6747DF27" w:rsidR="00EF714A" w:rsidRPr="00EC02CA" w:rsidRDefault="00EF714A" w:rsidP="002F0007">
      <w:pPr>
        <w:pStyle w:val="NormalNumberedTextTLRI"/>
      </w:pPr>
      <w:r w:rsidRPr="00EC02CA">
        <w:t xml:space="preserve">In discussing the application of these principles to the sentencing of a youth offender, the Court of Criminal Appeal in </w:t>
      </w:r>
      <w:r w:rsidR="00053A3B" w:rsidRPr="00EC02CA">
        <w:rPr>
          <w:i/>
          <w:iCs/>
        </w:rPr>
        <w:t>Director of Public Prosecutions</w:t>
      </w:r>
      <w:r w:rsidR="00053A3B" w:rsidRPr="00EC02CA">
        <w:t xml:space="preserve"> </w:t>
      </w:r>
      <w:r w:rsidRPr="00EC02CA">
        <w:rPr>
          <w:i/>
          <w:iCs/>
        </w:rPr>
        <w:t xml:space="preserve">v </w:t>
      </w:r>
      <w:r w:rsidR="005D0FE7" w:rsidRPr="00EC02CA">
        <w:rPr>
          <w:i/>
          <w:iCs/>
        </w:rPr>
        <w:t>JS</w:t>
      </w:r>
      <w:r w:rsidRPr="00EC02CA">
        <w:rPr>
          <w:i/>
          <w:iCs/>
        </w:rPr>
        <w:t>P</w:t>
      </w:r>
      <w:r w:rsidRPr="00EC02CA">
        <w:t>,</w:t>
      </w:r>
      <w:r w:rsidRPr="00EC02CA">
        <w:rPr>
          <w:rStyle w:val="FootnoteReference"/>
        </w:rPr>
        <w:footnoteReference w:id="841"/>
      </w:r>
      <w:r w:rsidR="002A1D32" w:rsidRPr="00EC02CA">
        <w:t xml:space="preserve"> </w:t>
      </w:r>
      <w:r w:rsidR="00E52A24" w:rsidRPr="00EC02CA">
        <w:t>recognised</w:t>
      </w:r>
      <w:r w:rsidR="002A1D32" w:rsidRPr="00EC02CA">
        <w:t xml:space="preserve"> that these factors would be </w:t>
      </w:r>
      <w:r w:rsidR="00E52A24" w:rsidRPr="00EC02CA">
        <w:t>aggravating</w:t>
      </w:r>
      <w:r w:rsidR="002A1D32" w:rsidRPr="00EC02CA">
        <w:t xml:space="preserve"> factors </w:t>
      </w:r>
      <w:r w:rsidR="00E52A24" w:rsidRPr="00EC02CA">
        <w:t>independently</w:t>
      </w:r>
      <w:r w:rsidR="002A1D32" w:rsidRPr="00EC02CA">
        <w:t xml:space="preserve"> of the </w:t>
      </w:r>
      <w:r w:rsidR="00E52A24" w:rsidRPr="00EC02CA">
        <w:rPr>
          <w:i/>
          <w:iCs/>
        </w:rPr>
        <w:t>Sentencing</w:t>
      </w:r>
      <w:r w:rsidR="002A1D32" w:rsidRPr="00EC02CA">
        <w:rPr>
          <w:i/>
          <w:iCs/>
        </w:rPr>
        <w:t xml:space="preserve"> Act 1997 </w:t>
      </w:r>
      <w:r w:rsidR="002A1D32" w:rsidRPr="00EC02CA">
        <w:t xml:space="preserve">(Tas) s </w:t>
      </w:r>
      <w:r w:rsidR="00E52A24" w:rsidRPr="00EC02CA">
        <w:t>11A(1) and ‘the extent to which a factor specified in s 11A increases the objective gravity of the offence or the moral culpability of an offender will be determined according to circumstances of the case</w:t>
      </w:r>
      <w:r w:rsidR="00A06F28" w:rsidRPr="00EC02CA">
        <w:t>’</w:t>
      </w:r>
      <w:r w:rsidR="00E52A24" w:rsidRPr="00EC02CA">
        <w:t>.</w:t>
      </w:r>
      <w:r w:rsidR="00E52A24" w:rsidRPr="00EC02CA">
        <w:rPr>
          <w:rStyle w:val="FootnoteReference"/>
        </w:rPr>
        <w:footnoteReference w:id="842"/>
      </w:r>
      <w:r w:rsidR="00A06F28" w:rsidRPr="00EC02CA">
        <w:t xml:space="preserve"> This mean</w:t>
      </w:r>
      <w:r w:rsidR="000C3B7D" w:rsidRPr="00EC02CA">
        <w:t>s</w:t>
      </w:r>
      <w:r w:rsidR="00A06F28" w:rsidRPr="00EC02CA">
        <w:t xml:space="preserve"> the weight to be afforded to a statutory aggravating factor </w:t>
      </w:r>
      <w:r w:rsidR="000C3B7D" w:rsidRPr="00EC02CA">
        <w:t>i</w:t>
      </w:r>
      <w:r w:rsidR="00A06F28" w:rsidRPr="00EC02CA">
        <w:t xml:space="preserve">s a matter for the </w:t>
      </w:r>
      <w:r w:rsidR="00D44BFC" w:rsidRPr="00EC02CA">
        <w:t>exercise</w:t>
      </w:r>
      <w:r w:rsidR="00A06F28" w:rsidRPr="00EC02CA">
        <w:t xml:space="preserve"> of the sentencing </w:t>
      </w:r>
      <w:r w:rsidR="00D44BFC" w:rsidRPr="00EC02CA">
        <w:t>judge’s</w:t>
      </w:r>
      <w:r w:rsidR="00A06F28" w:rsidRPr="00EC02CA">
        <w:t xml:space="preserve"> discretion </w:t>
      </w:r>
      <w:r w:rsidR="00D44BFC" w:rsidRPr="00EC02CA">
        <w:t>and it may have ‘very little, if any, impact on sentence, or it may have a significant amount’.</w:t>
      </w:r>
      <w:r w:rsidR="00D44BFC" w:rsidRPr="00EC02CA">
        <w:rPr>
          <w:rStyle w:val="FootnoteReference"/>
        </w:rPr>
        <w:footnoteReference w:id="843"/>
      </w:r>
    </w:p>
    <w:p w14:paraId="11C40CAB" w14:textId="478DAE5B" w:rsidR="000F0438" w:rsidRPr="00EC02CA" w:rsidRDefault="0047330B" w:rsidP="002F0007">
      <w:pPr>
        <w:pStyle w:val="NormalNumberedTextTLRI"/>
      </w:pPr>
      <w:r w:rsidRPr="00EC02CA">
        <w:t xml:space="preserve">In addition, </w:t>
      </w:r>
      <w:r w:rsidR="00404168" w:rsidRPr="00EC02CA">
        <w:t xml:space="preserve">under the </w:t>
      </w:r>
      <w:r w:rsidR="00404168" w:rsidRPr="00EC02CA">
        <w:rPr>
          <w:i/>
          <w:iCs/>
        </w:rPr>
        <w:t xml:space="preserve">Sentencing Act 1997 </w:t>
      </w:r>
      <w:r w:rsidR="00404168" w:rsidRPr="00EC02CA">
        <w:t xml:space="preserve">(Tas), </w:t>
      </w:r>
      <w:r w:rsidR="00350315" w:rsidRPr="00EC02CA">
        <w:t xml:space="preserve">the court is not able to take into </w:t>
      </w:r>
      <w:r w:rsidR="006A2F67" w:rsidRPr="00EC02CA">
        <w:t>account</w:t>
      </w:r>
      <w:r w:rsidR="00350315" w:rsidRPr="00EC02CA">
        <w:t xml:space="preserve"> the offender’s </w:t>
      </w:r>
      <w:r w:rsidR="00276D6C" w:rsidRPr="00EC02CA">
        <w:t xml:space="preserve">prior </w:t>
      </w:r>
      <w:r w:rsidR="00350315" w:rsidRPr="00EC02CA">
        <w:t xml:space="preserve">good character or lack </w:t>
      </w:r>
      <w:r w:rsidR="006A2F67" w:rsidRPr="00EC02CA">
        <w:t>of</w:t>
      </w:r>
      <w:r w:rsidR="00350315" w:rsidRPr="00EC02CA">
        <w:t xml:space="preserve"> </w:t>
      </w:r>
      <w:r w:rsidR="006A2F67" w:rsidRPr="00EC02CA">
        <w:t>previous</w:t>
      </w:r>
      <w:r w:rsidR="00350315" w:rsidRPr="00EC02CA">
        <w:t xml:space="preserve"> </w:t>
      </w:r>
      <w:r w:rsidR="006A2F67" w:rsidRPr="00EC02CA">
        <w:t>convictions</w:t>
      </w:r>
      <w:r w:rsidR="00350315" w:rsidRPr="00EC02CA">
        <w:t xml:space="preserve"> if the court is satisfied that the </w:t>
      </w:r>
      <w:r w:rsidR="006A2F67" w:rsidRPr="00EC02CA">
        <w:t>offender’s</w:t>
      </w:r>
      <w:r w:rsidR="00350315" w:rsidRPr="00EC02CA">
        <w:t xml:space="preserve"> alleged </w:t>
      </w:r>
      <w:r w:rsidR="00276D6C" w:rsidRPr="00EC02CA">
        <w:t xml:space="preserve">prior </w:t>
      </w:r>
      <w:r w:rsidR="00350315" w:rsidRPr="00EC02CA">
        <w:t xml:space="preserve">good </w:t>
      </w:r>
      <w:r w:rsidR="006A2F67" w:rsidRPr="00EC02CA">
        <w:t xml:space="preserve">character </w:t>
      </w:r>
      <w:r w:rsidR="00350315" w:rsidRPr="00EC02CA">
        <w:t>or lack of previous conviction was of assistance to the offender in the commission of the sexual offence.</w:t>
      </w:r>
      <w:r w:rsidR="00350315" w:rsidRPr="00EC02CA">
        <w:rPr>
          <w:rStyle w:val="FootnoteReference"/>
        </w:rPr>
        <w:footnoteReference w:id="844"/>
      </w:r>
      <w:r w:rsidR="00276D6C" w:rsidRPr="00EC02CA">
        <w:t xml:space="preserve"> </w:t>
      </w:r>
      <w:r w:rsidR="006A2F67" w:rsidRPr="00EC02CA">
        <w:t xml:space="preserve">The </w:t>
      </w:r>
      <w:r w:rsidR="006A2F67" w:rsidRPr="00EC02CA">
        <w:rPr>
          <w:i/>
          <w:iCs/>
        </w:rPr>
        <w:t xml:space="preserve">Sentencing Act 1997 </w:t>
      </w:r>
      <w:r w:rsidR="006A2F67" w:rsidRPr="00EC02CA">
        <w:t xml:space="preserve">(Tas) s </w:t>
      </w:r>
      <w:r w:rsidR="00EE6E46" w:rsidRPr="00EC02CA">
        <w:t>11A(3)(a) provides that</w:t>
      </w:r>
      <w:r w:rsidR="00276D6C" w:rsidRPr="00EC02CA">
        <w:t>,</w:t>
      </w:r>
      <w:r w:rsidR="00EE6E46" w:rsidRPr="00EC02CA">
        <w:t xml:space="preserve"> in </w:t>
      </w:r>
      <w:r w:rsidR="000D402A" w:rsidRPr="00EC02CA">
        <w:t>determining</w:t>
      </w:r>
      <w:r w:rsidR="00EE6E46" w:rsidRPr="00EC02CA">
        <w:t xml:space="preserve"> the </w:t>
      </w:r>
      <w:r w:rsidR="000D402A" w:rsidRPr="00EC02CA">
        <w:t>appropriate</w:t>
      </w:r>
      <w:r w:rsidR="00EE6E46" w:rsidRPr="00EC02CA">
        <w:t xml:space="preserve"> sentence for an offender convicted of a child sexual offence, any alleged consent, or other alleged </w:t>
      </w:r>
      <w:r w:rsidR="000D402A" w:rsidRPr="00EC02CA">
        <w:t>acquiescence</w:t>
      </w:r>
      <w:r w:rsidR="00EE6E46" w:rsidRPr="00EC02CA">
        <w:t xml:space="preserve">, </w:t>
      </w:r>
      <w:r w:rsidR="000D402A" w:rsidRPr="00EC02CA">
        <w:t>made</w:t>
      </w:r>
      <w:r w:rsidR="00EE6E46" w:rsidRPr="00EC02CA">
        <w:t xml:space="preserve"> or given by the </w:t>
      </w:r>
      <w:r w:rsidR="000D402A" w:rsidRPr="00EC02CA">
        <w:t>vict</w:t>
      </w:r>
      <w:r w:rsidR="00EE6E46" w:rsidRPr="00EC02CA">
        <w:t>im is not a mitigating factor</w:t>
      </w:r>
      <w:r w:rsidR="000D402A" w:rsidRPr="00EC02CA">
        <w:t>.</w:t>
      </w:r>
      <w:r w:rsidR="003521FD" w:rsidRPr="00EC02CA">
        <w:t xml:space="preserve"> </w:t>
      </w:r>
    </w:p>
    <w:p w14:paraId="148EB63A" w14:textId="73BA3D2C" w:rsidR="00264030" w:rsidRPr="00EC02CA" w:rsidRDefault="003521FD" w:rsidP="002F0007">
      <w:pPr>
        <w:pStyle w:val="NormalNumberedTextTLRI"/>
      </w:pPr>
      <w:r w:rsidRPr="00EC02CA">
        <w:t xml:space="preserve">Other provisions of the </w:t>
      </w:r>
      <w:r w:rsidRPr="00EC02CA">
        <w:rPr>
          <w:i/>
          <w:iCs/>
        </w:rPr>
        <w:t xml:space="preserve">Sentencing Act 1997 </w:t>
      </w:r>
      <w:r w:rsidRPr="00EC02CA">
        <w:t xml:space="preserve">(Tas) </w:t>
      </w:r>
      <w:r w:rsidR="00772E18" w:rsidRPr="00EC02CA">
        <w:t xml:space="preserve"> limit the discretion of the court</w:t>
      </w:r>
      <w:r w:rsidR="00276D6C" w:rsidRPr="00EC02CA">
        <w:t xml:space="preserve"> when</w:t>
      </w:r>
      <w:r w:rsidR="00772E18" w:rsidRPr="00EC02CA">
        <w:t xml:space="preserve"> imposing sentence </w:t>
      </w:r>
      <w:r w:rsidR="00404168" w:rsidRPr="00EC02CA">
        <w:t>to take into account the</w:t>
      </w:r>
      <w:r w:rsidR="00772E18" w:rsidRPr="00EC02CA">
        <w:t xml:space="preserve"> self-induced intoxication</w:t>
      </w:r>
      <w:r w:rsidR="00DD5E5A" w:rsidRPr="00EC02CA">
        <w:t xml:space="preserve"> of the offender at the </w:t>
      </w:r>
      <w:r w:rsidR="000F0438" w:rsidRPr="00EC02CA">
        <w:t>time</w:t>
      </w:r>
      <w:r w:rsidR="00DD5E5A" w:rsidRPr="00EC02CA">
        <w:t xml:space="preserve"> the offence was committed.</w:t>
      </w:r>
      <w:r w:rsidR="000F0438" w:rsidRPr="00EC02CA">
        <w:rPr>
          <w:rStyle w:val="FootnoteReference"/>
        </w:rPr>
        <w:footnoteReference w:id="845"/>
      </w:r>
      <w:r w:rsidR="000F0438" w:rsidRPr="00EC02CA">
        <w:t xml:space="preserve"> </w:t>
      </w:r>
    </w:p>
    <w:p w14:paraId="01D91ED0" w14:textId="62B92713" w:rsidR="00710EF6" w:rsidRPr="00EC02CA" w:rsidRDefault="008444FB" w:rsidP="00A920EC">
      <w:pPr>
        <w:pStyle w:val="TLRISubheading"/>
      </w:pPr>
      <w:bookmarkStart w:id="447" w:name="_Toc211849459"/>
      <w:bookmarkStart w:id="448" w:name="_Toc218157363"/>
      <w:r w:rsidRPr="00EC02CA">
        <w:t xml:space="preserve">Sentencing young people for sexual offences </w:t>
      </w:r>
      <w:r w:rsidR="00DD5E5A" w:rsidRPr="00EC02CA">
        <w:t>in the Supreme Court</w:t>
      </w:r>
      <w:bookmarkEnd w:id="447"/>
      <w:bookmarkEnd w:id="448"/>
    </w:p>
    <w:p w14:paraId="16CAAB5A" w14:textId="1EAEBA1D" w:rsidR="00DD5E5A" w:rsidRPr="00EC02CA" w:rsidRDefault="00717BDA" w:rsidP="002F0007">
      <w:pPr>
        <w:pStyle w:val="NormalNumberedTextTLRI"/>
      </w:pPr>
      <w:r w:rsidRPr="00EC02CA">
        <w:t xml:space="preserve">Sentencing data for the </w:t>
      </w:r>
      <w:r w:rsidR="00DD5E5A" w:rsidRPr="00EC02CA">
        <w:t xml:space="preserve">Supreme Court </w:t>
      </w:r>
      <w:r w:rsidRPr="00EC02CA">
        <w:t>f</w:t>
      </w:r>
      <w:r w:rsidR="00DD5E5A" w:rsidRPr="00EC02CA">
        <w:t>or the period 201</w:t>
      </w:r>
      <w:r w:rsidR="00D05804" w:rsidRPr="00EC02CA">
        <w:t>3</w:t>
      </w:r>
      <w:r w:rsidR="00397392" w:rsidRPr="00EC02CA">
        <w:t>–</w:t>
      </w:r>
      <w:r w:rsidR="00DD5E5A" w:rsidRPr="00EC02CA">
        <w:t>1</w:t>
      </w:r>
      <w:r w:rsidR="00D05804" w:rsidRPr="00EC02CA">
        <w:t>4</w:t>
      </w:r>
      <w:r w:rsidR="00DD5E5A" w:rsidRPr="00EC02CA">
        <w:t xml:space="preserve"> to 2023</w:t>
      </w:r>
      <w:r w:rsidR="00397392" w:rsidRPr="00EC02CA">
        <w:t>–</w:t>
      </w:r>
      <w:r w:rsidR="00DD5E5A" w:rsidRPr="00EC02CA">
        <w:t>24</w:t>
      </w:r>
      <w:r w:rsidRPr="00EC02CA">
        <w:t xml:space="preserve"> </w:t>
      </w:r>
      <w:r w:rsidR="00397392" w:rsidRPr="00EC02CA">
        <w:t xml:space="preserve">were </w:t>
      </w:r>
      <w:r w:rsidR="004A4114" w:rsidRPr="00EC02CA">
        <w:t>provided</w:t>
      </w:r>
      <w:r w:rsidRPr="00EC02CA">
        <w:t xml:space="preserve"> by the </w:t>
      </w:r>
      <w:r w:rsidR="004A4114" w:rsidRPr="00EC02CA">
        <w:t>Department</w:t>
      </w:r>
      <w:r w:rsidRPr="00EC02CA">
        <w:t xml:space="preserve"> </w:t>
      </w:r>
      <w:r w:rsidR="004A4114" w:rsidRPr="00EC02CA">
        <w:t>of</w:t>
      </w:r>
      <w:r w:rsidRPr="00EC02CA">
        <w:t xml:space="preserve"> Justice</w:t>
      </w:r>
      <w:r w:rsidR="004A4114" w:rsidRPr="00EC02CA">
        <w:t xml:space="preserve"> to the TLRI. These</w:t>
      </w:r>
      <w:r w:rsidR="00DD5E5A" w:rsidRPr="00EC02CA">
        <w:t xml:space="preserve"> show that there were 48 sexual offence charges sentence</w:t>
      </w:r>
      <w:r w:rsidR="00397392" w:rsidRPr="00EC02CA">
        <w:t>d during that period,</w:t>
      </w:r>
      <w:r w:rsidR="00DD5E5A" w:rsidRPr="00EC02CA">
        <w:t xml:space="preserve"> with 41 being sentences of imprisonment (85.4%) and 39 matters resulting in the young person being placed on the Community Protection Offender Register (81.3%). Community service/community correction order</w:t>
      </w:r>
      <w:r w:rsidR="00613766" w:rsidRPr="00EC02CA">
        <w:t>s</w:t>
      </w:r>
      <w:r w:rsidR="00DD5E5A" w:rsidRPr="00EC02CA">
        <w:t xml:space="preserve"> w</w:t>
      </w:r>
      <w:r w:rsidR="00613766" w:rsidRPr="00EC02CA">
        <w:t>ere</w:t>
      </w:r>
      <w:r w:rsidR="00DD5E5A" w:rsidRPr="00EC02CA">
        <w:t xml:space="preserve"> imposed in relation to </w:t>
      </w:r>
      <w:r w:rsidR="002754A4" w:rsidRPr="00EC02CA">
        <w:t>seven</w:t>
      </w:r>
      <w:r w:rsidR="00DD5E5A" w:rsidRPr="00EC02CA">
        <w:t xml:space="preserve"> charges, probation order</w:t>
      </w:r>
      <w:r w:rsidR="00613766" w:rsidRPr="00EC02CA">
        <w:t>s</w:t>
      </w:r>
      <w:r w:rsidR="00DD5E5A" w:rsidRPr="00EC02CA">
        <w:t xml:space="preserve"> for </w:t>
      </w:r>
      <w:r w:rsidR="002754A4" w:rsidRPr="00EC02CA">
        <w:t>four</w:t>
      </w:r>
      <w:r w:rsidR="00DD5E5A" w:rsidRPr="00EC02CA">
        <w:t xml:space="preserve"> charges, home detention </w:t>
      </w:r>
      <w:r w:rsidR="00613766" w:rsidRPr="00EC02CA">
        <w:t xml:space="preserve">orders </w:t>
      </w:r>
      <w:r w:rsidR="00DD5E5A" w:rsidRPr="00EC02CA">
        <w:t xml:space="preserve">for </w:t>
      </w:r>
      <w:r w:rsidR="002754A4" w:rsidRPr="00EC02CA">
        <w:t>three</w:t>
      </w:r>
      <w:r w:rsidR="00DD5E5A" w:rsidRPr="00EC02CA">
        <w:t xml:space="preserve"> and detention order</w:t>
      </w:r>
      <w:r w:rsidR="00613766" w:rsidRPr="00EC02CA">
        <w:t>s</w:t>
      </w:r>
      <w:r w:rsidR="00DD5E5A" w:rsidRPr="00EC02CA">
        <w:t xml:space="preserve"> in </w:t>
      </w:r>
      <w:r w:rsidR="002754A4" w:rsidRPr="00EC02CA">
        <w:t>two</w:t>
      </w:r>
      <w:r w:rsidR="00DD5E5A" w:rsidRPr="00EC02CA">
        <w:t xml:space="preserve"> cases. </w:t>
      </w:r>
    </w:p>
    <w:p w14:paraId="66F8ECF5" w14:textId="2DC5527A" w:rsidR="006B3609" w:rsidRPr="00EC02CA" w:rsidRDefault="004379D2" w:rsidP="002F0007">
      <w:pPr>
        <w:pStyle w:val="NormalNumberedTextTLRI"/>
      </w:pPr>
      <w:bookmarkStart w:id="449" w:name="_Ref218242198"/>
      <w:r w:rsidRPr="00EC02CA">
        <w:t xml:space="preserve">An analysis of sentencing comments of the Supreme Court for the </w:t>
      </w:r>
      <w:r w:rsidR="009010A0" w:rsidRPr="00EC02CA">
        <w:t>period</w:t>
      </w:r>
      <w:r w:rsidR="00603FB5" w:rsidRPr="00EC02CA">
        <w:t xml:space="preserve"> 201</w:t>
      </w:r>
      <w:r w:rsidR="00B3007C" w:rsidRPr="00EC02CA">
        <w:t>6</w:t>
      </w:r>
      <w:r w:rsidR="00613766" w:rsidRPr="00EC02CA">
        <w:t>–</w:t>
      </w:r>
      <w:r w:rsidR="00603FB5" w:rsidRPr="00EC02CA">
        <w:t>1</w:t>
      </w:r>
      <w:r w:rsidR="00B3007C" w:rsidRPr="00EC02CA">
        <w:t>7</w:t>
      </w:r>
      <w:r w:rsidR="00603FB5" w:rsidRPr="00EC02CA">
        <w:t xml:space="preserve"> to 20</w:t>
      </w:r>
      <w:r w:rsidR="009C1B73" w:rsidRPr="00EC02CA">
        <w:t>24</w:t>
      </w:r>
      <w:r w:rsidR="00613766" w:rsidRPr="00EC02CA">
        <w:t>–</w:t>
      </w:r>
      <w:r w:rsidR="00603FB5" w:rsidRPr="00EC02CA">
        <w:t>2</w:t>
      </w:r>
      <w:r w:rsidR="00B60AB3" w:rsidRPr="00EC02CA">
        <w:t>02</w:t>
      </w:r>
      <w:r w:rsidR="009C1B73" w:rsidRPr="00EC02CA">
        <w:t>5</w:t>
      </w:r>
      <w:r w:rsidR="00603FB5" w:rsidRPr="00EC02CA">
        <w:t xml:space="preserve">, </w:t>
      </w:r>
      <w:r w:rsidR="00DD5008" w:rsidRPr="00EC02CA">
        <w:t>identified</w:t>
      </w:r>
      <w:r w:rsidR="00603FB5" w:rsidRPr="00EC02CA">
        <w:t xml:space="preserve"> </w:t>
      </w:r>
      <w:r w:rsidR="00733BBC" w:rsidRPr="00EC02CA">
        <w:t>2</w:t>
      </w:r>
      <w:r w:rsidR="0008074A" w:rsidRPr="00EC02CA">
        <w:t>1</w:t>
      </w:r>
      <w:r w:rsidR="00B60AB3" w:rsidRPr="00EC02CA">
        <w:t xml:space="preserve"> </w:t>
      </w:r>
      <w:r w:rsidR="001E6EE7" w:rsidRPr="00EC02CA">
        <w:t>people</w:t>
      </w:r>
      <w:r w:rsidR="00B60AB3" w:rsidRPr="00EC02CA">
        <w:t xml:space="preserve"> sentenced in the </w:t>
      </w:r>
      <w:r w:rsidR="001E6EE7" w:rsidRPr="00EC02CA">
        <w:t>Supreme</w:t>
      </w:r>
      <w:r w:rsidR="00B60AB3" w:rsidRPr="00EC02CA">
        <w:t xml:space="preserve"> Court for a </w:t>
      </w:r>
      <w:r w:rsidR="00485F56" w:rsidRPr="00EC02CA">
        <w:t xml:space="preserve">sexual </w:t>
      </w:r>
      <w:r w:rsidR="00CD5EF7" w:rsidRPr="00EC02CA">
        <w:t>offence</w:t>
      </w:r>
      <w:r w:rsidR="009C1B73" w:rsidRPr="00EC02CA">
        <w:t xml:space="preserve"> committed when the </w:t>
      </w:r>
      <w:r w:rsidR="00613766" w:rsidRPr="00EC02CA">
        <w:t xml:space="preserve">offender </w:t>
      </w:r>
      <w:r w:rsidR="009C1B73" w:rsidRPr="00EC02CA">
        <w:t xml:space="preserve">was a </w:t>
      </w:r>
      <w:r w:rsidR="003B1E79" w:rsidRPr="00EC02CA">
        <w:t>young person</w:t>
      </w:r>
      <w:r w:rsidRPr="00EC02CA">
        <w:t>. In</w:t>
      </w:r>
      <w:r w:rsidR="002B5DA5" w:rsidRPr="00EC02CA">
        <w:t xml:space="preserve"> 1</w:t>
      </w:r>
      <w:r w:rsidR="0008074A" w:rsidRPr="00EC02CA">
        <w:t>4</w:t>
      </w:r>
      <w:r w:rsidR="002B5DA5" w:rsidRPr="00EC02CA">
        <w:t xml:space="preserve"> </w:t>
      </w:r>
      <w:r w:rsidRPr="00EC02CA">
        <w:t>of the</w:t>
      </w:r>
      <w:r w:rsidR="00613766" w:rsidRPr="00EC02CA">
        <w:t>se</w:t>
      </w:r>
      <w:r w:rsidRPr="00EC02CA">
        <w:t xml:space="preserve"> 2</w:t>
      </w:r>
      <w:r w:rsidR="0008074A" w:rsidRPr="00EC02CA">
        <w:t>1</w:t>
      </w:r>
      <w:r w:rsidRPr="00EC02CA">
        <w:t xml:space="preserve"> c</w:t>
      </w:r>
      <w:r w:rsidR="002B5DA5" w:rsidRPr="00EC02CA">
        <w:t xml:space="preserve">ases, the person was </w:t>
      </w:r>
      <w:r w:rsidR="00613766" w:rsidRPr="00EC02CA">
        <w:t xml:space="preserve">aged </w:t>
      </w:r>
      <w:r w:rsidR="002B5DA5" w:rsidRPr="00EC02CA">
        <w:t xml:space="preserve">18 </w:t>
      </w:r>
      <w:r w:rsidR="00DB308A" w:rsidRPr="00EC02CA">
        <w:t xml:space="preserve">or older </w:t>
      </w:r>
      <w:r w:rsidR="002B5DA5" w:rsidRPr="00EC02CA">
        <w:t>at the time of sentencing. A</w:t>
      </w:r>
      <w:r w:rsidR="00CD5EF7" w:rsidRPr="00EC02CA">
        <w:t>nalysed according to the most serious offence</w:t>
      </w:r>
      <w:r w:rsidRPr="00EC02CA">
        <w:t xml:space="preserve"> for which the person was sentenced</w:t>
      </w:r>
      <w:r w:rsidR="00CD5EF7" w:rsidRPr="00EC02CA">
        <w:t xml:space="preserve">, </w:t>
      </w:r>
      <w:r w:rsidR="00D0343F" w:rsidRPr="00EC02CA">
        <w:t>11</w:t>
      </w:r>
      <w:r w:rsidR="005D4A5D" w:rsidRPr="00EC02CA">
        <w:t xml:space="preserve"> </w:t>
      </w:r>
      <w:r w:rsidR="001E6EE7" w:rsidRPr="00EC02CA">
        <w:t>cases</w:t>
      </w:r>
      <w:r w:rsidR="005D4A5D" w:rsidRPr="00EC02CA">
        <w:t xml:space="preserve"> </w:t>
      </w:r>
      <w:r w:rsidR="001E6EE7" w:rsidRPr="00EC02CA">
        <w:t xml:space="preserve">involved </w:t>
      </w:r>
      <w:r w:rsidR="005D4A5D" w:rsidRPr="00EC02CA">
        <w:t>rape</w:t>
      </w:r>
      <w:r w:rsidR="001E6EE7" w:rsidRPr="00EC02CA">
        <w:t xml:space="preserve">, </w:t>
      </w:r>
      <w:r w:rsidR="00613766" w:rsidRPr="00EC02CA">
        <w:t>four</w:t>
      </w:r>
      <w:r w:rsidR="00B07632" w:rsidRPr="00EC02CA">
        <w:t xml:space="preserve"> </w:t>
      </w:r>
      <w:r w:rsidR="006C3F9F" w:rsidRPr="00EC02CA">
        <w:t>involved</w:t>
      </w:r>
      <w:r w:rsidR="001D163E" w:rsidRPr="00EC02CA">
        <w:t xml:space="preserve"> maintaining a sexual rel</w:t>
      </w:r>
      <w:r w:rsidR="006602E7" w:rsidRPr="00EC02CA">
        <w:t>ation</w:t>
      </w:r>
      <w:r w:rsidR="001D163E" w:rsidRPr="00EC02CA">
        <w:t>ship with a young person/</w:t>
      </w:r>
      <w:r w:rsidR="006602E7" w:rsidRPr="00EC02CA">
        <w:t>persistent</w:t>
      </w:r>
      <w:r w:rsidR="001D163E" w:rsidRPr="00EC02CA">
        <w:t xml:space="preserve"> sexual abuse. Other </w:t>
      </w:r>
      <w:r w:rsidR="006602E7" w:rsidRPr="00EC02CA">
        <w:t>offences</w:t>
      </w:r>
      <w:r w:rsidR="001D163E" w:rsidRPr="00EC02CA">
        <w:t xml:space="preserve"> included </w:t>
      </w:r>
      <w:r w:rsidR="006602E7" w:rsidRPr="00EC02CA">
        <w:t>indecent</w:t>
      </w:r>
      <w:r w:rsidR="001D163E" w:rsidRPr="00EC02CA">
        <w:t xml:space="preserve"> assault</w:t>
      </w:r>
      <w:r w:rsidR="002B5DA5" w:rsidRPr="00EC02CA">
        <w:t xml:space="preserve"> (</w:t>
      </w:r>
      <w:r w:rsidR="00613766" w:rsidRPr="00EC02CA">
        <w:t>one</w:t>
      </w:r>
      <w:r w:rsidR="004F63AB" w:rsidRPr="00EC02CA">
        <w:t xml:space="preserve"> case</w:t>
      </w:r>
      <w:r w:rsidR="002B5DA5" w:rsidRPr="00EC02CA">
        <w:t>)</w:t>
      </w:r>
      <w:r w:rsidR="001D163E" w:rsidRPr="00EC02CA">
        <w:t>, aggravated sexual assault</w:t>
      </w:r>
      <w:r w:rsidR="002B5DA5" w:rsidRPr="00EC02CA">
        <w:t xml:space="preserve"> (</w:t>
      </w:r>
      <w:r w:rsidR="00613766" w:rsidRPr="00EC02CA">
        <w:t>one</w:t>
      </w:r>
      <w:r w:rsidR="004F63AB" w:rsidRPr="00EC02CA">
        <w:t xml:space="preserve"> case</w:t>
      </w:r>
      <w:r w:rsidR="002B5DA5" w:rsidRPr="00EC02CA">
        <w:t>)</w:t>
      </w:r>
      <w:r w:rsidR="00C74DCE" w:rsidRPr="00EC02CA">
        <w:t>, sexual intercourse with a young person</w:t>
      </w:r>
      <w:r w:rsidR="00821B75" w:rsidRPr="00EC02CA">
        <w:t>/penetrative sexual abuse of a young person</w:t>
      </w:r>
      <w:r w:rsidR="001D163E" w:rsidRPr="00EC02CA">
        <w:t xml:space="preserve"> </w:t>
      </w:r>
      <w:r w:rsidR="000A5A95" w:rsidRPr="00EC02CA">
        <w:t>(</w:t>
      </w:r>
      <w:r w:rsidR="00613766" w:rsidRPr="00EC02CA">
        <w:t>two</w:t>
      </w:r>
      <w:r w:rsidR="004F63AB" w:rsidRPr="00EC02CA">
        <w:t xml:space="preserve"> cases</w:t>
      </w:r>
      <w:r w:rsidR="000A5A95" w:rsidRPr="00EC02CA">
        <w:t xml:space="preserve">) </w:t>
      </w:r>
      <w:r w:rsidR="001D163E" w:rsidRPr="00EC02CA">
        <w:t xml:space="preserve">and attempted unlawful sexual </w:t>
      </w:r>
      <w:r w:rsidR="006602E7" w:rsidRPr="00EC02CA">
        <w:t>intercourse</w:t>
      </w:r>
      <w:r w:rsidR="001D163E" w:rsidRPr="00EC02CA">
        <w:t xml:space="preserve"> with a</w:t>
      </w:r>
      <w:r w:rsidR="006602E7" w:rsidRPr="00EC02CA">
        <w:t xml:space="preserve"> y</w:t>
      </w:r>
      <w:r w:rsidR="001D163E" w:rsidRPr="00EC02CA">
        <w:t>oung person</w:t>
      </w:r>
      <w:r w:rsidR="000A5A95" w:rsidRPr="00EC02CA">
        <w:t xml:space="preserve"> (</w:t>
      </w:r>
      <w:r w:rsidR="00613766" w:rsidRPr="00EC02CA">
        <w:t>one</w:t>
      </w:r>
      <w:r w:rsidR="004F63AB" w:rsidRPr="00EC02CA">
        <w:t xml:space="preserve"> case</w:t>
      </w:r>
      <w:r w:rsidR="000A5A95" w:rsidRPr="00EC02CA">
        <w:t>)</w:t>
      </w:r>
      <w:r w:rsidR="001D163E" w:rsidRPr="00EC02CA">
        <w:t>.</w:t>
      </w:r>
      <w:r w:rsidR="00BF1166" w:rsidRPr="00EC02CA">
        <w:rPr>
          <w:rStyle w:val="FootnoteReference"/>
        </w:rPr>
        <w:footnoteReference w:id="846"/>
      </w:r>
      <w:r w:rsidR="00201436" w:rsidRPr="00EC02CA">
        <w:t xml:space="preserve"> I</w:t>
      </w:r>
      <w:r w:rsidR="006602E7" w:rsidRPr="00EC02CA">
        <w:t>n</w:t>
      </w:r>
      <w:r w:rsidR="00201436" w:rsidRPr="00EC02CA">
        <w:t xml:space="preserve"> </w:t>
      </w:r>
      <w:r w:rsidR="002B371D" w:rsidRPr="00EC02CA">
        <w:t>1</w:t>
      </w:r>
      <w:r w:rsidR="00521F1E" w:rsidRPr="00EC02CA">
        <w:t>4</w:t>
      </w:r>
      <w:r w:rsidR="00474CF9" w:rsidRPr="00EC02CA">
        <w:t xml:space="preserve"> </w:t>
      </w:r>
      <w:r w:rsidR="00201436" w:rsidRPr="00EC02CA">
        <w:t xml:space="preserve">out of the </w:t>
      </w:r>
      <w:r w:rsidR="002B371D" w:rsidRPr="00EC02CA">
        <w:t>2</w:t>
      </w:r>
      <w:r w:rsidR="00521F1E" w:rsidRPr="00EC02CA">
        <w:t>1</w:t>
      </w:r>
      <w:r w:rsidRPr="00EC02CA">
        <w:t xml:space="preserve"> </w:t>
      </w:r>
      <w:r w:rsidR="00201436" w:rsidRPr="00EC02CA">
        <w:t xml:space="preserve">cases, the young </w:t>
      </w:r>
      <w:r w:rsidR="006602E7" w:rsidRPr="00EC02CA">
        <w:t>person</w:t>
      </w:r>
      <w:r w:rsidR="00201436" w:rsidRPr="00EC02CA">
        <w:t xml:space="preserve"> was </w:t>
      </w:r>
      <w:r w:rsidR="006602E7" w:rsidRPr="00EC02CA">
        <w:t>sentenced</w:t>
      </w:r>
      <w:r w:rsidR="00201436" w:rsidRPr="00EC02CA">
        <w:t xml:space="preserve"> under the </w:t>
      </w:r>
      <w:r w:rsidR="00201436" w:rsidRPr="00EC02CA">
        <w:rPr>
          <w:i/>
          <w:iCs/>
        </w:rPr>
        <w:t xml:space="preserve">Sentencing Act </w:t>
      </w:r>
      <w:r w:rsidR="006602E7" w:rsidRPr="00EC02CA">
        <w:rPr>
          <w:i/>
          <w:iCs/>
        </w:rPr>
        <w:t xml:space="preserve">1997 </w:t>
      </w:r>
      <w:r w:rsidR="006602E7" w:rsidRPr="00EC02CA">
        <w:t>(Tas</w:t>
      </w:r>
      <w:r w:rsidR="00332B91" w:rsidRPr="00EC02CA">
        <w:t xml:space="preserve">). </w:t>
      </w:r>
      <w:r w:rsidR="00485DC4" w:rsidRPr="00EC02CA">
        <w:t>In 17 of the 21 cases, the offender was placed on the Community Protection Offender Register.</w:t>
      </w:r>
      <w:r w:rsidR="00485DC4" w:rsidRPr="00EC02CA">
        <w:rPr>
          <w:rStyle w:val="FootnoteReference"/>
        </w:rPr>
        <w:footnoteReference w:id="847"/>
      </w:r>
      <w:r w:rsidR="00485DC4" w:rsidRPr="00EC02CA">
        <w:t xml:space="preserve"> </w:t>
      </w:r>
      <w:r w:rsidR="002B371D" w:rsidRPr="00EC02CA">
        <w:t xml:space="preserve">In cases where the </w:t>
      </w:r>
      <w:r w:rsidR="005C6E7C" w:rsidRPr="00EC02CA">
        <w:t xml:space="preserve">offender was under 18 at the time of sentencing, </w:t>
      </w:r>
      <w:r w:rsidR="00E73EB1" w:rsidRPr="00EC02CA">
        <w:t xml:space="preserve">in </w:t>
      </w:r>
      <w:r w:rsidR="00613766" w:rsidRPr="00EC02CA">
        <w:t>five</w:t>
      </w:r>
      <w:r w:rsidR="005C6E7C" w:rsidRPr="00EC02CA">
        <w:t xml:space="preserve"> out of </w:t>
      </w:r>
      <w:r w:rsidR="002754A4" w:rsidRPr="00EC02CA">
        <w:t>seven</w:t>
      </w:r>
      <w:r w:rsidR="00B34364" w:rsidRPr="00EC02CA">
        <w:t xml:space="preserve"> cases</w:t>
      </w:r>
      <w:r w:rsidR="00613766" w:rsidRPr="00EC02CA">
        <w:t>,</w:t>
      </w:r>
      <w:r w:rsidR="00E73EB1" w:rsidRPr="00EC02CA">
        <w:t xml:space="preserve"> the young person was sentenced under the </w:t>
      </w:r>
      <w:r w:rsidR="00E73EB1" w:rsidRPr="00EC02CA">
        <w:rPr>
          <w:i/>
          <w:iCs/>
        </w:rPr>
        <w:t xml:space="preserve">Youth Justice Act 1997 </w:t>
      </w:r>
      <w:r w:rsidR="00E73EB1" w:rsidRPr="00EC02CA">
        <w:t>(Tas).</w:t>
      </w:r>
      <w:bookmarkEnd w:id="449"/>
      <w:r w:rsidR="00E73EB1" w:rsidRPr="00EC02CA">
        <w:t xml:space="preserve"> </w:t>
      </w:r>
    </w:p>
    <w:p w14:paraId="3F0880B7" w14:textId="14DFC84A" w:rsidR="002C6CD6" w:rsidRPr="00EC02CA" w:rsidRDefault="002C6CD6" w:rsidP="002F0007">
      <w:pPr>
        <w:pStyle w:val="NormalNumberedTextTLRI"/>
      </w:pPr>
      <w:r w:rsidRPr="00EC02CA">
        <w:t>For youth offenders</w:t>
      </w:r>
      <w:r w:rsidR="000F2F0A" w:rsidRPr="00EC02CA">
        <w:t xml:space="preserve">, there are </w:t>
      </w:r>
      <w:r w:rsidR="00913B77" w:rsidRPr="00EC02CA">
        <w:t xml:space="preserve">differences </w:t>
      </w:r>
      <w:r w:rsidR="00613766" w:rsidRPr="00EC02CA">
        <w:t>in</w:t>
      </w:r>
      <w:r w:rsidR="00913B77" w:rsidRPr="00EC02CA">
        <w:t xml:space="preserve"> how </w:t>
      </w:r>
      <w:r w:rsidR="00613766" w:rsidRPr="00EC02CA">
        <w:t xml:space="preserve">a </w:t>
      </w:r>
      <w:r w:rsidR="00913B77" w:rsidRPr="00EC02CA">
        <w:t xml:space="preserve">sentence of imprisonment or detention </w:t>
      </w:r>
      <w:r w:rsidR="00613766" w:rsidRPr="00EC02CA">
        <w:t>is</w:t>
      </w:r>
      <w:r w:rsidR="00913B77" w:rsidRPr="00EC02CA">
        <w:t xml:space="preserve"> served</w:t>
      </w:r>
      <w:r w:rsidR="00613766" w:rsidRPr="00EC02CA">
        <w:t>,</w:t>
      </w:r>
      <w:r w:rsidR="00913B77" w:rsidRPr="00EC02CA">
        <w:t xml:space="preserve"> depending on whether </w:t>
      </w:r>
      <w:r w:rsidR="00613766" w:rsidRPr="00EC02CA">
        <w:t xml:space="preserve">the offender is aged </w:t>
      </w:r>
      <w:r w:rsidR="00913B77" w:rsidRPr="00EC02CA">
        <w:t xml:space="preserve">under or over 18 at the time of the sentencing. </w:t>
      </w:r>
      <w:r w:rsidRPr="00EC02CA">
        <w:t xml:space="preserve"> </w:t>
      </w:r>
      <w:r w:rsidR="00913B77" w:rsidRPr="00EC02CA">
        <w:t xml:space="preserve">For youth offenders </w:t>
      </w:r>
      <w:r w:rsidRPr="00EC02CA">
        <w:t xml:space="preserve">who are 18 or </w:t>
      </w:r>
      <w:r w:rsidR="00613766" w:rsidRPr="00EC02CA">
        <w:t xml:space="preserve">older </w:t>
      </w:r>
      <w:r w:rsidRPr="00EC02CA">
        <w:t xml:space="preserve">at the time </w:t>
      </w:r>
      <w:r w:rsidR="00613766" w:rsidRPr="00EC02CA">
        <w:t>of</w:t>
      </w:r>
      <w:r w:rsidRPr="00EC02CA">
        <w:t xml:space="preserve"> </w:t>
      </w:r>
      <w:r w:rsidR="00AC5CFC" w:rsidRPr="00EC02CA">
        <w:t>sentenc</w:t>
      </w:r>
      <w:r w:rsidR="00613766" w:rsidRPr="00EC02CA">
        <w:t>ing</w:t>
      </w:r>
      <w:r w:rsidRPr="00EC02CA">
        <w:t>,</w:t>
      </w:r>
      <w:r w:rsidR="00AC5CFC" w:rsidRPr="00EC02CA">
        <w:t xml:space="preserve"> any period of detention </w:t>
      </w:r>
      <w:r w:rsidR="000A37B8" w:rsidRPr="00EC02CA">
        <w:t xml:space="preserve">imposed under the </w:t>
      </w:r>
      <w:r w:rsidR="000A37B8" w:rsidRPr="00EC02CA">
        <w:rPr>
          <w:i/>
          <w:iCs/>
        </w:rPr>
        <w:t xml:space="preserve">Youth Justice Act 1997 </w:t>
      </w:r>
      <w:r w:rsidR="000A37B8" w:rsidRPr="00EC02CA">
        <w:t>(Tas)</w:t>
      </w:r>
      <w:r w:rsidR="00BD548D" w:rsidRPr="00EC02CA">
        <w:t xml:space="preserve"> </w:t>
      </w:r>
      <w:r w:rsidR="00AC5CFC" w:rsidRPr="00EC02CA">
        <w:t>will be served in an adult prison.</w:t>
      </w:r>
      <w:r w:rsidR="00AC5CFC" w:rsidRPr="00EC02CA">
        <w:rPr>
          <w:rStyle w:val="FootnoteReference"/>
        </w:rPr>
        <w:footnoteReference w:id="848"/>
      </w:r>
      <w:r w:rsidR="00BD548D" w:rsidRPr="00EC02CA">
        <w:t xml:space="preserve"> </w:t>
      </w:r>
      <w:r w:rsidR="00613766" w:rsidRPr="00EC02CA">
        <w:t>However, f</w:t>
      </w:r>
      <w:r w:rsidR="00BD548D" w:rsidRPr="00EC02CA">
        <w:t xml:space="preserve">or youth offenders </w:t>
      </w:r>
      <w:r w:rsidR="00E30D42" w:rsidRPr="00EC02CA">
        <w:t xml:space="preserve">under the age of 18 </w:t>
      </w:r>
      <w:r w:rsidR="00613766" w:rsidRPr="00EC02CA">
        <w:t xml:space="preserve">at the time of sentencing </w:t>
      </w:r>
      <w:r w:rsidR="00236657" w:rsidRPr="00EC02CA">
        <w:t xml:space="preserve">who </w:t>
      </w:r>
      <w:r w:rsidR="00E30D42" w:rsidRPr="00EC02CA">
        <w:t xml:space="preserve">are </w:t>
      </w:r>
      <w:r w:rsidR="00BD548D" w:rsidRPr="00EC02CA">
        <w:t>sentenced to imprisonment</w:t>
      </w:r>
      <w:r w:rsidR="00E30D42" w:rsidRPr="00EC02CA">
        <w:t xml:space="preserve"> under the </w:t>
      </w:r>
      <w:r w:rsidR="00E30D42" w:rsidRPr="00EC02CA">
        <w:rPr>
          <w:i/>
          <w:iCs/>
        </w:rPr>
        <w:t xml:space="preserve">Sentencing Act 1997 </w:t>
      </w:r>
      <w:r w:rsidR="00E30D42" w:rsidRPr="00EC02CA">
        <w:t xml:space="preserve">(Tas), </w:t>
      </w:r>
      <w:r w:rsidR="00611667" w:rsidRPr="00EC02CA">
        <w:t xml:space="preserve">there are administrative arrangements </w:t>
      </w:r>
      <w:r w:rsidR="004A56B0" w:rsidRPr="00EC02CA">
        <w:t>that</w:t>
      </w:r>
      <w:r w:rsidR="00611667" w:rsidRPr="00EC02CA">
        <w:t xml:space="preserve"> </w:t>
      </w:r>
      <w:r w:rsidR="00613766" w:rsidRPr="00EC02CA">
        <w:t xml:space="preserve">can </w:t>
      </w:r>
      <w:r w:rsidR="00611667" w:rsidRPr="00EC02CA">
        <w:t xml:space="preserve">permit the </w:t>
      </w:r>
      <w:r w:rsidR="004A56B0" w:rsidRPr="00EC02CA">
        <w:t>sentence</w:t>
      </w:r>
      <w:r w:rsidR="00611667" w:rsidRPr="00EC02CA">
        <w:t xml:space="preserve"> to be serv</w:t>
      </w:r>
      <w:r w:rsidR="004A56B0" w:rsidRPr="00EC02CA">
        <w:t>ed in</w:t>
      </w:r>
      <w:r w:rsidR="00611667" w:rsidRPr="00EC02CA">
        <w:t xml:space="preserve"> a youth </w:t>
      </w:r>
      <w:r w:rsidR="004A56B0" w:rsidRPr="00EC02CA">
        <w:t>detention</w:t>
      </w:r>
      <w:r w:rsidR="00611667" w:rsidRPr="00EC02CA">
        <w:t xml:space="preserve"> </w:t>
      </w:r>
      <w:r w:rsidR="004A56B0" w:rsidRPr="00EC02CA">
        <w:t>facility</w:t>
      </w:r>
      <w:r w:rsidR="00613766" w:rsidRPr="00EC02CA">
        <w:t>,</w:t>
      </w:r>
      <w:r w:rsidR="00611667" w:rsidRPr="00EC02CA">
        <w:t xml:space="preserve"> if the </w:t>
      </w:r>
      <w:r w:rsidR="004A56B0" w:rsidRPr="00EC02CA">
        <w:t>sentence</w:t>
      </w:r>
      <w:r w:rsidR="00611667" w:rsidRPr="00EC02CA">
        <w:t xml:space="preserve"> </w:t>
      </w:r>
      <w:r w:rsidR="00613766" w:rsidRPr="00EC02CA">
        <w:t>will</w:t>
      </w:r>
      <w:r w:rsidR="00611667" w:rsidRPr="00EC02CA">
        <w:t xml:space="preserve"> </w:t>
      </w:r>
      <w:r w:rsidR="000F2F0A" w:rsidRPr="00EC02CA">
        <w:t>conclude</w:t>
      </w:r>
      <w:r w:rsidR="00611667" w:rsidRPr="00EC02CA">
        <w:t xml:space="preserve"> before the </w:t>
      </w:r>
      <w:r w:rsidR="00613766" w:rsidRPr="00EC02CA">
        <w:t xml:space="preserve">offender </w:t>
      </w:r>
      <w:r w:rsidR="00611667" w:rsidRPr="00EC02CA">
        <w:t>reache</w:t>
      </w:r>
      <w:r w:rsidR="00613766" w:rsidRPr="00EC02CA">
        <w:t>s</w:t>
      </w:r>
      <w:r w:rsidR="00611667" w:rsidRPr="00EC02CA">
        <w:t xml:space="preserve"> 18.</w:t>
      </w:r>
      <w:r w:rsidR="00611667" w:rsidRPr="00EC02CA">
        <w:rPr>
          <w:rStyle w:val="FootnoteReference"/>
        </w:rPr>
        <w:footnoteReference w:id="849"/>
      </w:r>
      <w:r w:rsidR="000F2F0A" w:rsidRPr="00EC02CA">
        <w:t xml:space="preserve"> </w:t>
      </w:r>
      <w:r w:rsidR="00913B77" w:rsidRPr="00EC02CA">
        <w:t>Further</w:t>
      </w:r>
      <w:r w:rsidR="00493B42" w:rsidRPr="00EC02CA">
        <w:t>,</w:t>
      </w:r>
      <w:r w:rsidR="00613766" w:rsidRPr="00EC02CA">
        <w:t xml:space="preserve"> if </w:t>
      </w:r>
      <w:r w:rsidR="000F2F0A" w:rsidRPr="00EC02CA">
        <w:t>a</w:t>
      </w:r>
      <w:r w:rsidR="00613766" w:rsidRPr="00EC02CA">
        <w:t xml:space="preserve">n offender aged </w:t>
      </w:r>
      <w:r w:rsidR="00913B77" w:rsidRPr="00EC02CA">
        <w:t xml:space="preserve">under 18 is </w:t>
      </w:r>
      <w:r w:rsidR="0002556B" w:rsidRPr="00EC02CA">
        <w:t>sentenc</w:t>
      </w:r>
      <w:r w:rsidR="00613766" w:rsidRPr="00EC02CA">
        <w:t>ed</w:t>
      </w:r>
      <w:r w:rsidR="00913B77" w:rsidRPr="00EC02CA">
        <w:t xml:space="preserve"> to either </w:t>
      </w:r>
      <w:r w:rsidR="0002556B" w:rsidRPr="00EC02CA">
        <w:t>imprisonment</w:t>
      </w:r>
      <w:r w:rsidR="00913B77" w:rsidRPr="00EC02CA">
        <w:t xml:space="preserve"> or </w:t>
      </w:r>
      <w:r w:rsidR="00964FF5" w:rsidRPr="00EC02CA">
        <w:t xml:space="preserve">detention in a </w:t>
      </w:r>
      <w:r w:rsidR="00613766" w:rsidRPr="00EC02CA">
        <w:t xml:space="preserve">youth </w:t>
      </w:r>
      <w:r w:rsidR="00964FF5" w:rsidRPr="00EC02CA">
        <w:t xml:space="preserve">detention </w:t>
      </w:r>
      <w:r w:rsidR="0002556B" w:rsidRPr="00EC02CA">
        <w:t>centre</w:t>
      </w:r>
      <w:r w:rsidR="00DB7B5E" w:rsidRPr="00EC02CA">
        <w:t>, then the sentence</w:t>
      </w:r>
      <w:r w:rsidR="00964FF5" w:rsidRPr="00EC02CA">
        <w:t xml:space="preserve"> is subject to the provisions of the </w:t>
      </w:r>
      <w:r w:rsidR="00964FF5" w:rsidRPr="00EC02CA">
        <w:rPr>
          <w:i/>
          <w:iCs/>
        </w:rPr>
        <w:t>Youth Justice Act 1997</w:t>
      </w:r>
      <w:r w:rsidR="00613766" w:rsidRPr="00EC02CA">
        <w:t xml:space="preserve"> (Tas)</w:t>
      </w:r>
      <w:r w:rsidR="00721A4C" w:rsidRPr="00EC02CA">
        <w:t xml:space="preserve">. In </w:t>
      </w:r>
      <w:r w:rsidR="0002556B" w:rsidRPr="00EC02CA">
        <w:t>contrast</w:t>
      </w:r>
      <w:r w:rsidR="00721A4C" w:rsidRPr="00EC02CA">
        <w:t xml:space="preserve">, if a youth offender </w:t>
      </w:r>
      <w:r w:rsidR="00613766" w:rsidRPr="00EC02CA">
        <w:t xml:space="preserve">aged </w:t>
      </w:r>
      <w:r w:rsidR="00C213DD" w:rsidRPr="00EC02CA">
        <w:t xml:space="preserve">18 or older </w:t>
      </w:r>
      <w:r w:rsidR="00613766" w:rsidRPr="00EC02CA">
        <w:t xml:space="preserve">at the time of sentencing </w:t>
      </w:r>
      <w:r w:rsidR="00721A4C" w:rsidRPr="00EC02CA">
        <w:t xml:space="preserve">is </w:t>
      </w:r>
      <w:r w:rsidR="00C213DD" w:rsidRPr="00EC02CA">
        <w:t xml:space="preserve">to </w:t>
      </w:r>
      <w:r w:rsidR="0002556B" w:rsidRPr="00EC02CA">
        <w:t>serv</w:t>
      </w:r>
      <w:r w:rsidR="00C213DD" w:rsidRPr="00EC02CA">
        <w:t>e</w:t>
      </w:r>
      <w:r w:rsidR="00721A4C" w:rsidRPr="00EC02CA">
        <w:t xml:space="preserve"> their sentence in an</w:t>
      </w:r>
      <w:r w:rsidR="0002556B" w:rsidRPr="00EC02CA">
        <w:t xml:space="preserve"> adult prison</w:t>
      </w:r>
      <w:r w:rsidR="00721A4C" w:rsidRPr="00EC02CA">
        <w:t xml:space="preserve">, the </w:t>
      </w:r>
      <w:r w:rsidR="0002556B" w:rsidRPr="00EC02CA">
        <w:t>applicable</w:t>
      </w:r>
      <w:r w:rsidR="00721A4C" w:rsidRPr="00EC02CA">
        <w:t xml:space="preserve"> </w:t>
      </w:r>
      <w:r w:rsidR="0002556B" w:rsidRPr="00EC02CA">
        <w:t>regime</w:t>
      </w:r>
      <w:r w:rsidR="00721A4C" w:rsidRPr="00EC02CA">
        <w:t xml:space="preserve"> </w:t>
      </w:r>
      <w:r w:rsidR="00A73A37" w:rsidRPr="00EC02CA">
        <w:t xml:space="preserve">is that imposed under the </w:t>
      </w:r>
      <w:r w:rsidR="00A73A37" w:rsidRPr="00EC02CA">
        <w:rPr>
          <w:i/>
          <w:iCs/>
        </w:rPr>
        <w:t xml:space="preserve">Corrections Act 1997 </w:t>
      </w:r>
      <w:r w:rsidR="00A73A37" w:rsidRPr="00EC02CA">
        <w:t>(Tas).</w:t>
      </w:r>
      <w:r w:rsidR="00A73A37" w:rsidRPr="00EC02CA">
        <w:rPr>
          <w:rStyle w:val="FootnoteReference"/>
        </w:rPr>
        <w:footnoteReference w:id="850"/>
      </w:r>
      <w:r w:rsidR="00613766" w:rsidRPr="00EC02CA">
        <w:t xml:space="preserve"> </w:t>
      </w:r>
      <w:r w:rsidR="0002556B" w:rsidRPr="00EC02CA">
        <w:t>This creat</w:t>
      </w:r>
      <w:r w:rsidR="00613766" w:rsidRPr="00EC02CA">
        <w:t>es</w:t>
      </w:r>
      <w:r w:rsidR="0002556B" w:rsidRPr="00EC02CA">
        <w:t xml:space="preserve"> difficulties </w:t>
      </w:r>
      <w:r w:rsidR="00493B42" w:rsidRPr="00EC02CA">
        <w:t xml:space="preserve">for the courts </w:t>
      </w:r>
      <w:r w:rsidR="0002556B" w:rsidRPr="00EC02CA">
        <w:t xml:space="preserve">in imposing sentence when there has been a </w:t>
      </w:r>
      <w:r w:rsidR="00A30E1D" w:rsidRPr="00EC02CA">
        <w:t>long period of delay between the offending and the sentencing.</w:t>
      </w:r>
    </w:p>
    <w:p w14:paraId="0A1CE295" w14:textId="27EBE8CB" w:rsidR="00A30E1D" w:rsidRPr="00EC02CA" w:rsidRDefault="00A30E1D" w:rsidP="002F0007">
      <w:pPr>
        <w:pStyle w:val="NormalNumberedTextTLRI"/>
      </w:pPr>
      <w:r w:rsidRPr="00EC02CA">
        <w:t xml:space="preserve">In exercising the sentencing discretion for young offenders, the court </w:t>
      </w:r>
      <w:r w:rsidR="00C213DD" w:rsidRPr="00EC02CA">
        <w:t xml:space="preserve">will have </w:t>
      </w:r>
      <w:r w:rsidRPr="00EC02CA">
        <w:t>regard to the impact of delay on both the complainant and the accused with both ‘exposed to the stress of a pending trial for a lengthy period’.</w:t>
      </w:r>
      <w:r w:rsidRPr="00EC02CA">
        <w:rPr>
          <w:rStyle w:val="FootnoteReference"/>
        </w:rPr>
        <w:footnoteReference w:id="851"/>
      </w:r>
      <w:r w:rsidR="00613766" w:rsidRPr="00EC02CA">
        <w:t xml:space="preserve"> </w:t>
      </w:r>
      <w:r w:rsidRPr="00EC02CA">
        <w:t xml:space="preserve">Further, the delay </w:t>
      </w:r>
      <w:r w:rsidR="00613766" w:rsidRPr="00EC02CA">
        <w:t>i</w:t>
      </w:r>
      <w:r w:rsidRPr="00EC02CA">
        <w:t>s also relevant to the sentencing options available to the court:</w:t>
      </w:r>
    </w:p>
    <w:p w14:paraId="685B1AB8" w14:textId="548F6D17" w:rsidR="00A30E1D" w:rsidRPr="00EC02CA" w:rsidRDefault="00A30E1D" w:rsidP="00A30E1D">
      <w:pPr>
        <w:pStyle w:val="Indentedquote"/>
      </w:pPr>
      <w:r w:rsidRPr="00EC02CA">
        <w:t xml:space="preserve">The critical impact of the delay in this case is that by the time the trial judge came to sentence the respondent, he was 18 years of age. He was 15 years old when he committed the crimes. The delay in sentence had significant implications with respect to the options realistically available to the sentencing judge. The crime of rape is a prescribed offence under the </w:t>
      </w:r>
      <w:r w:rsidRPr="00EC02CA">
        <w:rPr>
          <w:i/>
          <w:iCs/>
        </w:rPr>
        <w:t>Youth Justice Act 1997</w:t>
      </w:r>
      <w:r w:rsidRPr="00EC02CA">
        <w:t xml:space="preserve"> if committed by a youth who is 14 years or older. Hence, such a crime cannot be dealt with summarily by the Magistrates Court (Youth Justice Division) under the </w:t>
      </w:r>
      <w:r w:rsidRPr="00EC02CA">
        <w:rPr>
          <w:i/>
          <w:iCs/>
        </w:rPr>
        <w:t>Youth Justice Act</w:t>
      </w:r>
      <w:r w:rsidRPr="00EC02CA">
        <w:t xml:space="preserve">, and must be prosecuted on indictment in the Supreme Court. The sentences available are those prescribed by the </w:t>
      </w:r>
      <w:r w:rsidRPr="00EC02CA">
        <w:rPr>
          <w:i/>
          <w:iCs/>
        </w:rPr>
        <w:t>Sentencing Act 199</w:t>
      </w:r>
      <w:r w:rsidRPr="00EC02CA">
        <w:t xml:space="preserve">7, which include, of course, both imprisonment and home detention. However, in such a case, s 107 of the </w:t>
      </w:r>
      <w:r w:rsidRPr="00EC02CA">
        <w:rPr>
          <w:i/>
          <w:iCs/>
        </w:rPr>
        <w:t>Youth Justice Act</w:t>
      </w:r>
      <w:r w:rsidRPr="00EC02CA">
        <w:t xml:space="preserve"> empowers the Supreme Court to exercise sentencing alternatives available under that Act in addition to or instead of sentences available under the </w:t>
      </w:r>
      <w:r w:rsidRPr="00EC02CA">
        <w:rPr>
          <w:i/>
          <w:iCs/>
        </w:rPr>
        <w:t>Sentencing Act</w:t>
      </w:r>
      <w:r w:rsidRPr="00EC02CA">
        <w:t xml:space="preserve">. Such sentences include a period of actual detention in a detention centre for a period of up to 2 years: ss 47 and 81 of the </w:t>
      </w:r>
      <w:r w:rsidRPr="00EC02CA">
        <w:rPr>
          <w:i/>
          <w:iCs/>
        </w:rPr>
        <w:t>Youth Justice Act</w:t>
      </w:r>
      <w:r w:rsidRPr="00EC02CA">
        <w:t>. Although a detention order involves the actual deprivation of liberty of the offender, there are features built into the legislation which are clearly intended to facilitate and emphasise rehabilitation and reduce some of the more harmful aspects of adult imprisonment. For example, a youth serving a sentence under a detention order must be released on a supervised release order after serving one half of the period of detention, s 3 and 109 of the Act. Further, there are provisions under the Act concerning the treatment of a detainee which are commensurate with the overall approach adopted by the legislation in respect of youthful offenders. See for example Part 6, Div 3 of the Act</w:t>
      </w:r>
      <w:r w:rsidR="0026074B" w:rsidRPr="00EC02CA">
        <w:t>.</w:t>
      </w:r>
      <w:r w:rsidR="009263C8" w:rsidRPr="00EC02CA">
        <w:rPr>
          <w:rStyle w:val="FootnoteReference"/>
        </w:rPr>
        <w:footnoteReference w:id="852"/>
      </w:r>
    </w:p>
    <w:p w14:paraId="61FC06D6" w14:textId="5E78D36D" w:rsidR="00611FE6" w:rsidRPr="00EC02CA" w:rsidRDefault="00611FE6" w:rsidP="00A920EC">
      <w:pPr>
        <w:pStyle w:val="NormalNumberedTextTLRI"/>
      </w:pPr>
      <w:r w:rsidRPr="00EC02CA">
        <w:t xml:space="preserve">In contrast, as the young person was </w:t>
      </w:r>
      <w:r w:rsidR="00263A2B" w:rsidRPr="00EC02CA">
        <w:t xml:space="preserve">an adult and would be required to serve the sentence in an adult prison under the </w:t>
      </w:r>
      <w:r w:rsidR="00263A2B" w:rsidRPr="00EC02CA">
        <w:rPr>
          <w:i/>
          <w:iCs/>
        </w:rPr>
        <w:t xml:space="preserve">Corrections Act, </w:t>
      </w:r>
      <w:r w:rsidR="00263A2B" w:rsidRPr="00EC02CA">
        <w:t>these provisions did not apply.</w:t>
      </w:r>
      <w:r w:rsidR="00263A2B" w:rsidRPr="00EC02CA">
        <w:rPr>
          <w:i/>
          <w:iCs/>
        </w:rPr>
        <w:t xml:space="preserve"> </w:t>
      </w:r>
      <w:r w:rsidR="009263C8" w:rsidRPr="00EC02CA">
        <w:t>Accordingly</w:t>
      </w:r>
      <w:r w:rsidR="00F70A60" w:rsidRPr="00EC02CA">
        <w:t xml:space="preserve">, </w:t>
      </w:r>
      <w:r w:rsidR="009263C8" w:rsidRPr="00EC02CA">
        <w:t>even though</w:t>
      </w:r>
      <w:r w:rsidR="00A03094" w:rsidRPr="00EC02CA">
        <w:t>:</w:t>
      </w:r>
    </w:p>
    <w:p w14:paraId="55D26944" w14:textId="204E7B4E" w:rsidR="00A03094" w:rsidRPr="00EC02CA" w:rsidRDefault="00A03094" w:rsidP="00A03094">
      <w:pPr>
        <w:pStyle w:val="Indentedquote"/>
      </w:pPr>
      <w:r w:rsidRPr="00EC02CA">
        <w:t xml:space="preserve">[t]he imposition of a significant period of detention could be viewed as a particularly appropriate sentence in the circumstances of this case. It would have enabled the sentencing judge to impose age appropriate incarceration, which is designed under the </w:t>
      </w:r>
      <w:r w:rsidRPr="00EC02CA">
        <w:rPr>
          <w:i/>
          <w:iCs/>
        </w:rPr>
        <w:t>Youth Justice Act</w:t>
      </w:r>
      <w:r w:rsidRPr="00EC02CA">
        <w:t xml:space="preserve"> to strike an acceptable balance between punishment, deterrence and rehabilitation. However, because the passage of time between the commission of the crime and sentence effectively removed this option,</w:t>
      </w:r>
      <w:r w:rsidR="007C1582" w:rsidRPr="00EC02CA">
        <w:t xml:space="preserve"> </w:t>
      </w:r>
      <w:r w:rsidRPr="00EC02CA">
        <w:t>the sentencing judge's alternatives in respect of incarceration were limited to a period of detention or imprisonment which would be served in an adult prison, or home detention.</w:t>
      </w:r>
      <w:r w:rsidRPr="00EC02CA">
        <w:rPr>
          <w:rStyle w:val="FootnoteReference"/>
        </w:rPr>
        <w:footnoteReference w:id="853"/>
      </w:r>
    </w:p>
    <w:p w14:paraId="747F7E20" w14:textId="7B15026C" w:rsidR="00ED1BBE" w:rsidRPr="00EC02CA" w:rsidRDefault="00384D18" w:rsidP="002F0007">
      <w:pPr>
        <w:pStyle w:val="NormalNumberedTextTLRI"/>
      </w:pPr>
      <w:r w:rsidRPr="00EC02CA">
        <w:t>It is also noted that</w:t>
      </w:r>
      <w:r w:rsidR="00ED1BBE" w:rsidRPr="00EC02CA">
        <w:t xml:space="preserve"> Wood J</w:t>
      </w:r>
      <w:r w:rsidRPr="00EC02CA">
        <w:t xml:space="preserve"> stated</w:t>
      </w:r>
      <w:r w:rsidR="00ED1BBE" w:rsidRPr="00EC02CA">
        <w:t xml:space="preserve"> (Cuthbertson J agreeing) that</w:t>
      </w:r>
      <w:r w:rsidRPr="00EC02CA">
        <w:t>:</w:t>
      </w:r>
    </w:p>
    <w:p w14:paraId="6B3D5B5E" w14:textId="5D36243E" w:rsidR="00384D18" w:rsidRPr="00EC02CA" w:rsidRDefault="002C0E00" w:rsidP="002C0E00">
      <w:pPr>
        <w:pStyle w:val="Indentedquote"/>
      </w:pPr>
      <w:r w:rsidRPr="00EC02CA">
        <w:t>The reasons of Brett J identify the considerations in determining the absence of error: the breadth of the sentencing discretion; the need for flexibility in sentencing youth offenders, particularly those as young as 15 years; and the practical reality of this case being that at the time of sentencing, age-appropriate incarceration was not available. I wish only to add that it follows from these same considerations that young offenders are not immune from adult incarceration just because at the time of sentencing, as a result of delay, they have reached an age whereby they are no longer eligible for incarceration in a youth detention centre.</w:t>
      </w:r>
      <w:r w:rsidRPr="00EC02CA">
        <w:rPr>
          <w:rStyle w:val="FootnoteReference"/>
        </w:rPr>
        <w:footnoteReference w:id="854"/>
      </w:r>
    </w:p>
    <w:p w14:paraId="08DB0844" w14:textId="7AA2EAC3" w:rsidR="00894EEC" w:rsidRPr="00EC02CA" w:rsidRDefault="007C76D2" w:rsidP="002F0007">
      <w:pPr>
        <w:pStyle w:val="NormalNumberedTextTLRI"/>
      </w:pPr>
      <w:r w:rsidRPr="00EC02CA">
        <w:t>More broadly, t</w:t>
      </w:r>
      <w:r w:rsidR="00894EEC" w:rsidRPr="00EC02CA">
        <w:t xml:space="preserve">he difficulty of the sentencing task when a young person commits a serious sexual crime against another young person </w:t>
      </w:r>
      <w:r w:rsidRPr="00EC02CA">
        <w:t xml:space="preserve">was </w:t>
      </w:r>
      <w:r w:rsidR="00894EEC" w:rsidRPr="00EC02CA">
        <w:t xml:space="preserve">recognised by the Court of Criminal Appeal in </w:t>
      </w:r>
      <w:r w:rsidR="00053A3B" w:rsidRPr="00EC02CA">
        <w:rPr>
          <w:i/>
          <w:iCs/>
        </w:rPr>
        <w:t>Director of Public Prosecutions</w:t>
      </w:r>
      <w:r w:rsidR="00053A3B" w:rsidRPr="00EC02CA">
        <w:t xml:space="preserve"> </w:t>
      </w:r>
      <w:r w:rsidR="005E48B5" w:rsidRPr="00EC02CA">
        <w:rPr>
          <w:i/>
          <w:iCs/>
        </w:rPr>
        <w:t>v J</w:t>
      </w:r>
      <w:r w:rsidR="00D54B12" w:rsidRPr="00EC02CA">
        <w:rPr>
          <w:i/>
          <w:iCs/>
        </w:rPr>
        <w:t>A</w:t>
      </w:r>
      <w:r w:rsidR="005E48B5" w:rsidRPr="00EC02CA">
        <w:rPr>
          <w:i/>
          <w:iCs/>
        </w:rPr>
        <w:t>P</w:t>
      </w:r>
      <w:r w:rsidR="008D68F4" w:rsidRPr="00EC02CA">
        <w:t>,</w:t>
      </w:r>
      <w:r w:rsidR="005E48B5" w:rsidRPr="00EC02CA">
        <w:rPr>
          <w:rStyle w:val="FootnoteReference"/>
        </w:rPr>
        <w:footnoteReference w:id="855"/>
      </w:r>
      <w:r w:rsidR="008D68F4" w:rsidRPr="00EC02CA">
        <w:t xml:space="preserve"> which identified:</w:t>
      </w:r>
      <w:r w:rsidR="00894EEC" w:rsidRPr="00EC02CA">
        <w:t xml:space="preserve"> </w:t>
      </w:r>
    </w:p>
    <w:p w14:paraId="55D8CF1A" w14:textId="01AB4554" w:rsidR="00894EEC" w:rsidRPr="00EC02CA" w:rsidRDefault="00894EEC" w:rsidP="00894EEC">
      <w:pPr>
        <w:pStyle w:val="Indentedquote"/>
      </w:pPr>
      <w:r w:rsidRPr="00EC02CA">
        <w:t xml:space="preserve">the need to grapple with the countervailing sentencing considerations which invariably arise when serious sexual crimes are committed by a young person against another young person. On the one hand, the objective seriousness of the crimes and its impact on the victim required an emphasis on general deterrence, denunciation, punishment and vindication of the victim. </w:t>
      </w:r>
    </w:p>
    <w:p w14:paraId="798DED56" w14:textId="6AE2AA3F" w:rsidR="00894EEC" w:rsidRPr="00EC02CA" w:rsidRDefault="00894EEC" w:rsidP="00894EEC">
      <w:pPr>
        <w:pStyle w:val="Indentedquote"/>
      </w:pPr>
      <w:r w:rsidRPr="00EC02CA">
        <w:t>On the other hand, the youth of the offender required consideration of the possibility of reduction in moral culpability arising from the offender's immaturity, and of course the need to place emphasis on rehabilitation. Inherent in the latter was the need to consider, in a case where incarceration was a likely sentencing alternative, the corrupting influence of prison, and the potential for such a sentence to have an adverse impact on a young person's development.</w:t>
      </w:r>
    </w:p>
    <w:p w14:paraId="54D6F4BA" w14:textId="57E2D9FE" w:rsidR="00894EEC" w:rsidRPr="00EC02CA" w:rsidRDefault="00894EEC" w:rsidP="00894EEC">
      <w:pPr>
        <w:pStyle w:val="Indentedquote"/>
      </w:pPr>
      <w:r w:rsidRPr="00EC02CA">
        <w:t xml:space="preserve">The need to balance these factors when formulating a sentence in respect of serious sexual offending by a young person has been considered and discussed by this Court in a number of recent cases </w:t>
      </w:r>
      <w:r w:rsidRPr="00EC02CA">
        <w:rPr>
          <w:i/>
          <w:iCs/>
        </w:rPr>
        <w:t>TAP v Tasmania</w:t>
      </w:r>
      <w:r w:rsidRPr="00EC02CA">
        <w:t xml:space="preserve"> [2014] TASCCA 5 at [23]</w:t>
      </w:r>
      <w:r w:rsidR="0046121C" w:rsidRPr="00EC02CA">
        <w:t>–</w:t>
      </w:r>
      <w:r w:rsidRPr="00EC02CA">
        <w:t xml:space="preserve">[29], </w:t>
      </w:r>
      <w:r w:rsidRPr="00EC02CA">
        <w:rPr>
          <w:i/>
          <w:iCs/>
        </w:rPr>
        <w:t>Director of Public Prosecutions v JSP</w:t>
      </w:r>
      <w:r w:rsidRPr="00EC02CA">
        <w:t xml:space="preserve"> [2020] TASCCA 3, </w:t>
      </w:r>
      <w:r w:rsidRPr="00EC02CA">
        <w:rPr>
          <w:i/>
          <w:iCs/>
        </w:rPr>
        <w:t>Director of Public Prosecutions v Oh Marris</w:t>
      </w:r>
      <w:r w:rsidRPr="00EC02CA">
        <w:t xml:space="preserve"> [2023] TASCCA 1, see in particular discussion by Pearce J, with whom Marshall AJ and I agreed, at [35]</w:t>
      </w:r>
      <w:r w:rsidR="0046121C" w:rsidRPr="00EC02CA">
        <w:t>–</w:t>
      </w:r>
      <w:r w:rsidRPr="00EC02CA">
        <w:t>[39]</w:t>
      </w:r>
      <w:r w:rsidR="004A56B0" w:rsidRPr="00EC02CA">
        <w:t>.</w:t>
      </w:r>
      <w:r w:rsidR="004A56B0" w:rsidRPr="00EC02CA">
        <w:rPr>
          <w:rStyle w:val="FootnoteReference"/>
        </w:rPr>
        <w:footnoteReference w:id="856"/>
      </w:r>
    </w:p>
    <w:p w14:paraId="2AB1F465" w14:textId="11BF66D6" w:rsidR="003979A9" w:rsidRPr="00EC02CA" w:rsidRDefault="00D47733" w:rsidP="002F0007">
      <w:pPr>
        <w:pStyle w:val="NormalNumberedTextTLRI"/>
      </w:pPr>
      <w:r w:rsidRPr="00EC02CA">
        <w:t xml:space="preserve">In sentencing for </w:t>
      </w:r>
      <w:r w:rsidR="003979A9" w:rsidRPr="00EC02CA">
        <w:t xml:space="preserve">serious </w:t>
      </w:r>
      <w:r w:rsidRPr="00EC02CA">
        <w:t xml:space="preserve">sexual offences, </w:t>
      </w:r>
      <w:r w:rsidR="003979A9" w:rsidRPr="00EC02CA">
        <w:t xml:space="preserve">the Supreme Court </w:t>
      </w:r>
      <w:r w:rsidR="000147F7" w:rsidRPr="00EC02CA">
        <w:t>has</w:t>
      </w:r>
      <w:r w:rsidR="00561E6C" w:rsidRPr="00EC02CA">
        <w:t xml:space="preserve"> discussed the need to reflect the seriousness of the crime and the interests of </w:t>
      </w:r>
      <w:r w:rsidR="00886B70" w:rsidRPr="00EC02CA">
        <w:t>victim-survivor</w:t>
      </w:r>
      <w:r w:rsidR="002F1B2E" w:rsidRPr="00EC02CA">
        <w:t xml:space="preserve"> and </w:t>
      </w:r>
      <w:r w:rsidR="000147F7" w:rsidRPr="00EC02CA">
        <w:t>the community</w:t>
      </w:r>
      <w:r w:rsidR="00D741AF" w:rsidRPr="00EC02CA">
        <w:t xml:space="preserve"> in the </w:t>
      </w:r>
      <w:r w:rsidR="00521102" w:rsidRPr="00EC02CA">
        <w:t>sentence</w:t>
      </w:r>
      <w:r w:rsidR="00D741AF" w:rsidRPr="00EC02CA">
        <w:t xml:space="preserve"> </w:t>
      </w:r>
      <w:r w:rsidR="00521102" w:rsidRPr="00EC02CA">
        <w:t>imposed</w:t>
      </w:r>
      <w:r w:rsidR="000147F7" w:rsidRPr="00EC02CA">
        <w:t>, as well as the rehabilitative needs of the offender</w:t>
      </w:r>
      <w:r w:rsidR="00AF7802" w:rsidRPr="00EC02CA">
        <w:t xml:space="preserve">. </w:t>
      </w:r>
      <w:r w:rsidR="00521102" w:rsidRPr="00EC02CA">
        <w:t xml:space="preserve">Reflecting the recognition of the harmful nature of </w:t>
      </w:r>
      <w:r w:rsidR="00DA1444" w:rsidRPr="00EC02CA">
        <w:t xml:space="preserve">sexual offending on a </w:t>
      </w:r>
      <w:r w:rsidR="00886B70" w:rsidRPr="00EC02CA">
        <w:t>victim-survivor</w:t>
      </w:r>
      <w:r w:rsidR="002F1B2E" w:rsidRPr="00EC02CA">
        <w:t xml:space="preserve"> </w:t>
      </w:r>
      <w:r w:rsidR="00DA1444" w:rsidRPr="00EC02CA">
        <w:t>(</w:t>
      </w:r>
      <w:r w:rsidR="000A55C4" w:rsidRPr="00EC02CA">
        <w:t>regardless</w:t>
      </w:r>
      <w:r w:rsidR="00DA1444" w:rsidRPr="00EC02CA">
        <w:t xml:space="preserve"> of the age of the </w:t>
      </w:r>
      <w:r w:rsidR="00AC7E04" w:rsidRPr="00EC02CA">
        <w:t>offender</w:t>
      </w:r>
      <w:r w:rsidR="00DA1444" w:rsidRPr="00EC02CA">
        <w:t>)</w:t>
      </w:r>
      <w:r w:rsidR="00DF57F7" w:rsidRPr="00EC02CA">
        <w:t xml:space="preserve">, </w:t>
      </w:r>
      <w:r w:rsidR="00CF5708" w:rsidRPr="00EC02CA">
        <w:t>the ‘</w:t>
      </w:r>
      <w:r w:rsidR="00D953FD" w:rsidRPr="00EC02CA">
        <w:t>primacy</w:t>
      </w:r>
      <w:r w:rsidR="0046121C" w:rsidRPr="00EC02CA">
        <w:t xml:space="preserve"> </w:t>
      </w:r>
      <w:r w:rsidR="00CF5708" w:rsidRPr="00EC02CA">
        <w:t xml:space="preserve">of rehabilitation becomes less certain </w:t>
      </w:r>
      <w:r w:rsidR="00A150E2" w:rsidRPr="00EC02CA">
        <w:t>in</w:t>
      </w:r>
      <w:r w:rsidR="00CF5708" w:rsidRPr="00EC02CA">
        <w:t xml:space="preserve"> </w:t>
      </w:r>
      <w:r w:rsidR="008253A0" w:rsidRPr="00EC02CA">
        <w:t>the</w:t>
      </w:r>
      <w:r w:rsidR="00CF5708" w:rsidRPr="00EC02CA">
        <w:t xml:space="preserve"> case of serious </w:t>
      </w:r>
      <w:r w:rsidR="00A150E2" w:rsidRPr="00EC02CA">
        <w:t>a</w:t>
      </w:r>
      <w:r w:rsidR="00CF5708" w:rsidRPr="00EC02CA">
        <w:t>nd persistent offending’.</w:t>
      </w:r>
      <w:r w:rsidR="00CF5708" w:rsidRPr="00EC02CA">
        <w:rPr>
          <w:rStyle w:val="FootnoteReference"/>
        </w:rPr>
        <w:footnoteReference w:id="857"/>
      </w:r>
      <w:r w:rsidR="00DA1444" w:rsidRPr="00EC02CA">
        <w:t xml:space="preserve"> </w:t>
      </w:r>
      <w:r w:rsidR="007749FB" w:rsidRPr="00EC02CA">
        <w:t>The</w:t>
      </w:r>
      <w:r w:rsidR="000860DE" w:rsidRPr="00EC02CA">
        <w:t xml:space="preserve"> increasing seriousness of the offending </w:t>
      </w:r>
      <w:r w:rsidR="00122B1E" w:rsidRPr="00EC02CA">
        <w:t>reduces</w:t>
      </w:r>
      <w:r w:rsidR="000860DE" w:rsidRPr="00EC02CA">
        <w:t xml:space="preserve"> the mitigating effects of an offender’s youth.</w:t>
      </w:r>
      <w:r w:rsidR="009A1F13" w:rsidRPr="00EC02CA">
        <w:rPr>
          <w:rStyle w:val="FootnoteReference"/>
        </w:rPr>
        <w:footnoteReference w:id="858"/>
      </w:r>
      <w:r w:rsidR="000860DE" w:rsidRPr="00EC02CA">
        <w:t xml:space="preserve"> </w:t>
      </w:r>
      <w:r w:rsidR="000952B6" w:rsidRPr="00EC02CA">
        <w:t xml:space="preserve">However, </w:t>
      </w:r>
      <w:r w:rsidR="005A02DC" w:rsidRPr="00EC02CA">
        <w:t>the sentence imposed is not the same as one that would be imposed on an adult</w:t>
      </w:r>
      <w:r w:rsidR="00A90FAB" w:rsidRPr="00EC02CA">
        <w:t>.</w:t>
      </w:r>
      <w:r w:rsidR="004379D2" w:rsidRPr="00EC02CA">
        <w:t xml:space="preserve"> </w:t>
      </w:r>
      <w:r w:rsidR="00D741AF" w:rsidRPr="00EC02CA">
        <w:t xml:space="preserve">In </w:t>
      </w:r>
      <w:r w:rsidR="00D741AF" w:rsidRPr="00EC02CA">
        <w:rPr>
          <w:i/>
          <w:iCs/>
        </w:rPr>
        <w:t xml:space="preserve">Tasmania v </w:t>
      </w:r>
      <w:r w:rsidR="0017409A" w:rsidRPr="00EC02CA">
        <w:rPr>
          <w:i/>
          <w:iCs/>
        </w:rPr>
        <w:t>T</w:t>
      </w:r>
      <w:r w:rsidR="0017409A" w:rsidRPr="00EC02CA">
        <w:t>,</w:t>
      </w:r>
      <w:r w:rsidR="00946A91" w:rsidRPr="00EC02CA">
        <w:rPr>
          <w:rStyle w:val="FootnoteReference"/>
        </w:rPr>
        <w:footnoteReference w:id="859"/>
      </w:r>
      <w:r w:rsidR="0017409A" w:rsidRPr="00EC02CA">
        <w:t xml:space="preserve"> Brett J observed t</w:t>
      </w:r>
      <w:r w:rsidR="00946A91" w:rsidRPr="00EC02CA">
        <w:t>hat:</w:t>
      </w:r>
    </w:p>
    <w:p w14:paraId="3CF5E850" w14:textId="49A5A701" w:rsidR="001E11AF" w:rsidRPr="00EC02CA" w:rsidRDefault="00763A6A" w:rsidP="00763A6A">
      <w:pPr>
        <w:pStyle w:val="Indentedquote"/>
      </w:pPr>
      <w:r w:rsidRPr="00EC02CA">
        <w:t xml:space="preserve">I </w:t>
      </w:r>
      <w:r w:rsidR="00A85A94" w:rsidRPr="00EC02CA">
        <w:t xml:space="preserve"> have found the question of an appropriate sentence in this case to be a difficult one. If this crime had been perpetrated on a child of that age by an adult, then that person could expect to spend many years in prison. In your case, I reiterate that you were a child when you committed this crime. When the criminal conduct commenced you were very young and, although it is accepted as part of your plea that you had appropriate criminal capacity, your culpability for the conduct in those years is significantly mitigated by your age. However, the conduct continued for a number of years and, in the later part, I am satisfied that you were old enough to know better and to appreciate the impact of your conduct on your victim. You were certainly old enough to stop committing these acts. </w:t>
      </w:r>
      <w:r w:rsidR="002A7FB8" w:rsidRPr="00EC02CA">
        <w:t>…</w:t>
      </w:r>
      <w:r w:rsidR="00A85A94" w:rsidRPr="00EC02CA">
        <w:t xml:space="preserve"> It is clear from the factual basis of sentencing that </w:t>
      </w:r>
      <w:r w:rsidR="002A7FB8" w:rsidRPr="00EC02CA">
        <w:t>[</w:t>
      </w:r>
      <w:r w:rsidR="00D56041" w:rsidRPr="00EC02CA">
        <w:t>the complainant]</w:t>
      </w:r>
      <w:r w:rsidR="00A85A94" w:rsidRPr="00EC02CA">
        <w:t xml:space="preserve"> did not consent to these acts and, accordingly, they constitute very serious crimes indeed.</w:t>
      </w:r>
      <w:r w:rsidR="00A85A94" w:rsidRPr="00EC02CA">
        <w:br/>
      </w:r>
      <w:r w:rsidR="00A85A94" w:rsidRPr="00EC02CA">
        <w:br/>
        <w:t xml:space="preserve">The Court of Criminal Appeal has made it clear that in sentencing a person who has committed serious sexual crimes as a youth, although the aspects of general deterrence and denunciation may be </w:t>
      </w:r>
      <w:r w:rsidR="002E13B3" w:rsidRPr="00EC02CA">
        <w:t>‘</w:t>
      </w:r>
      <w:r w:rsidR="00A85A94" w:rsidRPr="00EC02CA">
        <w:t>more muted</w:t>
      </w:r>
      <w:r w:rsidR="002E13B3" w:rsidRPr="00EC02CA">
        <w:t>’</w:t>
      </w:r>
      <w:r w:rsidR="00A85A94" w:rsidRPr="00EC02CA">
        <w:t xml:space="preserve"> than in the case of such crimes committed by an adult, they are still relevant factors in the sentencing process. (I refer to </w:t>
      </w:r>
      <w:r w:rsidR="00A85A94" w:rsidRPr="00EC02CA">
        <w:rPr>
          <w:i/>
          <w:iCs/>
        </w:rPr>
        <w:t>DPP v NOP</w:t>
      </w:r>
      <w:r w:rsidR="00A85A94" w:rsidRPr="00EC02CA">
        <w:t xml:space="preserve"> [2011] TASCCA 15). Further, a very significant factor in sentencing is the vindication of the victim, and this remains the case, irrespective of the age of the offender. This is a matter which figures with some significance in this case, given the long period that your victim lived with the impact and memory of your crime, and the considered and courageous decision made by him as an adult to bring this matter to the attention of the authorities.</w:t>
      </w:r>
    </w:p>
    <w:p w14:paraId="53251AE7" w14:textId="121542F2" w:rsidR="00D50DD3" w:rsidRPr="00EC02CA" w:rsidRDefault="00D50DD3" w:rsidP="002F0007">
      <w:pPr>
        <w:pStyle w:val="NormalNumberedTextTLRI"/>
      </w:pPr>
      <w:r w:rsidRPr="00EC02CA">
        <w:t xml:space="preserve">The Court of Criminal Appeal </w:t>
      </w:r>
      <w:r w:rsidR="00CD2510" w:rsidRPr="00EC02CA">
        <w:t xml:space="preserve">in </w:t>
      </w:r>
      <w:r w:rsidR="00053A3B" w:rsidRPr="00EC02CA">
        <w:rPr>
          <w:i/>
          <w:iCs/>
        </w:rPr>
        <w:t xml:space="preserve">Director of Public Prosecutions </w:t>
      </w:r>
      <w:r w:rsidR="00CD2510" w:rsidRPr="00EC02CA">
        <w:rPr>
          <w:i/>
          <w:iCs/>
        </w:rPr>
        <w:t xml:space="preserve">v </w:t>
      </w:r>
      <w:r w:rsidR="00894EEC" w:rsidRPr="00EC02CA">
        <w:rPr>
          <w:i/>
          <w:iCs/>
        </w:rPr>
        <w:t>JSP</w:t>
      </w:r>
      <w:r w:rsidR="00CD2510" w:rsidRPr="00EC02CA">
        <w:rPr>
          <w:rStyle w:val="FootnoteReference"/>
        </w:rPr>
        <w:footnoteReference w:id="860"/>
      </w:r>
      <w:r w:rsidRPr="00EC02CA">
        <w:t xml:space="preserve"> </w:t>
      </w:r>
      <w:r w:rsidR="0046121C" w:rsidRPr="00EC02CA">
        <w:t xml:space="preserve">also </w:t>
      </w:r>
      <w:r w:rsidRPr="00EC02CA">
        <w:t xml:space="preserve">stressed the need for the sentence to </w:t>
      </w:r>
      <w:r w:rsidR="00306528" w:rsidRPr="00EC02CA">
        <w:t>act as a deterren</w:t>
      </w:r>
      <w:r w:rsidR="0046121C" w:rsidRPr="00EC02CA">
        <w:t>t</w:t>
      </w:r>
      <w:r w:rsidR="00306528" w:rsidRPr="00EC02CA">
        <w:t xml:space="preserve"> for other young people:</w:t>
      </w:r>
    </w:p>
    <w:p w14:paraId="5B5DBB05" w14:textId="10033EBF" w:rsidR="00306528" w:rsidRPr="00EC02CA" w:rsidRDefault="008934BF" w:rsidP="00306528">
      <w:pPr>
        <w:pStyle w:val="Indentedquote"/>
      </w:pPr>
      <w:r w:rsidRPr="00EC02CA">
        <w:t>There was a distinct need to impose a sentence which gave weight to general deterrence, denunciation and vindication of the victim. As to general deterrence, there was a need to uphold the policy of the consent and mistake provisions of the Code, to make clear to men, especially young men, their criminal responsibility for sexual acts committed against a person so affected by alcohol or drugs as to be unable to freely agree</w:t>
      </w:r>
      <w:r w:rsidR="003D7532" w:rsidRPr="00EC02CA">
        <w:t>.</w:t>
      </w:r>
      <w:r w:rsidR="003D7532" w:rsidRPr="00EC02CA">
        <w:rPr>
          <w:rStyle w:val="FootnoteReference"/>
        </w:rPr>
        <w:footnoteReference w:id="861"/>
      </w:r>
    </w:p>
    <w:p w14:paraId="7A938424" w14:textId="182CD3C1" w:rsidR="00717BDA" w:rsidRPr="00EC02CA" w:rsidRDefault="00F979F8" w:rsidP="004A4114">
      <w:pPr>
        <w:pStyle w:val="Indentedquote"/>
      </w:pPr>
      <w:r w:rsidRPr="00EC02CA">
        <w:t xml:space="preserve">This is balanced against the need to make allowance </w:t>
      </w:r>
      <w:r w:rsidR="00755F8C" w:rsidRPr="00EC02CA">
        <w:t>for the ‘immaturity and lack of judg</w:t>
      </w:r>
      <w:r w:rsidR="00043A5A" w:rsidRPr="00EC02CA">
        <w:t>e</w:t>
      </w:r>
      <w:r w:rsidR="00755F8C" w:rsidRPr="00EC02CA">
        <w:t>ment of a young man’.</w:t>
      </w:r>
      <w:r w:rsidR="00755F8C" w:rsidRPr="00EC02CA">
        <w:rPr>
          <w:rStyle w:val="FootnoteReference"/>
        </w:rPr>
        <w:footnoteReference w:id="862"/>
      </w:r>
    </w:p>
    <w:p w14:paraId="499B1DEE" w14:textId="6544C09E" w:rsidR="00C417C5" w:rsidRPr="00EC02CA" w:rsidRDefault="00C417C5" w:rsidP="00A920EC">
      <w:pPr>
        <w:pStyle w:val="NormalNumberedTextTLRI"/>
      </w:pPr>
      <w:r w:rsidRPr="00EC02CA">
        <w:t xml:space="preserve">In </w:t>
      </w:r>
      <w:r w:rsidR="00053A3B" w:rsidRPr="00EC02CA">
        <w:rPr>
          <w:i/>
          <w:iCs/>
        </w:rPr>
        <w:t xml:space="preserve">Director of Public Prosecutions </w:t>
      </w:r>
      <w:r w:rsidRPr="00EC02CA">
        <w:rPr>
          <w:i/>
          <w:iCs/>
        </w:rPr>
        <w:t>v Oh Mar</w:t>
      </w:r>
      <w:r w:rsidR="0046121C" w:rsidRPr="00EC02CA">
        <w:rPr>
          <w:i/>
          <w:iCs/>
        </w:rPr>
        <w:t>ris</w:t>
      </w:r>
      <w:r w:rsidRPr="00EC02CA">
        <w:t>,</w:t>
      </w:r>
      <w:r w:rsidRPr="00EC02CA">
        <w:rPr>
          <w:rStyle w:val="FootnoteReference"/>
        </w:rPr>
        <w:footnoteReference w:id="863"/>
      </w:r>
      <w:r w:rsidR="006C784D" w:rsidRPr="00EC02CA">
        <w:t xml:space="preserve"> </w:t>
      </w:r>
      <w:r w:rsidR="0046121C" w:rsidRPr="00EC02CA">
        <w:t xml:space="preserve">the Court </w:t>
      </w:r>
      <w:r w:rsidR="006C784D" w:rsidRPr="00EC02CA">
        <w:t xml:space="preserve">considered the </w:t>
      </w:r>
      <w:r w:rsidR="003F2697" w:rsidRPr="00EC02CA">
        <w:t>relevance</w:t>
      </w:r>
      <w:r w:rsidR="006C784D" w:rsidRPr="00EC02CA">
        <w:t xml:space="preserve"> </w:t>
      </w:r>
      <w:r w:rsidR="003F2697" w:rsidRPr="00EC02CA">
        <w:t xml:space="preserve">of </w:t>
      </w:r>
      <w:r w:rsidR="006C784D" w:rsidRPr="00EC02CA">
        <w:t>the intoxication of the accused to the sentencing process</w:t>
      </w:r>
      <w:r w:rsidR="0046121C" w:rsidRPr="00EC02CA">
        <w:t>,</w:t>
      </w:r>
      <w:r w:rsidR="006C784D" w:rsidRPr="00EC02CA">
        <w:t xml:space="preserve"> and stated that:</w:t>
      </w:r>
    </w:p>
    <w:p w14:paraId="38154338" w14:textId="66971DBF" w:rsidR="006C784D" w:rsidRPr="00EC02CA" w:rsidRDefault="006C784D" w:rsidP="006C784D">
      <w:pPr>
        <w:pStyle w:val="Indentedquote"/>
      </w:pPr>
      <w:r w:rsidRPr="00EC02CA">
        <w:t>To re-state but modify the propositions stated in JSP, there was a distinct need to impose a sentence which gave weight to general deterrence, denunciation and vindication of the victim. As to general deterrence, there was a need to uphold the policy of the consent and mistake provisions of the Code, to make clear to men, especially young men, that their criminal responsibility and liability to punishment for sexual acts will not be reduced even if they acted in a way they may not have acted if not affected by alcohol or drugs.</w:t>
      </w:r>
      <w:r w:rsidRPr="00EC02CA">
        <w:rPr>
          <w:rStyle w:val="FootnoteReference"/>
        </w:rPr>
        <w:footnoteReference w:id="864"/>
      </w:r>
    </w:p>
    <w:p w14:paraId="5A98DA54" w14:textId="3E952404" w:rsidR="006D0B45" w:rsidRPr="00EC02CA" w:rsidRDefault="00D50BB9" w:rsidP="00A55543">
      <w:pPr>
        <w:pStyle w:val="NumberedHeadingTLRI"/>
      </w:pPr>
      <w:bookmarkStart w:id="450" w:name="_Toc211849460"/>
      <w:bookmarkStart w:id="451" w:name="_Toc218157364"/>
      <w:r w:rsidRPr="00EC02CA">
        <w:t>Community Protection Offender Register</w:t>
      </w:r>
      <w:bookmarkEnd w:id="450"/>
      <w:bookmarkEnd w:id="451"/>
    </w:p>
    <w:p w14:paraId="5BF7758E" w14:textId="199E4A16" w:rsidR="008444FB" w:rsidRPr="00EC02CA" w:rsidRDefault="008444FB" w:rsidP="002F0007">
      <w:pPr>
        <w:pStyle w:val="NormalNumberedTextTLRI"/>
      </w:pPr>
      <w:r w:rsidRPr="00EC02CA">
        <w:t>In addition, as part of the sentence, a court may make an order that a person be placed on the Community Protection Offender Register. The aims of sex offender reporting legislation are to ‘reduce the likelihood that sex offenders will reoffend; and to facilitate the investigation and prosecution of any future offences they may commit’.</w:t>
      </w:r>
      <w:r w:rsidRPr="00EC02CA">
        <w:rPr>
          <w:vertAlign w:val="superscript"/>
        </w:rPr>
        <w:footnoteReference w:id="865"/>
      </w:r>
      <w:r w:rsidRPr="00EC02CA">
        <w:t xml:space="preserve">A </w:t>
      </w:r>
      <w:r w:rsidR="00E67A6A" w:rsidRPr="00EC02CA">
        <w:t>c</w:t>
      </w:r>
      <w:r w:rsidRPr="00EC02CA">
        <w:t xml:space="preserve">ourt must make an order that person is placed on the Register and for the person to comply with reporting obligations when the court sentences a person for </w:t>
      </w:r>
      <w:r w:rsidR="00E67A6A" w:rsidRPr="00EC02CA">
        <w:t xml:space="preserve">a </w:t>
      </w:r>
      <w:r w:rsidRPr="00EC02CA">
        <w:t>reportable offence</w:t>
      </w:r>
      <w:r w:rsidR="00E67A6A" w:rsidRPr="00EC02CA">
        <w:t>,</w:t>
      </w:r>
      <w:r w:rsidRPr="00EC02CA">
        <w:t xml:space="preserve"> unless the court is satisfied that the person does not pose a risk of committing a reportable offence in the future.</w:t>
      </w:r>
      <w:r w:rsidRPr="00EC02CA">
        <w:rPr>
          <w:vertAlign w:val="superscript"/>
        </w:rPr>
        <w:footnoteReference w:id="866"/>
      </w:r>
      <w:r w:rsidRPr="00EC02CA">
        <w:t xml:space="preserve"> </w:t>
      </w:r>
    </w:p>
    <w:p w14:paraId="3F65AC3E" w14:textId="0E872F80" w:rsidR="008444FB" w:rsidRPr="00EC02CA" w:rsidRDefault="008444FB" w:rsidP="002F0007">
      <w:pPr>
        <w:pStyle w:val="NormalNumberedTextTLRI"/>
      </w:pPr>
      <w:r w:rsidRPr="00EC02CA">
        <w:t xml:space="preserve">Under the </w:t>
      </w:r>
      <w:r w:rsidRPr="00EC02CA">
        <w:rPr>
          <w:i/>
          <w:iCs/>
        </w:rPr>
        <w:t>Community Protection (Offender Reporting) Act 2005</w:t>
      </w:r>
      <w:r w:rsidRPr="00EC02CA">
        <w:t xml:space="preserve"> (Tas), there are three classes of reportable offences</w:t>
      </w:r>
      <w:r w:rsidR="00E67A6A" w:rsidRPr="00EC02CA">
        <w:t>,</w:t>
      </w:r>
      <w:r w:rsidRPr="00EC02CA">
        <w:t xml:space="preserve"> </w:t>
      </w:r>
      <w:r w:rsidR="00E67A6A" w:rsidRPr="00EC02CA">
        <w:t xml:space="preserve">under which, </w:t>
      </w:r>
      <w:r w:rsidRPr="00EC02CA">
        <w:t xml:space="preserve">different periods </w:t>
      </w:r>
      <w:r w:rsidR="00E67A6A" w:rsidRPr="00EC02CA">
        <w:t>of</w:t>
      </w:r>
      <w:r w:rsidRPr="00EC02CA">
        <w:t xml:space="preserve"> reporting obligations apply:</w:t>
      </w:r>
      <w:r w:rsidRPr="00EC02CA">
        <w:rPr>
          <w:vertAlign w:val="superscript"/>
        </w:rPr>
        <w:footnoteReference w:id="867"/>
      </w:r>
    </w:p>
    <w:p w14:paraId="3A8D9054" w14:textId="29EF1313" w:rsidR="008444FB" w:rsidRPr="00EC02CA" w:rsidRDefault="008444FB" w:rsidP="008444FB">
      <w:pPr>
        <w:numPr>
          <w:ilvl w:val="0"/>
          <w:numId w:val="1"/>
        </w:numPr>
        <w:spacing w:after="120"/>
        <w:rPr>
          <w:rFonts w:eastAsia="Times New Roman" w:cs="Times New Roman"/>
        </w:rPr>
      </w:pPr>
      <w:r w:rsidRPr="00EC02CA">
        <w:rPr>
          <w:rFonts w:eastAsia="Times New Roman" w:cs="Times New Roman"/>
          <w:b/>
          <w:bCs/>
        </w:rPr>
        <w:t>Class 1 offence</w:t>
      </w:r>
      <w:r w:rsidRPr="00EC02CA">
        <w:rPr>
          <w:rFonts w:eastAsia="Times New Roman" w:cs="Times New Roman"/>
        </w:rPr>
        <w:t xml:space="preserve"> – includes online offences including child exploitation/child abuse material</w:t>
      </w:r>
      <w:r w:rsidR="00E67A6A" w:rsidRPr="00EC02CA">
        <w:rPr>
          <w:rFonts w:eastAsia="Times New Roman" w:cs="Times New Roman"/>
        </w:rPr>
        <w:t xml:space="preserve"> under</w:t>
      </w:r>
      <w:r w:rsidRPr="00EC02CA">
        <w:rPr>
          <w:rFonts w:eastAsia="Times New Roman" w:cs="Times New Roman"/>
        </w:rPr>
        <w:t xml:space="preserve"> Tasmanian and Commonwealth </w:t>
      </w:r>
      <w:r w:rsidR="00E67A6A" w:rsidRPr="00EC02CA">
        <w:rPr>
          <w:rFonts w:eastAsia="Times New Roman" w:cs="Times New Roman"/>
        </w:rPr>
        <w:t xml:space="preserve">offences, </w:t>
      </w:r>
      <w:r w:rsidRPr="00EC02CA">
        <w:rPr>
          <w:rFonts w:eastAsia="Times New Roman" w:cs="Times New Roman"/>
        </w:rPr>
        <w:t xml:space="preserve">and image-based abuse offences set out in the </w:t>
      </w:r>
      <w:r w:rsidRPr="00EC02CA">
        <w:rPr>
          <w:rFonts w:eastAsia="Times New Roman" w:cs="Times New Roman"/>
          <w:i/>
          <w:iCs/>
        </w:rPr>
        <w:t xml:space="preserve">Police Offences Act 1935 </w:t>
      </w:r>
      <w:r w:rsidRPr="00EC02CA">
        <w:rPr>
          <w:rFonts w:eastAsia="Times New Roman" w:cs="Times New Roman"/>
        </w:rPr>
        <w:t>(Tas).</w:t>
      </w:r>
      <w:r w:rsidRPr="00EC02CA">
        <w:rPr>
          <w:rFonts w:eastAsia="Times New Roman" w:cs="Times New Roman"/>
          <w:vertAlign w:val="superscript"/>
        </w:rPr>
        <w:footnoteReference w:id="868"/>
      </w:r>
      <w:r w:rsidRPr="00EC02CA">
        <w:rPr>
          <w:rFonts w:eastAsia="Times New Roman" w:cs="Times New Roman"/>
        </w:rPr>
        <w:t xml:space="preserve"> The reporting is </w:t>
      </w:r>
      <w:r w:rsidR="00001B5F" w:rsidRPr="00EC02CA">
        <w:rPr>
          <w:rFonts w:eastAsia="Times New Roman" w:cs="Times New Roman"/>
        </w:rPr>
        <w:t>up to</w:t>
      </w:r>
      <w:r w:rsidRPr="00EC02CA">
        <w:rPr>
          <w:rFonts w:eastAsia="Times New Roman" w:cs="Times New Roman"/>
        </w:rPr>
        <w:t xml:space="preserve"> 8 years for an adult offender and 4 years for a young offender.</w:t>
      </w:r>
      <w:r w:rsidRPr="00EC02CA">
        <w:rPr>
          <w:rFonts w:eastAsia="Times New Roman" w:cs="Times New Roman"/>
          <w:vertAlign w:val="superscript"/>
        </w:rPr>
        <w:footnoteReference w:id="869"/>
      </w:r>
    </w:p>
    <w:p w14:paraId="63E6BD22" w14:textId="341F3F98" w:rsidR="008444FB" w:rsidRPr="00EC02CA" w:rsidRDefault="008444FB" w:rsidP="008444FB">
      <w:pPr>
        <w:numPr>
          <w:ilvl w:val="0"/>
          <w:numId w:val="1"/>
        </w:numPr>
        <w:spacing w:after="120"/>
        <w:rPr>
          <w:rFonts w:eastAsia="Times New Roman" w:cs="Times New Roman"/>
        </w:rPr>
      </w:pPr>
      <w:r w:rsidRPr="00EC02CA">
        <w:rPr>
          <w:rFonts w:eastAsia="Times New Roman" w:cs="Times New Roman"/>
          <w:b/>
          <w:bCs/>
        </w:rPr>
        <w:t>Class 2 offence</w:t>
      </w:r>
      <w:r w:rsidRPr="00EC02CA">
        <w:rPr>
          <w:rFonts w:eastAsia="Times New Roman" w:cs="Times New Roman"/>
        </w:rPr>
        <w:t xml:space="preserve"> – includes online offences of making</w:t>
      </w:r>
      <w:r w:rsidR="00E67A6A" w:rsidRPr="00EC02CA">
        <w:rPr>
          <w:rFonts w:eastAsia="Times New Roman" w:cs="Times New Roman"/>
        </w:rPr>
        <w:t>,</w:t>
      </w:r>
      <w:r w:rsidRPr="00EC02CA">
        <w:rPr>
          <w:rFonts w:eastAsia="Times New Roman" w:cs="Times New Roman"/>
        </w:rPr>
        <w:t xml:space="preserve"> produc</w:t>
      </w:r>
      <w:r w:rsidR="00E67A6A" w:rsidRPr="00EC02CA">
        <w:rPr>
          <w:rFonts w:eastAsia="Times New Roman" w:cs="Times New Roman"/>
        </w:rPr>
        <w:t>ing,</w:t>
      </w:r>
      <w:r w:rsidRPr="00EC02CA">
        <w:rPr>
          <w:rFonts w:eastAsia="Times New Roman" w:cs="Times New Roman"/>
        </w:rPr>
        <w:t xml:space="preserve"> or distributing child exploitation material</w:t>
      </w:r>
      <w:r w:rsidR="00E67A6A" w:rsidRPr="00EC02CA">
        <w:rPr>
          <w:rFonts w:eastAsia="Times New Roman" w:cs="Times New Roman"/>
        </w:rPr>
        <w:t>,</w:t>
      </w:r>
      <w:r w:rsidRPr="00EC02CA">
        <w:rPr>
          <w:rFonts w:eastAsia="Times New Roman" w:cs="Times New Roman"/>
        </w:rPr>
        <w:t xml:space="preserve"> and physical offences</w:t>
      </w:r>
      <w:r w:rsidR="00E67A6A" w:rsidRPr="00EC02CA">
        <w:rPr>
          <w:rFonts w:eastAsia="Times New Roman" w:cs="Times New Roman"/>
        </w:rPr>
        <w:t>,</w:t>
      </w:r>
      <w:r w:rsidRPr="00EC02CA">
        <w:rPr>
          <w:rFonts w:eastAsia="Times New Roman" w:cs="Times New Roman"/>
        </w:rPr>
        <w:t xml:space="preserve"> other than rape or incest.</w:t>
      </w:r>
      <w:r w:rsidRPr="00EC02CA">
        <w:rPr>
          <w:rFonts w:eastAsia="Times New Roman" w:cs="Times New Roman"/>
          <w:vertAlign w:val="superscript"/>
        </w:rPr>
        <w:footnoteReference w:id="870"/>
      </w:r>
      <w:r w:rsidRPr="00EC02CA">
        <w:rPr>
          <w:rFonts w:eastAsia="Times New Roman" w:cs="Times New Roman"/>
        </w:rPr>
        <w:t xml:space="preserve"> The reporting period is </w:t>
      </w:r>
      <w:r w:rsidR="00001B5F" w:rsidRPr="00EC02CA">
        <w:rPr>
          <w:rFonts w:eastAsia="Times New Roman" w:cs="Times New Roman"/>
        </w:rPr>
        <w:t>up to</w:t>
      </w:r>
      <w:r w:rsidRPr="00EC02CA">
        <w:rPr>
          <w:rFonts w:eastAsia="Times New Roman" w:cs="Times New Roman"/>
        </w:rPr>
        <w:t xml:space="preserve"> 15 years for an adult or 7 years and 6 months for a young offender.</w:t>
      </w:r>
      <w:r w:rsidRPr="00EC02CA">
        <w:rPr>
          <w:rFonts w:eastAsia="Times New Roman" w:cs="Times New Roman"/>
          <w:vertAlign w:val="superscript"/>
        </w:rPr>
        <w:footnoteReference w:id="871"/>
      </w:r>
    </w:p>
    <w:p w14:paraId="25F29A4B" w14:textId="1FA57AC1" w:rsidR="008444FB" w:rsidRPr="00EC02CA" w:rsidRDefault="008444FB" w:rsidP="008444FB">
      <w:pPr>
        <w:numPr>
          <w:ilvl w:val="0"/>
          <w:numId w:val="1"/>
        </w:numPr>
        <w:spacing w:after="120"/>
        <w:rPr>
          <w:rFonts w:eastAsia="Times New Roman" w:cs="Times New Roman"/>
        </w:rPr>
      </w:pPr>
      <w:r w:rsidRPr="00EC02CA">
        <w:rPr>
          <w:rFonts w:eastAsia="Times New Roman" w:cs="Times New Roman"/>
          <w:b/>
          <w:bCs/>
        </w:rPr>
        <w:t>Class 3 offence</w:t>
      </w:r>
      <w:r w:rsidRPr="00EC02CA">
        <w:rPr>
          <w:rFonts w:eastAsia="Times New Roman" w:cs="Times New Roman"/>
        </w:rPr>
        <w:t xml:space="preserve"> – includes rape</w:t>
      </w:r>
      <w:r w:rsidR="00E67A6A" w:rsidRPr="00EC02CA">
        <w:rPr>
          <w:rFonts w:eastAsia="Times New Roman" w:cs="Times New Roman"/>
        </w:rPr>
        <w:t>,</w:t>
      </w:r>
      <w:r w:rsidRPr="00EC02CA">
        <w:rPr>
          <w:rFonts w:eastAsia="Times New Roman" w:cs="Times New Roman"/>
        </w:rPr>
        <w:t xml:space="preserve"> and incest (if the complain</w:t>
      </w:r>
      <w:r w:rsidR="00326D56" w:rsidRPr="00EC02CA">
        <w:rPr>
          <w:rFonts w:eastAsia="Times New Roman" w:cs="Times New Roman"/>
        </w:rPr>
        <w:t>an</w:t>
      </w:r>
      <w:r w:rsidRPr="00EC02CA">
        <w:rPr>
          <w:rFonts w:eastAsia="Times New Roman" w:cs="Times New Roman"/>
        </w:rPr>
        <w:t>t is a child).</w:t>
      </w:r>
      <w:r w:rsidRPr="00EC02CA">
        <w:rPr>
          <w:rFonts w:eastAsia="Times New Roman" w:cs="Times New Roman"/>
          <w:vertAlign w:val="superscript"/>
        </w:rPr>
        <w:footnoteReference w:id="872"/>
      </w:r>
      <w:r w:rsidRPr="00EC02CA">
        <w:rPr>
          <w:rFonts w:eastAsia="Times New Roman" w:cs="Times New Roman"/>
        </w:rPr>
        <w:t xml:space="preserve"> The reporting period is up </w:t>
      </w:r>
      <w:r w:rsidR="00001B5F" w:rsidRPr="00EC02CA">
        <w:rPr>
          <w:rFonts w:eastAsia="Times New Roman" w:cs="Times New Roman"/>
        </w:rPr>
        <w:t xml:space="preserve">to </w:t>
      </w:r>
      <w:r w:rsidRPr="00EC02CA">
        <w:rPr>
          <w:rFonts w:eastAsia="Times New Roman" w:cs="Times New Roman"/>
        </w:rPr>
        <w:t xml:space="preserve">the remainder of </w:t>
      </w:r>
      <w:r w:rsidR="00E67A6A" w:rsidRPr="00EC02CA">
        <w:rPr>
          <w:rFonts w:eastAsia="Times New Roman" w:cs="Times New Roman"/>
        </w:rPr>
        <w:t xml:space="preserve">the offender’s </w:t>
      </w:r>
      <w:r w:rsidRPr="00EC02CA">
        <w:rPr>
          <w:rFonts w:eastAsia="Times New Roman" w:cs="Times New Roman"/>
        </w:rPr>
        <w:t xml:space="preserve">life </w:t>
      </w:r>
      <w:r w:rsidR="00E67A6A" w:rsidRPr="00EC02CA">
        <w:rPr>
          <w:rFonts w:eastAsia="Times New Roman" w:cs="Times New Roman"/>
        </w:rPr>
        <w:t xml:space="preserve">for an adult </w:t>
      </w:r>
      <w:r w:rsidRPr="00EC02CA">
        <w:rPr>
          <w:rFonts w:eastAsia="Times New Roman" w:cs="Times New Roman"/>
        </w:rPr>
        <w:t>or 7 years and 6 months for a young offender.</w:t>
      </w:r>
      <w:r w:rsidRPr="00EC02CA">
        <w:rPr>
          <w:rFonts w:eastAsia="Times New Roman" w:cs="Times New Roman"/>
          <w:vertAlign w:val="superscript"/>
        </w:rPr>
        <w:footnoteReference w:id="873"/>
      </w:r>
    </w:p>
    <w:p w14:paraId="6715FA06" w14:textId="77777777" w:rsidR="008444FB" w:rsidRPr="00EC02CA" w:rsidRDefault="008444FB" w:rsidP="00A920EC">
      <w:pPr>
        <w:pStyle w:val="NormalNumberedTextTLRI"/>
      </w:pPr>
      <w:r w:rsidRPr="00EC02CA">
        <w:t>A court may also make a reporting order for other offences if the court is satisfied that the person poses a risk of committing a reportable offence in the future.</w:t>
      </w:r>
      <w:r w:rsidRPr="00EC02CA">
        <w:rPr>
          <w:vertAlign w:val="superscript"/>
        </w:rPr>
        <w:footnoteReference w:id="874"/>
      </w:r>
    </w:p>
    <w:p w14:paraId="51259CA8" w14:textId="2A6310C3" w:rsidR="008444FB" w:rsidRPr="00EC02CA" w:rsidRDefault="008444FB" w:rsidP="002F0007">
      <w:pPr>
        <w:pStyle w:val="NormalNumberedTextTLRI"/>
      </w:pPr>
      <w:r w:rsidRPr="00EC02CA">
        <w:t xml:space="preserve">There are modifications to the statutory scheme for young reportable offenders that </w:t>
      </w:r>
      <w:r w:rsidR="000A31EE" w:rsidRPr="00EC02CA">
        <w:t>permit</w:t>
      </w:r>
      <w:r w:rsidRPr="00EC02CA">
        <w:t>:</w:t>
      </w:r>
    </w:p>
    <w:p w14:paraId="2AF7C920" w14:textId="06513FE7" w:rsidR="008444FB" w:rsidRPr="00EC02CA" w:rsidRDefault="00BB71B8" w:rsidP="008444FB">
      <w:pPr>
        <w:numPr>
          <w:ilvl w:val="0"/>
          <w:numId w:val="1"/>
        </w:numPr>
        <w:spacing w:after="120"/>
        <w:rPr>
          <w:rFonts w:eastAsia="Times New Roman" w:cs="Times New Roman"/>
        </w:rPr>
      </w:pPr>
      <w:r w:rsidRPr="00EC02CA">
        <w:rPr>
          <w:rFonts w:eastAsia="Times New Roman" w:cs="Times New Roman"/>
        </w:rPr>
        <w:t>v</w:t>
      </w:r>
      <w:r w:rsidR="008444FB" w:rsidRPr="00EC02CA">
        <w:rPr>
          <w:rFonts w:eastAsia="Times New Roman" w:cs="Times New Roman"/>
        </w:rPr>
        <w:t>ariation of the reporting obligations by the Commissioner of Police</w:t>
      </w:r>
      <w:r w:rsidRPr="00EC02CA">
        <w:rPr>
          <w:rFonts w:eastAsia="Times New Roman" w:cs="Times New Roman"/>
        </w:rPr>
        <w:t>;</w:t>
      </w:r>
      <w:r w:rsidR="000A31EE" w:rsidRPr="00EC02CA">
        <w:rPr>
          <w:rStyle w:val="FootnoteReference"/>
          <w:rFonts w:eastAsia="Times New Roman" w:cs="Times New Roman"/>
        </w:rPr>
        <w:footnoteReference w:id="875"/>
      </w:r>
    </w:p>
    <w:p w14:paraId="7EEBA045" w14:textId="762F3AE0" w:rsidR="00B02911" w:rsidRPr="00EC02CA" w:rsidRDefault="00BB71B8" w:rsidP="00B02911">
      <w:pPr>
        <w:numPr>
          <w:ilvl w:val="0"/>
          <w:numId w:val="1"/>
        </w:numPr>
        <w:spacing w:after="120"/>
        <w:rPr>
          <w:rFonts w:eastAsia="Times New Roman" w:cs="Times New Roman"/>
        </w:rPr>
      </w:pPr>
      <w:r w:rsidRPr="00EC02CA">
        <w:rPr>
          <w:rFonts w:eastAsia="Times New Roman" w:cs="Times New Roman"/>
        </w:rPr>
        <w:t>s</w:t>
      </w:r>
      <w:r w:rsidR="008444FB" w:rsidRPr="00EC02CA">
        <w:rPr>
          <w:rFonts w:eastAsia="Times New Roman" w:cs="Times New Roman"/>
        </w:rPr>
        <w:t>uspension of reporting obligations by the Commissioner of Police</w:t>
      </w:r>
      <w:r w:rsidR="000A31EE" w:rsidRPr="00EC02CA">
        <w:rPr>
          <w:rFonts w:eastAsia="Times New Roman" w:cs="Times New Roman"/>
        </w:rPr>
        <w:t>;</w:t>
      </w:r>
      <w:r w:rsidR="000A31EE" w:rsidRPr="00EC02CA">
        <w:rPr>
          <w:rStyle w:val="FootnoteReference"/>
          <w:rFonts w:eastAsia="Times New Roman" w:cs="Times New Roman"/>
        </w:rPr>
        <w:footnoteReference w:id="876"/>
      </w:r>
      <w:r w:rsidR="008444FB" w:rsidRPr="00EC02CA">
        <w:rPr>
          <w:rFonts w:eastAsia="Times New Roman" w:cs="Times New Roman"/>
        </w:rPr>
        <w:t xml:space="preserve"> </w:t>
      </w:r>
      <w:r w:rsidRPr="00EC02CA">
        <w:rPr>
          <w:rFonts w:eastAsia="Times New Roman" w:cs="Times New Roman"/>
        </w:rPr>
        <w:t>and</w:t>
      </w:r>
    </w:p>
    <w:p w14:paraId="30707A7E" w14:textId="4C203BF0" w:rsidR="008444FB" w:rsidRPr="00EC02CA" w:rsidRDefault="00BB71B8" w:rsidP="00B02911">
      <w:pPr>
        <w:numPr>
          <w:ilvl w:val="0"/>
          <w:numId w:val="1"/>
        </w:numPr>
        <w:spacing w:after="120"/>
        <w:rPr>
          <w:rFonts w:eastAsia="Times New Roman" w:cs="Times New Roman"/>
        </w:rPr>
      </w:pPr>
      <w:r w:rsidRPr="00EC02CA">
        <w:rPr>
          <w:rFonts w:eastAsia="Times New Roman" w:cs="Times New Roman"/>
        </w:rPr>
        <w:t>t</w:t>
      </w:r>
      <w:r w:rsidR="008444FB" w:rsidRPr="00EC02CA">
        <w:rPr>
          <w:rFonts w:eastAsia="Times New Roman" w:cs="Times New Roman"/>
        </w:rPr>
        <w:t xml:space="preserve">he length of the reporting periods </w:t>
      </w:r>
      <w:r w:rsidR="000A31EE" w:rsidRPr="00EC02CA">
        <w:rPr>
          <w:rFonts w:eastAsia="Times New Roman" w:cs="Times New Roman"/>
        </w:rPr>
        <w:t xml:space="preserve">to be </w:t>
      </w:r>
      <w:r w:rsidR="008444FB" w:rsidRPr="00EC02CA">
        <w:rPr>
          <w:rFonts w:eastAsia="Times New Roman" w:cs="Times New Roman"/>
        </w:rPr>
        <w:t>reduced</w:t>
      </w:r>
      <w:r w:rsidR="000A31EE" w:rsidRPr="00EC02CA">
        <w:rPr>
          <w:rFonts w:eastAsia="Times New Roman" w:cs="Times New Roman"/>
        </w:rPr>
        <w:t>.</w:t>
      </w:r>
      <w:r w:rsidR="000A31EE" w:rsidRPr="00EC02CA">
        <w:rPr>
          <w:rStyle w:val="FootnoteReference"/>
          <w:rFonts w:eastAsia="Times New Roman" w:cs="Times New Roman"/>
        </w:rPr>
        <w:footnoteReference w:id="877"/>
      </w:r>
      <w:r w:rsidR="008444FB" w:rsidRPr="00EC02CA">
        <w:rPr>
          <w:rFonts w:eastAsia="Times New Roman" w:cs="Times New Roman"/>
        </w:rPr>
        <w:t xml:space="preserve"> </w:t>
      </w:r>
    </w:p>
    <w:p w14:paraId="5BA07833" w14:textId="33E538D7" w:rsidR="003C6810" w:rsidRPr="00EC02CA" w:rsidRDefault="003C6810" w:rsidP="003C6810">
      <w:pPr>
        <w:pStyle w:val="NumberedHeadingTLRI"/>
      </w:pPr>
      <w:bookmarkStart w:id="452" w:name="_Toc211849461"/>
      <w:bookmarkStart w:id="453" w:name="_Toc218157365"/>
      <w:r w:rsidRPr="00EC02CA">
        <w:t>Consequences of a conviction or a finding of guilt</w:t>
      </w:r>
      <w:bookmarkEnd w:id="452"/>
      <w:bookmarkEnd w:id="453"/>
    </w:p>
    <w:p w14:paraId="2D0A7ABF" w14:textId="5FF7B14C" w:rsidR="003147DF" w:rsidRPr="00EC02CA" w:rsidRDefault="003C6810" w:rsidP="002F0007">
      <w:pPr>
        <w:pStyle w:val="NormalNumberedTextTLRI"/>
      </w:pPr>
      <w:r w:rsidRPr="00EC02CA">
        <w:t xml:space="preserve"> A finding</w:t>
      </w:r>
      <w:r w:rsidR="00442A99" w:rsidRPr="00EC02CA">
        <w:t xml:space="preserve"> o</w:t>
      </w:r>
      <w:r w:rsidR="000A40DB" w:rsidRPr="00EC02CA">
        <w:t>f</w:t>
      </w:r>
      <w:r w:rsidR="00442A99" w:rsidRPr="00EC02CA">
        <w:t xml:space="preserve"> </w:t>
      </w:r>
      <w:r w:rsidR="000A40DB" w:rsidRPr="00EC02CA">
        <w:t xml:space="preserve">guilt, a guilty </w:t>
      </w:r>
      <w:r w:rsidR="00442A99" w:rsidRPr="00EC02CA">
        <w:t>plea</w:t>
      </w:r>
      <w:r w:rsidR="000A40DB" w:rsidRPr="00EC02CA">
        <w:t>,</w:t>
      </w:r>
      <w:r w:rsidR="00442A99" w:rsidRPr="00EC02CA">
        <w:t xml:space="preserve"> </w:t>
      </w:r>
      <w:r w:rsidRPr="00EC02CA">
        <w:t>or a criminal conviction can have long</w:t>
      </w:r>
      <w:r w:rsidR="000A40DB" w:rsidRPr="00EC02CA">
        <w:t>-</w:t>
      </w:r>
      <w:r w:rsidRPr="00EC02CA">
        <w:t>standing consequences for an individual</w:t>
      </w:r>
      <w:r w:rsidR="000A40DB" w:rsidRPr="00EC02CA">
        <w:t>,</w:t>
      </w:r>
      <w:r w:rsidRPr="00EC02CA">
        <w:t xml:space="preserve"> independent of any sentence imposed by the court.</w:t>
      </w:r>
      <w:r w:rsidRPr="00EC02CA">
        <w:rPr>
          <w:rStyle w:val="FootnoteReference"/>
        </w:rPr>
        <w:footnoteReference w:id="878"/>
      </w:r>
      <w:r w:rsidRPr="00EC02CA">
        <w:t xml:space="preserve"> A conviction for a sexual offence will appear on a person’s criminal record regardless of when it was imposed, as it is the type of offence where a conviction cannot be annulled.</w:t>
      </w:r>
      <w:r w:rsidRPr="00EC02CA">
        <w:rPr>
          <w:rStyle w:val="FootnoteReference"/>
        </w:rPr>
        <w:footnoteReference w:id="879"/>
      </w:r>
      <w:r w:rsidR="000A40DB" w:rsidRPr="00EC02CA">
        <w:t xml:space="preserve"> </w:t>
      </w:r>
      <w:r w:rsidRPr="00EC02CA">
        <w:t xml:space="preserve">Generally, there is a distinction between a finding of guilt and </w:t>
      </w:r>
      <w:r w:rsidR="000A40DB" w:rsidRPr="00EC02CA">
        <w:t xml:space="preserve">the recording of </w:t>
      </w:r>
      <w:r w:rsidRPr="00EC02CA">
        <w:t>a conviction</w:t>
      </w:r>
      <w:r w:rsidR="000A40DB" w:rsidRPr="00EC02CA">
        <w:t>,</w:t>
      </w:r>
      <w:r w:rsidRPr="00EC02CA">
        <w:t xml:space="preserve"> in terms of the legal consequences. However, for some occupations or licences, all prior convictions and findings of guilt will appear on an applicant’s police record (Schedule 1 Record).</w:t>
      </w:r>
      <w:r w:rsidR="004C78E4" w:rsidRPr="00EC02CA">
        <w:rPr>
          <w:rStyle w:val="FootnoteReference"/>
        </w:rPr>
        <w:footnoteReference w:id="880"/>
      </w:r>
      <w:r w:rsidRPr="00EC02CA">
        <w:t xml:space="preserve"> Informal and diversionary cautions do not appear on the record.</w:t>
      </w:r>
      <w:r w:rsidRPr="00EC02CA">
        <w:rPr>
          <w:rStyle w:val="FootnoteReference"/>
        </w:rPr>
        <w:footnoteReference w:id="881"/>
      </w:r>
    </w:p>
    <w:p w14:paraId="198342A5" w14:textId="3C599FCE" w:rsidR="003C6810" w:rsidRPr="00EC02CA" w:rsidRDefault="003147DF" w:rsidP="002F0007">
      <w:pPr>
        <w:pStyle w:val="NormalNumberedTextTLRI"/>
      </w:pPr>
      <w:r w:rsidRPr="00EC02CA">
        <w:t xml:space="preserve">There are also </w:t>
      </w:r>
      <w:r w:rsidR="00B35718" w:rsidRPr="00EC02CA">
        <w:t xml:space="preserve">background checks and risk assessment processes </w:t>
      </w:r>
      <w:r w:rsidR="00D34B52" w:rsidRPr="00EC02CA">
        <w:t xml:space="preserve">that exist </w:t>
      </w:r>
      <w:r w:rsidR="00D20992" w:rsidRPr="00EC02CA">
        <w:t xml:space="preserve">as </w:t>
      </w:r>
      <w:r w:rsidR="00FD2BA1" w:rsidRPr="00EC02CA">
        <w:t>p</w:t>
      </w:r>
      <w:r w:rsidR="00D20992" w:rsidRPr="00EC02CA">
        <w:t>art of</w:t>
      </w:r>
      <w:r w:rsidR="00A30680" w:rsidRPr="00EC02CA">
        <w:t xml:space="preserve"> a</w:t>
      </w:r>
      <w:r w:rsidR="00D20992" w:rsidRPr="00EC02CA">
        <w:t xml:space="preserve"> </w:t>
      </w:r>
      <w:r w:rsidR="002A57A8" w:rsidRPr="00EC02CA">
        <w:t>Registration to Work with Vulnerable People check under the</w:t>
      </w:r>
      <w:r w:rsidR="00B04887" w:rsidRPr="00EC02CA">
        <w:t xml:space="preserve"> </w:t>
      </w:r>
      <w:r w:rsidR="00B04887" w:rsidRPr="00EC02CA">
        <w:rPr>
          <w:i/>
          <w:iCs/>
        </w:rPr>
        <w:t xml:space="preserve">Registration to Work with Vulnerable People Act 2013 </w:t>
      </w:r>
      <w:r w:rsidR="00B04887" w:rsidRPr="00EC02CA">
        <w:t>(Tas)</w:t>
      </w:r>
      <w:r w:rsidR="002A57A8" w:rsidRPr="00EC02CA">
        <w:t xml:space="preserve">. </w:t>
      </w:r>
      <w:r w:rsidR="003C6810" w:rsidRPr="00EC02CA">
        <w:t xml:space="preserve">This </w:t>
      </w:r>
      <w:r w:rsidR="002A57A8" w:rsidRPr="00EC02CA">
        <w:t xml:space="preserve">includes police records </w:t>
      </w:r>
      <w:r w:rsidR="008812B3" w:rsidRPr="00EC02CA">
        <w:t xml:space="preserve">in relation to </w:t>
      </w:r>
      <w:r w:rsidR="004F397E" w:rsidRPr="00EC02CA">
        <w:t xml:space="preserve">relevant </w:t>
      </w:r>
      <w:r w:rsidR="00064F2B" w:rsidRPr="00EC02CA">
        <w:t>charges</w:t>
      </w:r>
      <w:r w:rsidR="004F397E" w:rsidRPr="00EC02CA">
        <w:t xml:space="preserve"> or conviction</w:t>
      </w:r>
      <w:r w:rsidR="00A30680" w:rsidRPr="00EC02CA">
        <w:t>s</w:t>
      </w:r>
      <w:r w:rsidR="004F397E" w:rsidRPr="00EC02CA">
        <w:t xml:space="preserve">. In </w:t>
      </w:r>
      <w:r w:rsidR="00064F2B" w:rsidRPr="00EC02CA">
        <w:t xml:space="preserve">addition, </w:t>
      </w:r>
      <w:r w:rsidR="004F397E" w:rsidRPr="00EC02CA">
        <w:t xml:space="preserve">criminal (police) </w:t>
      </w:r>
      <w:r w:rsidR="00064F2B" w:rsidRPr="00EC02CA">
        <w:t>intelligence</w:t>
      </w:r>
      <w:r w:rsidR="004F397E" w:rsidRPr="00EC02CA">
        <w:t xml:space="preserve">, family violence </w:t>
      </w:r>
      <w:r w:rsidR="00064F2B" w:rsidRPr="00EC02CA">
        <w:t>history</w:t>
      </w:r>
      <w:r w:rsidR="004F397E" w:rsidRPr="00EC02CA">
        <w:t xml:space="preserve">, child </w:t>
      </w:r>
      <w:r w:rsidR="00064F2B" w:rsidRPr="00EC02CA">
        <w:t>protection</w:t>
      </w:r>
      <w:r w:rsidR="004F397E" w:rsidRPr="00EC02CA">
        <w:t xml:space="preserve"> history and other </w:t>
      </w:r>
      <w:r w:rsidR="0052335E" w:rsidRPr="00EC02CA">
        <w:t>relevant</w:t>
      </w:r>
      <w:r w:rsidR="004F397E" w:rsidRPr="00EC02CA">
        <w:t xml:space="preserve"> information</w:t>
      </w:r>
      <w:r w:rsidR="007348D4" w:rsidRPr="00EC02CA">
        <w:t xml:space="preserve"> </w:t>
      </w:r>
      <w:r w:rsidR="00A30680" w:rsidRPr="00EC02CA">
        <w:t>is</w:t>
      </w:r>
      <w:r w:rsidR="003C6810" w:rsidRPr="00EC02CA">
        <w:t xml:space="preserve"> </w:t>
      </w:r>
      <w:r w:rsidR="00064F2B" w:rsidRPr="00EC02CA">
        <w:t xml:space="preserve">obtained </w:t>
      </w:r>
      <w:r w:rsidR="00A30680" w:rsidRPr="00EC02CA">
        <w:t>and</w:t>
      </w:r>
      <w:r w:rsidR="00064F2B" w:rsidRPr="00EC02CA">
        <w:t xml:space="preserve"> assessed.</w:t>
      </w:r>
      <w:r w:rsidR="00064F2B" w:rsidRPr="00EC02CA">
        <w:rPr>
          <w:rStyle w:val="FootnoteReference"/>
        </w:rPr>
        <w:footnoteReference w:id="882"/>
      </w:r>
      <w:r w:rsidR="00FD2BA1" w:rsidRPr="00EC02CA">
        <w:t xml:space="preserve"> </w:t>
      </w:r>
    </w:p>
    <w:p w14:paraId="6617FE53" w14:textId="305D0372" w:rsidR="008444FB" w:rsidRPr="00EC02CA" w:rsidRDefault="001430C5" w:rsidP="008A3B5A">
      <w:pPr>
        <w:pStyle w:val="NumberedHeadingTLRI"/>
      </w:pPr>
      <w:bookmarkStart w:id="454" w:name="_Toc211849462"/>
      <w:bookmarkStart w:id="455" w:name="_Toc218157366"/>
      <w:r w:rsidRPr="00EC02CA">
        <w:t xml:space="preserve">TLRI </w:t>
      </w:r>
      <w:r w:rsidR="001B3593" w:rsidRPr="00EC02CA">
        <w:t>i</w:t>
      </w:r>
      <w:r w:rsidR="007A3668" w:rsidRPr="00EC02CA">
        <w:t>nterview</w:t>
      </w:r>
      <w:r w:rsidR="001B3593" w:rsidRPr="00EC02CA">
        <w:t>ee</w:t>
      </w:r>
      <w:r w:rsidR="007A3668" w:rsidRPr="00EC02CA">
        <w:t>s</w:t>
      </w:r>
      <w:bookmarkEnd w:id="454"/>
      <w:r w:rsidR="001B3593" w:rsidRPr="00EC02CA">
        <w:t>’ views</w:t>
      </w:r>
      <w:bookmarkEnd w:id="455"/>
    </w:p>
    <w:p w14:paraId="228FC0F0" w14:textId="24D511A3" w:rsidR="009C11F1" w:rsidRPr="00EC02CA" w:rsidRDefault="00AE57A5" w:rsidP="002F0007">
      <w:pPr>
        <w:pStyle w:val="NormalNumberedTextTLRI"/>
      </w:pPr>
      <w:r w:rsidRPr="00EC02CA">
        <w:t>During</w:t>
      </w:r>
      <w:r w:rsidR="003F448A" w:rsidRPr="00EC02CA">
        <w:t xml:space="preserve"> interviews conducted by the TLRI, 12</w:t>
      </w:r>
      <w:r w:rsidR="006B3B27" w:rsidRPr="00EC02CA">
        <w:t xml:space="preserve"> </w:t>
      </w:r>
      <w:r w:rsidR="003F448A" w:rsidRPr="00EC02CA">
        <w:t xml:space="preserve">interviewees </w:t>
      </w:r>
      <w:r w:rsidR="006B3B27" w:rsidRPr="00EC02CA">
        <w:t xml:space="preserve">indicated that they </w:t>
      </w:r>
      <w:r w:rsidR="003F448A" w:rsidRPr="00EC02CA">
        <w:t xml:space="preserve">had no experience or knowledge of the court system processes and were not comfortable to comment. </w:t>
      </w:r>
    </w:p>
    <w:p w14:paraId="1D4FF2EC" w14:textId="10F41853" w:rsidR="001733A9" w:rsidRPr="00EC02CA" w:rsidRDefault="009C11F1" w:rsidP="002F0007">
      <w:pPr>
        <w:pStyle w:val="NormalNumberedTextTLRI"/>
      </w:pPr>
      <w:r w:rsidRPr="00EC02CA">
        <w:t>For those interviewees who discussed the</w:t>
      </w:r>
      <w:r w:rsidR="00001849" w:rsidRPr="00EC02CA">
        <w:t xml:space="preserve"> court system</w:t>
      </w:r>
      <w:r w:rsidR="00590996" w:rsidRPr="00EC02CA">
        <w:t xml:space="preserve"> in the context of sexual offences committed by young people</w:t>
      </w:r>
      <w:r w:rsidRPr="00EC02CA">
        <w:t>, the</w:t>
      </w:r>
      <w:r w:rsidR="001733A9" w:rsidRPr="00EC02CA">
        <w:t xml:space="preserve"> key challenge </w:t>
      </w:r>
      <w:r w:rsidRPr="00EC02CA">
        <w:t>id</w:t>
      </w:r>
      <w:r w:rsidR="00FC0D71" w:rsidRPr="00EC02CA">
        <w:t>entified</w:t>
      </w:r>
      <w:r w:rsidR="001733A9" w:rsidRPr="00EC02CA">
        <w:t xml:space="preserve"> </w:t>
      </w:r>
      <w:r w:rsidR="00FC0D71" w:rsidRPr="00EC02CA">
        <w:t>(</w:t>
      </w:r>
      <w:r w:rsidR="00AE57A5" w:rsidRPr="00EC02CA">
        <w:t xml:space="preserve">and </w:t>
      </w:r>
      <w:r w:rsidR="001733A9" w:rsidRPr="00EC02CA">
        <w:t>discussed in 13 interviews</w:t>
      </w:r>
      <w:r w:rsidR="00FC0D71" w:rsidRPr="00EC02CA">
        <w:t>) was the</w:t>
      </w:r>
      <w:r w:rsidR="001733A9" w:rsidRPr="00EC02CA">
        <w:t xml:space="preserve"> lengthy delays in processing cases, particularly at the Supreme Court level</w:t>
      </w:r>
      <w:r w:rsidR="00FC0D71" w:rsidRPr="00EC02CA">
        <w:t>:</w:t>
      </w:r>
    </w:p>
    <w:p w14:paraId="1F271AE8" w14:textId="64F011CE" w:rsidR="001733A9" w:rsidRPr="00EC02CA" w:rsidRDefault="001733A9" w:rsidP="00A920EC">
      <w:pPr>
        <w:pStyle w:val="Indentedquote"/>
      </w:pPr>
      <w:r w:rsidRPr="00EC02CA">
        <w:t>There's still a delay in the Magistrates Court, but youth justice matters that are contested are given a bit more priority than adult matters. Now if they</w:t>
      </w:r>
      <w:r w:rsidR="00AE57A5" w:rsidRPr="00EC02CA">
        <w:t>’</w:t>
      </w:r>
      <w:r w:rsidRPr="00EC02CA">
        <w:t>re contesting the matter from the time of the complaint to their court hearing</w:t>
      </w:r>
      <w:r w:rsidR="00D3546D" w:rsidRPr="00EC02CA">
        <w:t>, r</w:t>
      </w:r>
      <w:r w:rsidRPr="00EC02CA">
        <w:t>oughly speaking, are you</w:t>
      </w:r>
      <w:r w:rsidR="00AE57A5" w:rsidRPr="00EC02CA">
        <w:t>’</w:t>
      </w:r>
      <w:r w:rsidRPr="00EC02CA">
        <w:t>re looking at six months.</w:t>
      </w:r>
      <w:r w:rsidR="00D3546D" w:rsidRPr="00EC02CA">
        <w:rPr>
          <w:rStyle w:val="FootnoteReference"/>
          <w:rFonts w:eastAsia="Times"/>
        </w:rPr>
        <w:footnoteReference w:id="883"/>
      </w:r>
    </w:p>
    <w:p w14:paraId="3A400196" w14:textId="09184E05" w:rsidR="001733A9" w:rsidRPr="00EC02CA" w:rsidRDefault="00AE57A5" w:rsidP="00A920EC">
      <w:pPr>
        <w:pStyle w:val="Indentedquote"/>
      </w:pPr>
      <w:r w:rsidRPr="00EC02CA">
        <w:t>[W]</w:t>
      </w:r>
      <w:r w:rsidR="001733A9" w:rsidRPr="00EC02CA">
        <w:t>hen you go through the court system, it</w:t>
      </w:r>
      <w:r w:rsidRPr="00EC02CA">
        <w:t>’</w:t>
      </w:r>
      <w:r w:rsidR="001733A9" w:rsidRPr="00EC02CA">
        <w:t>s happening months and months later, sometimes</w:t>
      </w:r>
      <w:r w:rsidRPr="00EC02CA">
        <w:t>,</w:t>
      </w:r>
      <w:r w:rsidR="001733A9" w:rsidRPr="00EC02CA">
        <w:t xml:space="preserve"> especially with some of the harmful sexual behaviours or the sexual offending, it</w:t>
      </w:r>
      <w:r w:rsidRPr="00EC02CA">
        <w:t>’</w:t>
      </w:r>
      <w:r w:rsidR="001733A9" w:rsidRPr="00EC02CA">
        <w:t>s years later. You know the young person who has offended, their life has been on hold for years, they</w:t>
      </w:r>
      <w:r w:rsidRPr="00EC02CA">
        <w:t>’</w:t>
      </w:r>
      <w:r w:rsidR="001733A9" w:rsidRPr="00EC02CA">
        <w:t xml:space="preserve">re going through the court system having not forgotten about the offence </w:t>
      </w:r>
      <w:r w:rsidR="008041FB" w:rsidRPr="00EC02CA">
        <w:t xml:space="preserve">… so </w:t>
      </w:r>
      <w:r w:rsidR="001733A9" w:rsidRPr="00EC02CA">
        <w:t>no one</w:t>
      </w:r>
      <w:r w:rsidRPr="00EC02CA">
        <w:t>’</w:t>
      </w:r>
      <w:r w:rsidR="001733A9" w:rsidRPr="00EC02CA">
        <w:t>s got closure.</w:t>
      </w:r>
      <w:r w:rsidR="00A7076E" w:rsidRPr="00EC02CA">
        <w:rPr>
          <w:rStyle w:val="FootnoteReference"/>
          <w:rFonts w:eastAsia="Times"/>
          <w:szCs w:val="20"/>
        </w:rPr>
        <w:footnoteReference w:id="884"/>
      </w:r>
    </w:p>
    <w:p w14:paraId="4C5CE445" w14:textId="31A5C468" w:rsidR="007A3668" w:rsidRPr="00EC02CA" w:rsidRDefault="00BB71B8" w:rsidP="00A920EC">
      <w:pPr>
        <w:pStyle w:val="Indentedquote"/>
      </w:pPr>
      <w:r w:rsidRPr="00EC02CA">
        <w:t>[T]</w:t>
      </w:r>
      <w:r w:rsidR="001733A9" w:rsidRPr="00EC02CA">
        <w:t xml:space="preserve">he </w:t>
      </w:r>
      <w:r w:rsidR="00FF3B1C" w:rsidRPr="00EC02CA">
        <w:t xml:space="preserve">Supreme </w:t>
      </w:r>
      <w:r w:rsidR="00D765B7" w:rsidRPr="00EC02CA">
        <w:t>C</w:t>
      </w:r>
      <w:r w:rsidR="001733A9" w:rsidRPr="00EC02CA">
        <w:t xml:space="preserve">ourt delay at the moment is </w:t>
      </w:r>
      <w:r w:rsidR="00AE57A5" w:rsidRPr="00EC02CA">
        <w:t>…</w:t>
      </w:r>
      <w:r w:rsidR="001733A9" w:rsidRPr="00EC02CA">
        <w:t xml:space="preserve"> four years, regularly </w:t>
      </w:r>
      <w:r w:rsidR="00AE57A5" w:rsidRPr="00EC02CA">
        <w:t>four</w:t>
      </w:r>
      <w:r w:rsidR="001733A9" w:rsidRPr="00EC02CA">
        <w:t xml:space="preserve"> years between alleged incident and outcome</w:t>
      </w:r>
      <w:r w:rsidR="00AE57A5" w:rsidRPr="00EC02CA">
        <w:t>,</w:t>
      </w:r>
      <w:r w:rsidR="001733A9" w:rsidRPr="00EC02CA">
        <w:t xml:space="preserve"> </w:t>
      </w:r>
      <w:r w:rsidR="00C44824" w:rsidRPr="00EC02CA">
        <w:t>and</w:t>
      </w:r>
      <w:r w:rsidR="001733A9" w:rsidRPr="00EC02CA">
        <w:t xml:space="preserve"> people don</w:t>
      </w:r>
      <w:r w:rsidR="00AE57A5" w:rsidRPr="00EC02CA">
        <w:t>’</w:t>
      </w:r>
      <w:r w:rsidR="001733A9" w:rsidRPr="00EC02CA">
        <w:t>t remember things as clearly three or four years later, so the big downside of how the court system deals with these matters is the delay.</w:t>
      </w:r>
      <w:r w:rsidR="009D5036" w:rsidRPr="00EC02CA">
        <w:t xml:space="preserve"> </w:t>
      </w:r>
      <w:r w:rsidR="00DD3210" w:rsidRPr="00EC02CA">
        <w:t xml:space="preserve">The allegation </w:t>
      </w:r>
      <w:r w:rsidR="00AE57A5" w:rsidRPr="00EC02CA">
        <w:t xml:space="preserve">… </w:t>
      </w:r>
      <w:r w:rsidR="00DD3210" w:rsidRPr="00EC02CA">
        <w:t>when he was 15 and he’s in court when he is 18  … [that’s</w:t>
      </w:r>
      <w:r w:rsidR="00396FFF" w:rsidRPr="00EC02CA">
        <w:t xml:space="preserve">] </w:t>
      </w:r>
      <w:r w:rsidR="00DD3210" w:rsidRPr="00EC02CA">
        <w:t>a really pivotal time for a young person's life.</w:t>
      </w:r>
      <w:r w:rsidR="008041FB" w:rsidRPr="00EC02CA">
        <w:rPr>
          <w:rStyle w:val="FootnoteReference"/>
          <w:rFonts w:eastAsia="Times"/>
          <w:szCs w:val="20"/>
        </w:rPr>
        <w:footnoteReference w:id="885"/>
      </w:r>
    </w:p>
    <w:p w14:paraId="35287E1C" w14:textId="77777777" w:rsidR="00772C7F" w:rsidRPr="00EC02CA" w:rsidRDefault="00D765B7" w:rsidP="002F0007">
      <w:pPr>
        <w:pStyle w:val="NormalNumberedTextTLRI"/>
      </w:pPr>
      <w:r w:rsidRPr="00EC02CA">
        <w:t xml:space="preserve">Both the complainant and the accused’s lives are </w:t>
      </w:r>
      <w:r w:rsidR="007E593C" w:rsidRPr="00EC02CA">
        <w:t>‘on hold’ awaiting the outcome of the court process</w:t>
      </w:r>
      <w:r w:rsidR="004F207F" w:rsidRPr="00EC02CA">
        <w:t>, with the process being described as having ‘nothing therapeutic about it’.</w:t>
      </w:r>
      <w:r w:rsidR="004F207F" w:rsidRPr="00EC02CA">
        <w:rPr>
          <w:rStyle w:val="FootnoteReference"/>
        </w:rPr>
        <w:footnoteReference w:id="886"/>
      </w:r>
      <w:r w:rsidR="00772C7F" w:rsidRPr="00EC02CA">
        <w:t xml:space="preserve"> For a complainant, the delay was seen to exacerbate the sense that there are no consequences.</w:t>
      </w:r>
      <w:r w:rsidR="00772C7F" w:rsidRPr="00EC02CA">
        <w:rPr>
          <w:rStyle w:val="FootnoteReference"/>
        </w:rPr>
        <w:footnoteReference w:id="887"/>
      </w:r>
      <w:r w:rsidR="00772C7F" w:rsidRPr="00EC02CA">
        <w:t xml:space="preserve"> Delay</w:t>
      </w:r>
      <w:r w:rsidR="000D1270" w:rsidRPr="00EC02CA">
        <w:t xml:space="preserve"> also </w:t>
      </w:r>
      <w:r w:rsidR="00BB7FD3" w:rsidRPr="00EC02CA">
        <w:t xml:space="preserve">limits the ability of the </w:t>
      </w:r>
      <w:r w:rsidR="00FF3B1C" w:rsidRPr="00EC02CA">
        <w:t>young</w:t>
      </w:r>
      <w:r w:rsidR="00BB7FD3" w:rsidRPr="00EC02CA">
        <w:t xml:space="preserve"> </w:t>
      </w:r>
      <w:r w:rsidR="00DF1811" w:rsidRPr="00EC02CA">
        <w:t>p</w:t>
      </w:r>
      <w:r w:rsidRPr="00EC02CA">
        <w:t>erson</w:t>
      </w:r>
      <w:r w:rsidR="00BB7FD3" w:rsidRPr="00EC02CA">
        <w:t xml:space="preserve"> to receive </w:t>
      </w:r>
      <w:r w:rsidRPr="00EC02CA">
        <w:t>therapeutic interventions:</w:t>
      </w:r>
      <w:r w:rsidR="00772C7F" w:rsidRPr="00EC02CA">
        <w:t xml:space="preserve"> </w:t>
      </w:r>
    </w:p>
    <w:p w14:paraId="0FF22F4A" w14:textId="7EB01970" w:rsidR="00772C7F" w:rsidRPr="00EC02CA" w:rsidRDefault="00BB71B8" w:rsidP="00772C7F">
      <w:pPr>
        <w:pStyle w:val="Indentedquote"/>
      </w:pPr>
      <w:r w:rsidRPr="00EC02CA">
        <w:t>[W]</w:t>
      </w:r>
      <w:r w:rsidR="00772C7F" w:rsidRPr="00EC02CA">
        <w:t>hile somebody</w:t>
      </w:r>
      <w:r w:rsidR="003F0911" w:rsidRPr="00EC02CA">
        <w:t>’</w:t>
      </w:r>
      <w:r w:rsidR="00772C7F" w:rsidRPr="00EC02CA">
        <w:t>s going through the court system, until it</w:t>
      </w:r>
      <w:r w:rsidR="003F0911" w:rsidRPr="00EC02CA">
        <w:t>’</w:t>
      </w:r>
      <w:r w:rsidR="00772C7F" w:rsidRPr="00EC02CA">
        <w:t>s all finalised, we can</w:t>
      </w:r>
      <w:r w:rsidR="003F0911" w:rsidRPr="00EC02CA">
        <w:t>’</w:t>
      </w:r>
      <w:r w:rsidR="00772C7F" w:rsidRPr="00EC02CA">
        <w:t>t actually talk about or address the offending that</w:t>
      </w:r>
      <w:r w:rsidR="003F0911" w:rsidRPr="00EC02CA">
        <w:t>’</w:t>
      </w:r>
      <w:r w:rsidR="00772C7F" w:rsidRPr="00EC02CA">
        <w:t xml:space="preserve">s occurred. So for two or three years, there was basically no intervention for this young person who had sexually harmed because it was going through the court system. And then by the time his court stuff has finished and we were involved, he was over 18, </w:t>
      </w:r>
      <w:r w:rsidR="003F0911" w:rsidRPr="00EC02CA">
        <w:t xml:space="preserve">[and] </w:t>
      </w:r>
      <w:r w:rsidR="00772C7F" w:rsidRPr="00EC02CA">
        <w:t>couldn</w:t>
      </w:r>
      <w:r w:rsidR="003F0911" w:rsidRPr="00EC02CA">
        <w:t>’</w:t>
      </w:r>
      <w:r w:rsidR="00772C7F" w:rsidRPr="00EC02CA">
        <w:t xml:space="preserve">t be referred to the PAST program. And so there were very limited options on who we could refer him to and who could actually help address his behaviour. So I feel like </w:t>
      </w:r>
      <w:r w:rsidR="003F0911" w:rsidRPr="00EC02CA">
        <w:t>…</w:t>
      </w:r>
      <w:r w:rsidR="00772C7F" w:rsidRPr="00EC02CA">
        <w:t xml:space="preserve"> he has fallen through the gaps</w:t>
      </w:r>
      <w:r w:rsidR="004F331E" w:rsidRPr="00EC02CA">
        <w:t>.</w:t>
      </w:r>
      <w:r w:rsidR="004F331E" w:rsidRPr="00EC02CA">
        <w:rPr>
          <w:rStyle w:val="FootnoteReference"/>
        </w:rPr>
        <w:footnoteReference w:id="888"/>
      </w:r>
    </w:p>
    <w:p w14:paraId="5219CB97" w14:textId="76D9CBDC" w:rsidR="0029392E" w:rsidRPr="00EC02CA" w:rsidRDefault="00772C7F" w:rsidP="00A920EC">
      <w:pPr>
        <w:pStyle w:val="NormalNumberedTextTLRI"/>
      </w:pPr>
      <w:r w:rsidRPr="00EC02CA">
        <w:t>Further</w:t>
      </w:r>
      <w:r w:rsidR="00590996" w:rsidRPr="00EC02CA">
        <w:t>,</w:t>
      </w:r>
      <w:r w:rsidRPr="00EC02CA">
        <w:t xml:space="preserve"> i</w:t>
      </w:r>
      <w:r w:rsidR="00396FFF" w:rsidRPr="00EC02CA">
        <w:t>f a young person is sentenced in the Supreme Court when they are older than 18</w:t>
      </w:r>
      <w:r w:rsidR="003F0911" w:rsidRPr="00EC02CA">
        <w:t>,</w:t>
      </w:r>
      <w:r w:rsidR="00396FFF" w:rsidRPr="00EC02CA">
        <w:t xml:space="preserve"> for an offence committed when they were a young person, they will serve a</w:t>
      </w:r>
      <w:r w:rsidR="003F0911" w:rsidRPr="00EC02CA">
        <w:t>ny</w:t>
      </w:r>
      <w:r w:rsidR="00396FFF" w:rsidRPr="00EC02CA">
        <w:t xml:space="preserve"> sentence of imprisonment or detention in an adult prison</w:t>
      </w:r>
      <w:r w:rsidR="0029392E" w:rsidRPr="00EC02CA">
        <w:t>.</w:t>
      </w:r>
      <w:r w:rsidR="0029392E" w:rsidRPr="00EC02CA">
        <w:rPr>
          <w:rStyle w:val="FootnoteReference"/>
        </w:rPr>
        <w:footnoteReference w:id="889"/>
      </w:r>
    </w:p>
    <w:p w14:paraId="5E880F4C" w14:textId="032F9C95" w:rsidR="00A969DE" w:rsidRPr="00EC02CA" w:rsidRDefault="005005E1" w:rsidP="002F0007">
      <w:pPr>
        <w:pStyle w:val="NormalNumberedTextTLRI"/>
      </w:pPr>
      <w:r w:rsidRPr="00EC02CA">
        <w:t xml:space="preserve">Another issued raised in the interview </w:t>
      </w:r>
      <w:r w:rsidR="003F0911" w:rsidRPr="00EC02CA">
        <w:t>w</w:t>
      </w:r>
      <w:r w:rsidRPr="00EC02CA">
        <w:t xml:space="preserve">as the need for intermediaries for young people </w:t>
      </w:r>
      <w:r w:rsidR="003F0911" w:rsidRPr="00EC02CA">
        <w:t xml:space="preserve">who engage in </w:t>
      </w:r>
      <w:r w:rsidRPr="00EC02CA">
        <w:t>harmful sexual behaviour</w:t>
      </w:r>
      <w:r w:rsidR="003F0911" w:rsidRPr="00EC02CA">
        <w:t>,</w:t>
      </w:r>
      <w:r w:rsidRPr="00EC02CA">
        <w:t xml:space="preserve"> from the time of involvement with police through to </w:t>
      </w:r>
      <w:r w:rsidR="003F0911" w:rsidRPr="00EC02CA">
        <w:t xml:space="preserve">the </w:t>
      </w:r>
      <w:r w:rsidRPr="00EC02CA">
        <w:t xml:space="preserve">court processes. In </w:t>
      </w:r>
      <w:r w:rsidR="002754A4" w:rsidRPr="00EC02CA">
        <w:t>eight</w:t>
      </w:r>
      <w:r w:rsidRPr="00EC02CA">
        <w:t xml:space="preserve"> interviews, the view was expressed that intermediaries were </w:t>
      </w:r>
      <w:r w:rsidR="000158F8" w:rsidRPr="00EC02CA">
        <w:t xml:space="preserve">needed for both the defendant and the </w:t>
      </w:r>
      <w:r w:rsidR="00762F21" w:rsidRPr="00EC02CA">
        <w:t>complainant</w:t>
      </w:r>
      <w:r w:rsidR="00D372DD" w:rsidRPr="00EC02CA">
        <w:t>:</w:t>
      </w:r>
    </w:p>
    <w:p w14:paraId="3E40F2B9" w14:textId="5CF5870D" w:rsidR="00F830C7" w:rsidRPr="00EC02CA" w:rsidRDefault="00D2352A" w:rsidP="00A920EC">
      <w:pPr>
        <w:pStyle w:val="Indentedquote"/>
      </w:pPr>
      <w:r w:rsidRPr="00EC02CA">
        <w:t>[There is a] …</w:t>
      </w:r>
      <w:r w:rsidR="00F830C7" w:rsidRPr="00EC02CA">
        <w:t xml:space="preserve"> need </w:t>
      </w:r>
      <w:r w:rsidRPr="00EC02CA">
        <w:t>…</w:t>
      </w:r>
      <w:r w:rsidR="00F830C7" w:rsidRPr="00EC02CA">
        <w:t xml:space="preserve"> for the </w:t>
      </w:r>
      <w:r w:rsidR="000110B0" w:rsidRPr="00EC02CA">
        <w:t>W</w:t>
      </w:r>
      <w:r w:rsidR="00F830C7" w:rsidRPr="00EC02CA">
        <w:t xml:space="preserve">itness </w:t>
      </w:r>
      <w:r w:rsidR="000110B0" w:rsidRPr="00EC02CA">
        <w:t>I</w:t>
      </w:r>
      <w:r w:rsidR="00F830C7" w:rsidRPr="00EC02CA">
        <w:t xml:space="preserve">ntermediary </w:t>
      </w:r>
      <w:r w:rsidR="000110B0" w:rsidRPr="00EC02CA">
        <w:t xml:space="preserve">Scheme </w:t>
      </w:r>
      <w:r w:rsidR="00F830C7" w:rsidRPr="00EC02CA">
        <w:t xml:space="preserve">to be extended to support those children and young people as they navigate the experience of being charged, or at least giving a statement in relation to an allegation of offending against them. </w:t>
      </w:r>
    </w:p>
    <w:p w14:paraId="7A9B5BEA" w14:textId="08D83804" w:rsidR="00BC0CC4" w:rsidRPr="00EC02CA" w:rsidRDefault="00BC0CC4" w:rsidP="00A920EC">
      <w:pPr>
        <w:pStyle w:val="Indentedquote"/>
      </w:pPr>
      <w:r w:rsidRPr="00EC02CA">
        <w:t>They just, it</w:t>
      </w:r>
      <w:r w:rsidR="003F0911" w:rsidRPr="00EC02CA">
        <w:t>’</w:t>
      </w:r>
      <w:r w:rsidRPr="00EC02CA">
        <w:t xml:space="preserve">s not meaningful to them </w:t>
      </w:r>
      <w:r w:rsidR="00D2352A" w:rsidRPr="00EC02CA">
        <w:t xml:space="preserve">… </w:t>
      </w:r>
      <w:r w:rsidRPr="00EC02CA">
        <w:t>and so they</w:t>
      </w:r>
      <w:r w:rsidR="003F0911" w:rsidRPr="00EC02CA">
        <w:t>’</w:t>
      </w:r>
      <w:r w:rsidRPr="00EC02CA">
        <w:t xml:space="preserve">re just sitting there and </w:t>
      </w:r>
      <w:r w:rsidR="00D2352A" w:rsidRPr="00EC02CA">
        <w:t>…</w:t>
      </w:r>
      <w:r w:rsidRPr="00EC02CA">
        <w:t xml:space="preserve"> not understanding what</w:t>
      </w:r>
      <w:r w:rsidR="00D2352A" w:rsidRPr="00EC02CA">
        <w:t>’</w:t>
      </w:r>
      <w:r w:rsidRPr="00EC02CA">
        <w:t>s being said, often misunderstanding the words that are being used.</w:t>
      </w:r>
    </w:p>
    <w:p w14:paraId="2387A6F0" w14:textId="353B011D" w:rsidR="00C533CD" w:rsidRPr="00EC02CA" w:rsidRDefault="00BC0CC4" w:rsidP="00A920EC">
      <w:pPr>
        <w:pStyle w:val="Indentedquote"/>
      </w:pPr>
      <w:r w:rsidRPr="00EC02CA">
        <w:t>And I</w:t>
      </w:r>
      <w:r w:rsidR="00D2352A" w:rsidRPr="00EC02CA">
        <w:t>’</w:t>
      </w:r>
      <w:r w:rsidRPr="00EC02CA">
        <w:t xml:space="preserve">ve seen that over and over again in my career, particularly when the police are talking </w:t>
      </w:r>
      <w:r w:rsidR="00D2352A" w:rsidRPr="00EC02CA">
        <w:t>…</w:t>
      </w:r>
      <w:r w:rsidRPr="00EC02CA">
        <w:t xml:space="preserve"> </w:t>
      </w:r>
      <w:r w:rsidR="00462DB1" w:rsidRPr="00EC02CA">
        <w:t>o</w:t>
      </w:r>
      <w:r w:rsidRPr="00EC02CA">
        <w:t xml:space="preserve">ften these kids will nod as if they are understanding </w:t>
      </w:r>
      <w:r w:rsidR="00D2352A" w:rsidRPr="00EC02CA">
        <w:t xml:space="preserve">[but] </w:t>
      </w:r>
      <w:r w:rsidR="00846FC6" w:rsidRPr="00EC02CA">
        <w:rPr>
          <w:szCs w:val="20"/>
        </w:rPr>
        <w:t>t</w:t>
      </w:r>
      <w:r w:rsidR="00C533CD" w:rsidRPr="00EC02CA">
        <w:rPr>
          <w:szCs w:val="20"/>
        </w:rPr>
        <w:t>hey don</w:t>
      </w:r>
      <w:r w:rsidR="003F0911" w:rsidRPr="00EC02CA">
        <w:rPr>
          <w:szCs w:val="20"/>
        </w:rPr>
        <w:t>’</w:t>
      </w:r>
      <w:r w:rsidR="00C533CD" w:rsidRPr="00EC02CA">
        <w:rPr>
          <w:szCs w:val="20"/>
        </w:rPr>
        <w:t>t understand any of it.</w:t>
      </w:r>
      <w:r w:rsidR="00C11893" w:rsidRPr="00EC02CA">
        <w:rPr>
          <w:szCs w:val="20"/>
        </w:rPr>
        <w:t xml:space="preserve"> </w:t>
      </w:r>
      <w:r w:rsidR="00C533CD" w:rsidRPr="00EC02CA">
        <w:rPr>
          <w:szCs w:val="20"/>
        </w:rPr>
        <w:t xml:space="preserve">I have not observed one young person who at the time </w:t>
      </w:r>
      <w:r w:rsidR="00D2352A" w:rsidRPr="00EC02CA">
        <w:rPr>
          <w:szCs w:val="20"/>
        </w:rPr>
        <w:t xml:space="preserve">[they] </w:t>
      </w:r>
      <w:r w:rsidR="00C533CD" w:rsidRPr="00EC02CA">
        <w:rPr>
          <w:szCs w:val="20"/>
        </w:rPr>
        <w:t xml:space="preserve">were going through that </w:t>
      </w:r>
      <w:r w:rsidR="00D2352A" w:rsidRPr="00EC02CA">
        <w:rPr>
          <w:szCs w:val="20"/>
        </w:rPr>
        <w:t>…</w:t>
      </w:r>
      <w:r w:rsidR="00C533CD" w:rsidRPr="00EC02CA">
        <w:rPr>
          <w:szCs w:val="20"/>
        </w:rPr>
        <w:t xml:space="preserve"> present to me as somebody who understood what was happening around them</w:t>
      </w:r>
      <w:r w:rsidR="00462DB1" w:rsidRPr="00EC02CA">
        <w:rPr>
          <w:szCs w:val="20"/>
        </w:rPr>
        <w:t>,</w:t>
      </w:r>
      <w:r w:rsidR="00C533CD" w:rsidRPr="00EC02CA">
        <w:rPr>
          <w:szCs w:val="20"/>
        </w:rPr>
        <w:t xml:space="preserve"> and to them</w:t>
      </w:r>
      <w:r w:rsidR="00462DB1" w:rsidRPr="00EC02CA">
        <w:rPr>
          <w:szCs w:val="20"/>
        </w:rPr>
        <w:t>,</w:t>
      </w:r>
      <w:r w:rsidR="00C533CD" w:rsidRPr="00EC02CA">
        <w:rPr>
          <w:szCs w:val="20"/>
        </w:rPr>
        <w:t xml:space="preserve"> and for them. There was like a real disconnect.</w:t>
      </w:r>
      <w:r w:rsidR="00C11893" w:rsidRPr="00EC02CA">
        <w:rPr>
          <w:rStyle w:val="FootnoteReference"/>
          <w:rFonts w:eastAsia="Times"/>
          <w:szCs w:val="20"/>
        </w:rPr>
        <w:footnoteReference w:id="890"/>
      </w:r>
      <w:r w:rsidR="00C533CD" w:rsidRPr="00EC02CA">
        <w:rPr>
          <w:szCs w:val="20"/>
        </w:rPr>
        <w:t xml:space="preserve"> </w:t>
      </w:r>
    </w:p>
    <w:p w14:paraId="011FD278" w14:textId="2500E38E" w:rsidR="0014293B" w:rsidRPr="00EC02CA" w:rsidRDefault="00E764DC" w:rsidP="00A920EC">
      <w:pPr>
        <w:pStyle w:val="NormalNumberedTextTLRI"/>
      </w:pPr>
      <w:r w:rsidRPr="00EC02CA">
        <w:t>It was noted that there ha</w:t>
      </w:r>
      <w:r w:rsidR="003D29B6" w:rsidRPr="00EC02CA">
        <w:t>ve</w:t>
      </w:r>
      <w:r w:rsidRPr="00EC02CA">
        <w:t xml:space="preserve"> been instances</w:t>
      </w:r>
      <w:r w:rsidR="0080376F" w:rsidRPr="00EC02CA">
        <w:t xml:space="preserve"> where the </w:t>
      </w:r>
      <w:r w:rsidRPr="00EC02CA">
        <w:t>Supreme C</w:t>
      </w:r>
      <w:r w:rsidR="0080376F" w:rsidRPr="00EC02CA">
        <w:t xml:space="preserve">ourt has used </w:t>
      </w:r>
      <w:r w:rsidR="001F31B9" w:rsidRPr="00EC02CA">
        <w:t>its inherent</w:t>
      </w:r>
      <w:r w:rsidR="0080376F" w:rsidRPr="00EC02CA">
        <w:t xml:space="preserve"> jurisdiction to order the use of an intermediary for </w:t>
      </w:r>
      <w:r w:rsidR="003D29B6" w:rsidRPr="00EC02CA">
        <w:t xml:space="preserve">young persons </w:t>
      </w:r>
      <w:r w:rsidR="0080376F" w:rsidRPr="00EC02CA">
        <w:t>accused of serious sexual offence</w:t>
      </w:r>
      <w:r w:rsidR="003D29B6" w:rsidRPr="00EC02CA">
        <w:t>s</w:t>
      </w:r>
      <w:r w:rsidRPr="00EC02CA">
        <w:t xml:space="preserve">. </w:t>
      </w:r>
      <w:r w:rsidR="008359A4" w:rsidRPr="00EC02CA">
        <w:t>However</w:t>
      </w:r>
      <w:r w:rsidRPr="00EC02CA">
        <w:t xml:space="preserve">, there was support for </w:t>
      </w:r>
      <w:r w:rsidR="008359A4" w:rsidRPr="00EC02CA">
        <w:t xml:space="preserve">a more formal extension of the </w:t>
      </w:r>
      <w:r w:rsidR="000110B0" w:rsidRPr="00EC02CA">
        <w:t>W</w:t>
      </w:r>
      <w:r w:rsidR="008359A4" w:rsidRPr="00EC02CA">
        <w:t xml:space="preserve">itness </w:t>
      </w:r>
      <w:r w:rsidR="000110B0" w:rsidRPr="00EC02CA">
        <w:t>I</w:t>
      </w:r>
      <w:r w:rsidR="008359A4" w:rsidRPr="00EC02CA">
        <w:t xml:space="preserve">ntermediary </w:t>
      </w:r>
      <w:r w:rsidR="000110B0" w:rsidRPr="00EC02CA">
        <w:t>S</w:t>
      </w:r>
      <w:r w:rsidR="008359A4" w:rsidRPr="00EC02CA">
        <w:t>cheme, in line with the recommendations of the Commission of Inquiry.</w:t>
      </w:r>
      <w:r w:rsidR="008359A4" w:rsidRPr="00EC02CA">
        <w:rPr>
          <w:rStyle w:val="FootnoteReference"/>
        </w:rPr>
        <w:footnoteReference w:id="891"/>
      </w:r>
      <w:r w:rsidR="0080376F" w:rsidRPr="00EC02CA">
        <w:t xml:space="preserve"> </w:t>
      </w:r>
    </w:p>
    <w:p w14:paraId="496B9A10" w14:textId="29953AFF" w:rsidR="001430C5" w:rsidRPr="00EC02CA" w:rsidRDefault="00C7731C" w:rsidP="00593627">
      <w:pPr>
        <w:pStyle w:val="NumberedHeadingTLRI"/>
      </w:pPr>
      <w:bookmarkStart w:id="456" w:name="_Toc211849463"/>
      <w:bookmarkStart w:id="457" w:name="_Toc218157367"/>
      <w:r w:rsidRPr="00EC02CA">
        <w:t>The Commission of Inquiry and government response</w:t>
      </w:r>
      <w:bookmarkEnd w:id="456"/>
      <w:bookmarkEnd w:id="457"/>
    </w:p>
    <w:p w14:paraId="4B9358D5" w14:textId="559E5347" w:rsidR="000F6E29" w:rsidRPr="00EC02CA" w:rsidRDefault="009F73ED" w:rsidP="002F0007">
      <w:pPr>
        <w:pStyle w:val="NormalNumberedTextTLRI"/>
      </w:pPr>
      <w:r w:rsidRPr="00EC02CA">
        <w:t xml:space="preserve">The Commission of Inquiry made a number of </w:t>
      </w:r>
      <w:r w:rsidR="000F6E29" w:rsidRPr="00EC02CA">
        <w:t>recommendations</w:t>
      </w:r>
      <w:r w:rsidRPr="00EC02CA">
        <w:t xml:space="preserve"> about the </w:t>
      </w:r>
      <w:r w:rsidR="000F6E29" w:rsidRPr="00EC02CA">
        <w:t>operation</w:t>
      </w:r>
      <w:r w:rsidRPr="00EC02CA">
        <w:t xml:space="preserve"> of the courts</w:t>
      </w:r>
      <w:r w:rsidR="000F6E29" w:rsidRPr="00EC02CA">
        <w:t xml:space="preserve"> and the powers of court to divert young people who have been charged with an offence</w:t>
      </w:r>
      <w:r w:rsidR="00B2558A" w:rsidRPr="00EC02CA">
        <w:t>,</w:t>
      </w:r>
      <w:r w:rsidR="000F6E29" w:rsidRPr="00EC02CA">
        <w:t xml:space="preserve"> and who display harmful sexual behaviour.</w:t>
      </w:r>
      <w:r w:rsidR="00CC16E7" w:rsidRPr="00EC02CA">
        <w:t xml:space="preserve"> </w:t>
      </w:r>
      <w:r w:rsidR="00A13F08" w:rsidRPr="00EC02CA">
        <w:t>These included:</w:t>
      </w:r>
    </w:p>
    <w:p w14:paraId="3AE14EF8" w14:textId="5927E07D" w:rsidR="00A13F08" w:rsidRPr="00EC02CA" w:rsidRDefault="00780A56" w:rsidP="00A13F08">
      <w:pPr>
        <w:pStyle w:val="DotPointTLRI"/>
      </w:pPr>
      <w:r>
        <w:t>a</w:t>
      </w:r>
      <w:r w:rsidR="00A13F08" w:rsidRPr="00EC02CA">
        <w:t xml:space="preserve">mend the </w:t>
      </w:r>
      <w:r w:rsidR="006E4F39" w:rsidRPr="00EC02CA">
        <w:t xml:space="preserve">sentencing provision in the </w:t>
      </w:r>
      <w:r w:rsidR="006E4F39" w:rsidRPr="00EC02CA">
        <w:rPr>
          <w:i/>
          <w:iCs/>
        </w:rPr>
        <w:t xml:space="preserve">Youth Justice Act 1997 </w:t>
      </w:r>
      <w:r w:rsidR="006E4F39" w:rsidRPr="00EC02CA">
        <w:t>(Tas)</w:t>
      </w:r>
      <w:r w:rsidR="00CC16E7" w:rsidRPr="00EC02CA">
        <w:t xml:space="preserve"> </w:t>
      </w:r>
      <w:r w:rsidR="007D78A1" w:rsidRPr="00EC02CA">
        <w:t>to provide</w:t>
      </w:r>
      <w:r w:rsidR="00D77BAD" w:rsidRPr="00EC02CA">
        <w:t xml:space="preserve"> that </w:t>
      </w:r>
      <w:r w:rsidR="007D78A1" w:rsidRPr="00EC02CA">
        <w:t>rehabilitation is</w:t>
      </w:r>
      <w:r w:rsidR="00D77BAD" w:rsidRPr="00EC02CA">
        <w:t xml:space="preserve"> the primary purpose of sentencing a </w:t>
      </w:r>
      <w:r w:rsidR="007D78A1" w:rsidRPr="00EC02CA">
        <w:t>young</w:t>
      </w:r>
      <w:r w:rsidR="00D77BAD" w:rsidRPr="00EC02CA">
        <w:t xml:space="preserve"> person, and</w:t>
      </w:r>
      <w:r w:rsidR="00431D54" w:rsidRPr="00EC02CA">
        <w:t xml:space="preserve"> to provide for </w:t>
      </w:r>
      <w:r w:rsidR="0060747F" w:rsidRPr="00EC02CA">
        <w:t>‘</w:t>
      </w:r>
      <w:r w:rsidR="007010EF" w:rsidRPr="00EC02CA">
        <w:t>graduated</w:t>
      </w:r>
      <w:r w:rsidR="00431D54" w:rsidRPr="00EC02CA">
        <w:t>, trauma-</w:t>
      </w:r>
      <w:r w:rsidR="007010EF" w:rsidRPr="00EC02CA">
        <w:t>informed</w:t>
      </w:r>
      <w:r w:rsidR="00431D54" w:rsidRPr="00EC02CA">
        <w:t xml:space="preserve"> </w:t>
      </w:r>
      <w:r w:rsidR="007010EF" w:rsidRPr="00EC02CA">
        <w:t>sentencing</w:t>
      </w:r>
      <w:r w:rsidR="0060747F" w:rsidRPr="00EC02CA">
        <w:t>’</w:t>
      </w:r>
      <w:r w:rsidR="00C3340E" w:rsidRPr="00EC02CA">
        <w:rPr>
          <w:rStyle w:val="FootnoteReference"/>
        </w:rPr>
        <w:footnoteReference w:id="892"/>
      </w:r>
      <w:r w:rsidR="003432D4" w:rsidRPr="00EC02CA">
        <w:t xml:space="preserve"> </w:t>
      </w:r>
      <w:r w:rsidR="007D78A1" w:rsidRPr="00EC02CA">
        <w:t>(Recommendation 12.15a)</w:t>
      </w:r>
      <w:r>
        <w:t>;</w:t>
      </w:r>
    </w:p>
    <w:p w14:paraId="5742589B" w14:textId="10247CD3" w:rsidR="00CC16E7" w:rsidRPr="00EC02CA" w:rsidRDefault="00780A56" w:rsidP="00CC16E7">
      <w:pPr>
        <w:pStyle w:val="DotPointTLRI"/>
      </w:pPr>
      <w:r>
        <w:t>a</w:t>
      </w:r>
      <w:r w:rsidR="00CC16E7" w:rsidRPr="00EC02CA">
        <w:t>ssist and support the Magistrates Court to establish a new division of the Court to hear and determine both child protection matters and criminal charges against children and young people, which should be constituted by at least three dedicated full-time magistrates with specialist knowledge and skills relating to children and young people (</w:t>
      </w:r>
      <w:r w:rsidR="007D78A1" w:rsidRPr="00EC02CA">
        <w:t>Recommendation</w:t>
      </w:r>
      <w:r w:rsidR="00CC16E7" w:rsidRPr="00EC02CA">
        <w:t xml:space="preserve"> </w:t>
      </w:r>
      <w:r w:rsidR="008127B4" w:rsidRPr="00EC02CA">
        <w:t>12.15d)</w:t>
      </w:r>
      <w:r>
        <w:t>;</w:t>
      </w:r>
    </w:p>
    <w:p w14:paraId="4C47C231" w14:textId="0037D09F" w:rsidR="00DD3ACD" w:rsidRPr="00EC02CA" w:rsidRDefault="00780A56" w:rsidP="00DD3ACD">
      <w:pPr>
        <w:pStyle w:val="DotPointTLRI"/>
      </w:pPr>
      <w:r>
        <w:t>f</w:t>
      </w:r>
      <w:r w:rsidR="008127B4" w:rsidRPr="00EC02CA">
        <w:t>und the Magistrates and Supreme Courts to provide professional development for judicial officers hearing matters involving children and young people in the adult jurisdiction, in areas including child and adolescent development, trauma, child and adolescent mental health, cognitive and communication deficits, and Aboriginal cultural safety (</w:t>
      </w:r>
      <w:r w:rsidR="00DD3ACD" w:rsidRPr="00EC02CA">
        <w:t>Recommendation</w:t>
      </w:r>
      <w:r w:rsidR="008127B4" w:rsidRPr="00EC02CA">
        <w:t xml:space="preserve"> 12.15e)</w:t>
      </w:r>
      <w:r>
        <w:t>;</w:t>
      </w:r>
    </w:p>
    <w:p w14:paraId="77A5FA83" w14:textId="42D95539" w:rsidR="00922C37" w:rsidRPr="00EC02CA" w:rsidRDefault="00780A56" w:rsidP="00DD3ACD">
      <w:pPr>
        <w:pStyle w:val="DotPointTLRI"/>
      </w:pPr>
      <w:r>
        <w:t>e</w:t>
      </w:r>
      <w:r w:rsidR="00922C37" w:rsidRPr="00EC02CA">
        <w:t xml:space="preserve">ncourage the courts to </w:t>
      </w:r>
      <w:r w:rsidR="0028528F" w:rsidRPr="00EC02CA">
        <w:t>consider</w:t>
      </w:r>
      <w:r w:rsidR="00922C37" w:rsidRPr="00EC02CA">
        <w:t xml:space="preserve"> using their powers to direct young people </w:t>
      </w:r>
      <w:r w:rsidR="0028528F" w:rsidRPr="00EC02CA">
        <w:t>engaging</w:t>
      </w:r>
      <w:r w:rsidR="00922C37" w:rsidRPr="00EC02CA">
        <w:t xml:space="preserve"> in harmful </w:t>
      </w:r>
      <w:r w:rsidR="003F1ED5" w:rsidRPr="00EC02CA">
        <w:t xml:space="preserve">sexual </w:t>
      </w:r>
      <w:r w:rsidR="0028528F" w:rsidRPr="00EC02CA">
        <w:t>behaviours</w:t>
      </w:r>
      <w:r w:rsidR="003F1ED5" w:rsidRPr="00EC02CA">
        <w:t xml:space="preserve"> </w:t>
      </w:r>
      <w:r w:rsidR="0028528F" w:rsidRPr="00EC02CA">
        <w:t>w</w:t>
      </w:r>
      <w:r w:rsidR="003F1ED5" w:rsidRPr="00EC02CA">
        <w:t xml:space="preserve">ho are </w:t>
      </w:r>
      <w:r w:rsidR="0028528F" w:rsidRPr="00EC02CA">
        <w:t>charged</w:t>
      </w:r>
      <w:r w:rsidR="003F1ED5" w:rsidRPr="00EC02CA">
        <w:t xml:space="preserve"> with a criminal offence to </w:t>
      </w:r>
      <w:r w:rsidR="0028528F" w:rsidRPr="00EC02CA">
        <w:t>specialist</w:t>
      </w:r>
      <w:r w:rsidR="003F1ED5" w:rsidRPr="00EC02CA">
        <w:t xml:space="preserve"> </w:t>
      </w:r>
      <w:r w:rsidR="0028528F" w:rsidRPr="00EC02CA">
        <w:t>therapeutic</w:t>
      </w:r>
      <w:r w:rsidR="003F1ED5" w:rsidRPr="00EC02CA">
        <w:t xml:space="preserve"> services (Recommendation 16.19)</w:t>
      </w:r>
      <w:r>
        <w:t>;</w:t>
      </w:r>
    </w:p>
    <w:p w14:paraId="5D8B64BE" w14:textId="4C50FD66" w:rsidR="005A43AE" w:rsidRPr="00EC02CA" w:rsidRDefault="00780A56" w:rsidP="00DD3ACD">
      <w:pPr>
        <w:pStyle w:val="DotPointTLRI"/>
      </w:pPr>
      <w:r>
        <w:t>t</w:t>
      </w:r>
      <w:r w:rsidR="005A43AE" w:rsidRPr="00EC02CA">
        <w:t>he Magistrates Court be given the power to divert a young person who has engaged in harmful sexual behaviours from the criminal justice system by adjourning the criminal proceedings to enable the young person to take part in therapeutic treatment (Recommendation 21.9). They could then discharge the young person after completing the treatment</w:t>
      </w:r>
      <w:r>
        <w:t>;</w:t>
      </w:r>
      <w:r w:rsidR="00A76AE6" w:rsidRPr="00EC02CA">
        <w:rPr>
          <w:rStyle w:val="FootnoteReference"/>
        </w:rPr>
        <w:footnoteReference w:id="893"/>
      </w:r>
      <w:r>
        <w:t xml:space="preserve"> and</w:t>
      </w:r>
    </w:p>
    <w:p w14:paraId="0F5FBBA7" w14:textId="44B54620" w:rsidR="00045EF3" w:rsidRPr="00EC02CA" w:rsidRDefault="00780A56" w:rsidP="00DD3ACD">
      <w:pPr>
        <w:pStyle w:val="DotPointTLRI"/>
      </w:pPr>
      <w:r>
        <w:t>e</w:t>
      </w:r>
      <w:r w:rsidR="00045EF3" w:rsidRPr="00EC02CA">
        <w:t xml:space="preserve">xtend the </w:t>
      </w:r>
      <w:r w:rsidR="007B46A1" w:rsidRPr="00EC02CA">
        <w:t>Witness</w:t>
      </w:r>
      <w:r w:rsidR="00045EF3" w:rsidRPr="00EC02CA">
        <w:t xml:space="preserve"> </w:t>
      </w:r>
      <w:r w:rsidR="007B46A1" w:rsidRPr="00EC02CA">
        <w:t>Intermediary</w:t>
      </w:r>
      <w:r w:rsidR="00045EF3" w:rsidRPr="00EC02CA">
        <w:t xml:space="preserve"> Scheme to include children who are under </w:t>
      </w:r>
      <w:r w:rsidR="007B46A1" w:rsidRPr="00EC02CA">
        <w:t>investigation for</w:t>
      </w:r>
      <w:r w:rsidR="00E9438C" w:rsidRPr="00EC02CA">
        <w:t>, or who have been charged with</w:t>
      </w:r>
      <w:r w:rsidR="006D6A0D" w:rsidRPr="00EC02CA">
        <w:t>, sexual offences, and fund it to do so</w:t>
      </w:r>
      <w:r w:rsidR="00E74D3D" w:rsidRPr="00EC02CA">
        <w:t xml:space="preserve"> (</w:t>
      </w:r>
      <w:r w:rsidR="007B46A1" w:rsidRPr="00EC02CA">
        <w:t>Recommendation</w:t>
      </w:r>
      <w:r w:rsidR="00E74D3D" w:rsidRPr="00EC02CA">
        <w:t xml:space="preserve"> 16.10</w:t>
      </w:r>
      <w:r w:rsidR="00B2558A" w:rsidRPr="00EC02CA">
        <w:t>).</w:t>
      </w:r>
    </w:p>
    <w:p w14:paraId="355FD5DA" w14:textId="1895BA2C" w:rsidR="00DC0B05" w:rsidRPr="00EC02CA" w:rsidRDefault="0075029E" w:rsidP="002F0007">
      <w:pPr>
        <w:pStyle w:val="NormalNumberedTextTLRI"/>
      </w:pPr>
      <w:r w:rsidRPr="00EC02CA">
        <w:t>The</w:t>
      </w:r>
      <w:r w:rsidR="006863E6" w:rsidRPr="00EC02CA">
        <w:t>se recommendations have been accepted by</w:t>
      </w:r>
      <w:r w:rsidRPr="00EC02CA">
        <w:t xml:space="preserve"> </w:t>
      </w:r>
      <w:r w:rsidR="00B2558A" w:rsidRPr="00EC02CA">
        <w:t>the Tasmanian G</w:t>
      </w:r>
      <w:r w:rsidR="00A76AE6" w:rsidRPr="00EC02CA">
        <w:t>overnment</w:t>
      </w:r>
      <w:r w:rsidR="006863E6" w:rsidRPr="00EC02CA">
        <w:t>.</w:t>
      </w:r>
      <w:r w:rsidR="006863E6" w:rsidRPr="00EC02CA">
        <w:rPr>
          <w:rStyle w:val="FootnoteReference"/>
        </w:rPr>
        <w:footnoteReference w:id="894"/>
      </w:r>
      <w:r w:rsidR="00A76AE6" w:rsidRPr="00EC02CA">
        <w:t xml:space="preserve"> </w:t>
      </w:r>
    </w:p>
    <w:p w14:paraId="27B5B3F9" w14:textId="6863D315" w:rsidR="005A43AE" w:rsidRPr="00EC02CA" w:rsidRDefault="005A43AE" w:rsidP="005A43AE">
      <w:pPr>
        <w:pStyle w:val="NumberedHeadingTLRI"/>
      </w:pPr>
      <w:bookmarkStart w:id="458" w:name="_Toc211849464"/>
      <w:bookmarkStart w:id="459" w:name="_Ref218006615"/>
      <w:bookmarkStart w:id="460" w:name="_Ref218006621"/>
      <w:bookmarkStart w:id="461" w:name="_Toc218157368"/>
      <w:bookmarkStart w:id="462" w:name="_Ref218241751"/>
      <w:r w:rsidRPr="00EC02CA">
        <w:t>TLRI views and recommendations</w:t>
      </w:r>
      <w:bookmarkEnd w:id="458"/>
      <w:bookmarkEnd w:id="459"/>
      <w:bookmarkEnd w:id="460"/>
      <w:bookmarkEnd w:id="461"/>
      <w:bookmarkEnd w:id="462"/>
    </w:p>
    <w:p w14:paraId="501A212B" w14:textId="7ABEC7D9" w:rsidR="00BA6518" w:rsidRPr="00EC02CA" w:rsidRDefault="005D35F2" w:rsidP="002F0007">
      <w:pPr>
        <w:pStyle w:val="NormalNumberedTextTLRI"/>
      </w:pPr>
      <w:r w:rsidRPr="00EC02CA">
        <w:t xml:space="preserve">The TLRI notes that very few matters involving young people alleged to have committed sexual offences </w:t>
      </w:r>
      <w:r w:rsidR="00FD3476" w:rsidRPr="00EC02CA">
        <w:t xml:space="preserve">are </w:t>
      </w:r>
      <w:r w:rsidR="00BA6518" w:rsidRPr="00EC02CA">
        <w:t>finalised</w:t>
      </w:r>
      <w:r w:rsidRPr="00EC02CA">
        <w:t xml:space="preserve"> in </w:t>
      </w:r>
      <w:r w:rsidR="00BA6518" w:rsidRPr="00EC02CA">
        <w:t xml:space="preserve">Tasmanian courts. </w:t>
      </w:r>
      <w:r w:rsidR="008D5F2C" w:rsidRPr="00EC02CA">
        <w:t xml:space="preserve">In the </w:t>
      </w:r>
      <w:r w:rsidR="00FA435A" w:rsidRPr="00EC02CA">
        <w:t>interviews</w:t>
      </w:r>
      <w:r w:rsidR="008D5F2C" w:rsidRPr="00EC02CA">
        <w:t xml:space="preserve">, </w:t>
      </w:r>
      <w:r w:rsidR="00FA435A" w:rsidRPr="00EC02CA">
        <w:t>many participants had no knowledge of the role o</w:t>
      </w:r>
      <w:r w:rsidR="00FD3476" w:rsidRPr="00EC02CA">
        <w:t>f</w:t>
      </w:r>
      <w:r w:rsidR="00FA435A" w:rsidRPr="00EC02CA">
        <w:t xml:space="preserve"> the courts, and for those who made comments, there were </w:t>
      </w:r>
      <w:r w:rsidR="00C50BAC" w:rsidRPr="00EC02CA">
        <w:t>the two main issues raised</w:t>
      </w:r>
      <w:r w:rsidR="00EF2B84" w:rsidRPr="00EC02CA">
        <w:t xml:space="preserve">: (1) the delay inherent in the court process; </w:t>
      </w:r>
      <w:r w:rsidR="00FD3476" w:rsidRPr="00EC02CA">
        <w:t xml:space="preserve">and </w:t>
      </w:r>
      <w:r w:rsidR="00EF2B84" w:rsidRPr="00EC02CA">
        <w:t xml:space="preserve">(2) the need for witness intermediaries for young </w:t>
      </w:r>
      <w:r w:rsidR="003E5034" w:rsidRPr="00EC02CA">
        <w:t>defendants as well as other young witnesses.</w:t>
      </w:r>
    </w:p>
    <w:p w14:paraId="73109297" w14:textId="2EB6F195" w:rsidR="003E5034" w:rsidRPr="00EC02CA" w:rsidRDefault="003E5034" w:rsidP="00A920EC">
      <w:pPr>
        <w:pStyle w:val="TLRISubheading"/>
      </w:pPr>
      <w:bookmarkStart w:id="463" w:name="_Toc211849465"/>
      <w:bookmarkStart w:id="464" w:name="_Toc218157369"/>
      <w:r w:rsidRPr="00EC02CA">
        <w:t>Addressing delay</w:t>
      </w:r>
      <w:bookmarkEnd w:id="463"/>
      <w:bookmarkEnd w:id="464"/>
    </w:p>
    <w:p w14:paraId="15384D7C" w14:textId="1A056BE8" w:rsidR="00C921CA" w:rsidRPr="00EC02CA" w:rsidRDefault="005A3A32" w:rsidP="002F0007">
      <w:pPr>
        <w:pStyle w:val="NormalNumberedTextTLRI"/>
      </w:pPr>
      <w:r w:rsidRPr="00EC02CA">
        <w:t>Although delay was noted as a feature of matters heard in the Youth Court Division, in the interviews, participants discussed the considerable delays that arise in relation to prescribed offences heard in the Supreme Court. The TLRI’s analysis of sentencing comments found that</w:t>
      </w:r>
      <w:r w:rsidR="0035409C" w:rsidRPr="00EC02CA">
        <w:t>,</w:t>
      </w:r>
      <w:r w:rsidRPr="00EC02CA">
        <w:t xml:space="preserve"> for a majority of the people sentenced in the Supreme Court for sexual offences committed when they were a ‘youth’, the </w:t>
      </w:r>
      <w:r w:rsidR="00A923DA" w:rsidRPr="00EC02CA">
        <w:t>person</w:t>
      </w:r>
      <w:r w:rsidRPr="00EC02CA">
        <w:t xml:space="preserve"> was </w:t>
      </w:r>
      <w:r w:rsidR="00A923DA" w:rsidRPr="00EC02CA">
        <w:t>sentenced</w:t>
      </w:r>
      <w:r w:rsidRPr="00EC02CA">
        <w:t xml:space="preserve"> when they were an adult (that is, </w:t>
      </w:r>
      <w:r w:rsidR="0035409C" w:rsidRPr="00EC02CA">
        <w:t xml:space="preserve">aged </w:t>
      </w:r>
      <w:r w:rsidR="00A923DA" w:rsidRPr="00EC02CA">
        <w:t xml:space="preserve">18 or older). </w:t>
      </w:r>
      <w:r w:rsidRPr="00EC02CA">
        <w:t>Sometimes</w:t>
      </w:r>
      <w:r w:rsidR="00A923DA" w:rsidRPr="00EC02CA">
        <w:t xml:space="preserve">, there was </w:t>
      </w:r>
      <w:r w:rsidR="0035409C" w:rsidRPr="00EC02CA">
        <w:t xml:space="preserve">a </w:t>
      </w:r>
      <w:r w:rsidR="00A923DA" w:rsidRPr="00EC02CA">
        <w:t>delay of many years as</w:t>
      </w:r>
      <w:r w:rsidRPr="00EC02CA">
        <w:t xml:space="preserve"> a result of </w:t>
      </w:r>
      <w:r w:rsidR="0035409C" w:rsidRPr="00EC02CA">
        <w:t xml:space="preserve">a </w:t>
      </w:r>
      <w:r w:rsidRPr="00EC02CA">
        <w:t xml:space="preserve">delay in reporting by the </w:t>
      </w:r>
      <w:r w:rsidR="00886B70" w:rsidRPr="00EC02CA">
        <w:t>victim-survivor</w:t>
      </w:r>
      <w:r w:rsidR="00A923DA" w:rsidRPr="00EC02CA">
        <w:t>. However,</w:t>
      </w:r>
      <w:r w:rsidRPr="00EC02CA">
        <w:t xml:space="preserve"> in many cases, </w:t>
      </w:r>
      <w:r w:rsidR="00A923DA" w:rsidRPr="00EC02CA">
        <w:t>the delay was a result of</w:t>
      </w:r>
      <w:r w:rsidRPr="00EC02CA">
        <w:t xml:space="preserve"> the criminal </w:t>
      </w:r>
      <w:r w:rsidR="00A923DA" w:rsidRPr="00EC02CA">
        <w:t>process itself</w:t>
      </w:r>
      <w:r w:rsidRPr="00EC02CA">
        <w:t xml:space="preserve">. </w:t>
      </w:r>
      <w:r w:rsidR="00087528" w:rsidRPr="00EC02CA">
        <w:t xml:space="preserve">This is contrary to </w:t>
      </w:r>
      <w:r w:rsidR="00A4525B" w:rsidRPr="00EC02CA">
        <w:t>an</w:t>
      </w:r>
      <w:r w:rsidR="00087528" w:rsidRPr="00EC02CA">
        <w:t xml:space="preserve"> aim of the youth justice system, to provide for the prompt resolution of criminal charges</w:t>
      </w:r>
      <w:r w:rsidR="0035409C" w:rsidRPr="00EC02CA">
        <w:t>.</w:t>
      </w:r>
      <w:r w:rsidR="00913707" w:rsidRPr="00EC02CA">
        <w:t xml:space="preserve"> </w:t>
      </w:r>
      <w:r w:rsidR="0035409C" w:rsidRPr="00EC02CA">
        <w:t xml:space="preserve">Delay </w:t>
      </w:r>
      <w:r w:rsidR="0053217B" w:rsidRPr="00EC02CA">
        <w:t xml:space="preserve">tends to </w:t>
      </w:r>
      <w:r w:rsidR="00913707" w:rsidRPr="00EC02CA">
        <w:t>undermine the</w:t>
      </w:r>
      <w:r w:rsidR="0053217B" w:rsidRPr="00EC02CA">
        <w:t xml:space="preserve"> </w:t>
      </w:r>
      <w:r w:rsidR="00BF2336" w:rsidRPr="00EC02CA">
        <w:t>objectives</w:t>
      </w:r>
      <w:r w:rsidR="0053217B" w:rsidRPr="00EC02CA">
        <w:t xml:space="preserve"> and </w:t>
      </w:r>
      <w:r w:rsidR="00BF2336" w:rsidRPr="00EC02CA">
        <w:t>principles</w:t>
      </w:r>
      <w:r w:rsidR="0053217B" w:rsidRPr="00EC02CA">
        <w:t xml:space="preserve"> of the </w:t>
      </w:r>
      <w:r w:rsidR="00BF2336" w:rsidRPr="00EC02CA">
        <w:rPr>
          <w:i/>
        </w:rPr>
        <w:t>Youth Justice Act 1997</w:t>
      </w:r>
      <w:r w:rsidR="00BF2336" w:rsidRPr="00EC02CA">
        <w:t xml:space="preserve"> (Tas)</w:t>
      </w:r>
      <w:r w:rsidR="00913707" w:rsidRPr="00EC02CA">
        <w:t xml:space="preserve"> </w:t>
      </w:r>
      <w:r w:rsidR="00BF2336" w:rsidRPr="00EC02CA">
        <w:t>by separating the legal response from the offending behaviour</w:t>
      </w:r>
      <w:r w:rsidR="007E0C77" w:rsidRPr="00EC02CA">
        <w:t xml:space="preserve"> (see [</w:t>
      </w:r>
      <w:r w:rsidR="001A5EEE" w:rsidRPr="00EC02CA">
        <w:fldChar w:fldCharType="begin"/>
      </w:r>
      <w:r w:rsidR="001A5EEE" w:rsidRPr="00EC02CA">
        <w:instrText xml:space="preserve"> REF _Ref218242031 \r \h </w:instrText>
      </w:r>
      <w:r w:rsidR="001A5EEE" w:rsidRPr="00EC02CA">
        <w:fldChar w:fldCharType="separate"/>
      </w:r>
      <w:r w:rsidR="007D7830">
        <w:t>5.2.9</w:t>
      </w:r>
      <w:r w:rsidR="001A5EEE" w:rsidRPr="00EC02CA">
        <w:fldChar w:fldCharType="end"/>
      </w:r>
      <w:r w:rsidR="00C921CA" w:rsidRPr="00EC02CA">
        <w:t>])</w:t>
      </w:r>
      <w:r w:rsidR="00087528" w:rsidRPr="00EC02CA">
        <w:t xml:space="preserve">. </w:t>
      </w:r>
    </w:p>
    <w:p w14:paraId="7BDAF711" w14:textId="45AA28E7" w:rsidR="005A3A32" w:rsidRPr="00EC02CA" w:rsidRDefault="00087528" w:rsidP="002F0007">
      <w:pPr>
        <w:pStyle w:val="NormalNumberedTextTLRI"/>
      </w:pPr>
      <w:r w:rsidRPr="00EC02CA">
        <w:t>Delay</w:t>
      </w:r>
      <w:r w:rsidR="005A3A32" w:rsidRPr="00EC02CA">
        <w:t xml:space="preserve"> has significant consequences for the alleged offender and</w:t>
      </w:r>
      <w:r w:rsidR="0035409C" w:rsidRPr="00EC02CA">
        <w:t xml:space="preserve"> for</w:t>
      </w:r>
      <w:r w:rsidR="005A3A32" w:rsidRPr="00EC02CA">
        <w:t xml:space="preserve"> the </w:t>
      </w:r>
      <w:r w:rsidR="00886B70" w:rsidRPr="00EC02CA">
        <w:t>victim-survivor</w:t>
      </w:r>
      <w:r w:rsidRPr="00EC02CA">
        <w:t>. It also adds</w:t>
      </w:r>
      <w:r w:rsidR="005A3A32" w:rsidRPr="00EC02CA">
        <w:t xml:space="preserve"> to the sentencing complexity for the Supreme </w:t>
      </w:r>
      <w:r w:rsidRPr="00EC02CA">
        <w:t>Court.</w:t>
      </w:r>
      <w:r w:rsidR="005A3A32" w:rsidRPr="00EC02CA">
        <w:t xml:space="preserve"> Addressing delay in the criminal process is beyond the scope of this Research Paper, </w:t>
      </w:r>
      <w:r w:rsidR="00994FB0" w:rsidRPr="00EC02CA">
        <w:t xml:space="preserve">and the TLRI </w:t>
      </w:r>
      <w:r w:rsidR="00EE3A98" w:rsidRPr="00EC02CA">
        <w:t xml:space="preserve">acknowledges that resolving issues of delay are </w:t>
      </w:r>
      <w:r w:rsidR="00365C1B" w:rsidRPr="00EC02CA">
        <w:t>complex</w:t>
      </w:r>
      <w:r w:rsidR="00EE3A98" w:rsidRPr="00EC02CA">
        <w:t xml:space="preserve"> and </w:t>
      </w:r>
      <w:r w:rsidR="006F1C87" w:rsidRPr="00EC02CA">
        <w:t>challenging.</w:t>
      </w:r>
      <w:bookmarkStart w:id="465" w:name="_Ref218016401"/>
      <w:r w:rsidR="00377390" w:rsidRPr="00EC02CA">
        <w:rPr>
          <w:rStyle w:val="FootnoteReference"/>
        </w:rPr>
        <w:footnoteReference w:id="895"/>
      </w:r>
      <w:bookmarkEnd w:id="465"/>
      <w:r w:rsidR="006F1C87" w:rsidRPr="00EC02CA">
        <w:t xml:space="preserve"> However,</w:t>
      </w:r>
      <w:r w:rsidR="005A3A32" w:rsidRPr="00EC02CA">
        <w:t xml:space="preserve"> </w:t>
      </w:r>
      <w:r w:rsidR="00365C1B" w:rsidRPr="00EC02CA">
        <w:t>the TLRI</w:t>
      </w:r>
      <w:r w:rsidR="006F1C87" w:rsidRPr="00EC02CA">
        <w:t xml:space="preserve"> </w:t>
      </w:r>
      <w:r w:rsidR="005A3A32" w:rsidRPr="00EC02CA">
        <w:t xml:space="preserve">does highlight the need to consider </w:t>
      </w:r>
      <w:r w:rsidRPr="00EC02CA">
        <w:t xml:space="preserve">how </w:t>
      </w:r>
      <w:r w:rsidR="005A3A32" w:rsidRPr="00EC02CA">
        <w:t xml:space="preserve">reforms </w:t>
      </w:r>
      <w:r w:rsidRPr="00EC02CA">
        <w:t>could be made t</w:t>
      </w:r>
      <w:r w:rsidR="005A3A32" w:rsidRPr="00EC02CA">
        <w:t>o the criminal procedure in the Supreme Court to fast-track</w:t>
      </w:r>
      <w:r w:rsidR="0035409C" w:rsidRPr="00EC02CA">
        <w:t>,</w:t>
      </w:r>
      <w:r w:rsidR="005A3A32" w:rsidRPr="00EC02CA">
        <w:t xml:space="preserve"> so far as possible, matters involving young offenders.</w:t>
      </w:r>
      <w:r w:rsidR="001307B9" w:rsidRPr="00EC02CA">
        <w:t xml:space="preserve"> </w:t>
      </w:r>
      <w:r w:rsidR="002E0E23" w:rsidRPr="00EC02CA">
        <w:t xml:space="preserve">This concern </w:t>
      </w:r>
      <w:r w:rsidR="004616E3" w:rsidRPr="00EC02CA">
        <w:t>ha</w:t>
      </w:r>
      <w:r w:rsidR="002E0E23" w:rsidRPr="00EC02CA">
        <w:t xml:space="preserve">s </w:t>
      </w:r>
      <w:r w:rsidR="004616E3" w:rsidRPr="00EC02CA">
        <w:t xml:space="preserve">been </w:t>
      </w:r>
      <w:r w:rsidR="00661E44" w:rsidRPr="00EC02CA">
        <w:t xml:space="preserve">similarly </w:t>
      </w:r>
      <w:r w:rsidR="004616E3" w:rsidRPr="00EC02CA">
        <w:t>recognised</w:t>
      </w:r>
      <w:r w:rsidR="002E0E23" w:rsidRPr="00EC02CA">
        <w:t xml:space="preserve"> by the </w:t>
      </w:r>
      <w:r w:rsidR="004616E3" w:rsidRPr="00EC02CA">
        <w:t>Supreme</w:t>
      </w:r>
      <w:r w:rsidR="002E0E23" w:rsidRPr="00EC02CA">
        <w:t xml:space="preserve"> Court.</w:t>
      </w:r>
      <w:r w:rsidR="002E0E23" w:rsidRPr="00EC02CA">
        <w:rPr>
          <w:rStyle w:val="FootnoteReference"/>
        </w:rPr>
        <w:footnoteReference w:id="896"/>
      </w:r>
      <w:r w:rsidR="00D70CB2" w:rsidRPr="00EC02CA">
        <w:t xml:space="preserve"> </w:t>
      </w:r>
      <w:r w:rsidR="001307B9" w:rsidRPr="00EC02CA">
        <w:t>I</w:t>
      </w:r>
      <w:r w:rsidR="00A02E7D" w:rsidRPr="00EC02CA">
        <w:t>n this regard,</w:t>
      </w:r>
      <w:r w:rsidR="00584B63" w:rsidRPr="00EC02CA">
        <w:t xml:space="preserve"> the TLRI</w:t>
      </w:r>
      <w:r w:rsidR="00A02E7D" w:rsidRPr="00EC02CA">
        <w:t xml:space="preserve"> </w:t>
      </w:r>
      <w:r w:rsidR="005E2B42" w:rsidRPr="00EC02CA">
        <w:t>notes that the Supr</w:t>
      </w:r>
      <w:r w:rsidR="008A00D6" w:rsidRPr="00EC02CA">
        <w:t>e</w:t>
      </w:r>
      <w:r w:rsidR="005E2B42" w:rsidRPr="00EC02CA">
        <w:t xml:space="preserve">me Court is already responding to </w:t>
      </w:r>
      <w:r w:rsidR="009D44CD" w:rsidRPr="00EC02CA">
        <w:t>concerns about de</w:t>
      </w:r>
      <w:r w:rsidR="008A00D6" w:rsidRPr="00EC02CA">
        <w:t>la</w:t>
      </w:r>
      <w:r w:rsidR="009D44CD" w:rsidRPr="00EC02CA">
        <w:t xml:space="preserve">y </w:t>
      </w:r>
      <w:r w:rsidR="00661E44" w:rsidRPr="00EC02CA">
        <w:t xml:space="preserve">in cases </w:t>
      </w:r>
      <w:r w:rsidR="008A00D6" w:rsidRPr="00EC02CA">
        <w:t>involving</w:t>
      </w:r>
      <w:r w:rsidR="009D44CD" w:rsidRPr="00EC02CA">
        <w:t xml:space="preserve"> young complainants</w:t>
      </w:r>
      <w:r w:rsidR="004538B2" w:rsidRPr="00EC02CA">
        <w:t xml:space="preserve">. In </w:t>
      </w:r>
      <w:r w:rsidR="00616CE0" w:rsidRPr="00EC02CA">
        <w:t xml:space="preserve">2019, the </w:t>
      </w:r>
      <w:r w:rsidR="00F25FE1" w:rsidRPr="00EC02CA">
        <w:t>Supreme</w:t>
      </w:r>
      <w:r w:rsidR="00616CE0" w:rsidRPr="00EC02CA">
        <w:t xml:space="preserve"> Court </w:t>
      </w:r>
      <w:r w:rsidR="00F25FE1" w:rsidRPr="00EC02CA">
        <w:t>introduced</w:t>
      </w:r>
      <w:r w:rsidR="00616CE0" w:rsidRPr="00EC02CA">
        <w:t xml:space="preserve"> a case management pilot for sexual offence cases with </w:t>
      </w:r>
      <w:r w:rsidR="00F25FE1" w:rsidRPr="00EC02CA">
        <w:t>child complainants</w:t>
      </w:r>
      <w:r w:rsidR="001C3F9D" w:rsidRPr="00EC02CA">
        <w:t>,</w:t>
      </w:r>
      <w:r w:rsidR="00F25FE1" w:rsidRPr="00EC02CA">
        <w:t xml:space="preserve"> </w:t>
      </w:r>
      <w:r w:rsidR="005C179A" w:rsidRPr="00EC02CA">
        <w:t>with</w:t>
      </w:r>
      <w:r w:rsidR="001A44CE" w:rsidRPr="00EC02CA">
        <w:t xml:space="preserve"> </w:t>
      </w:r>
      <w:r w:rsidR="00661E44" w:rsidRPr="00EC02CA">
        <w:t>the</w:t>
      </w:r>
      <w:r w:rsidR="001307B9" w:rsidRPr="00EC02CA">
        <w:t xml:space="preserve"> </w:t>
      </w:r>
      <w:r w:rsidR="003D6C6E" w:rsidRPr="00EC02CA">
        <w:t>Supreme</w:t>
      </w:r>
      <w:r w:rsidR="001307B9" w:rsidRPr="00EC02CA">
        <w:t xml:space="preserve"> Court Practice </w:t>
      </w:r>
      <w:r w:rsidR="003D6C6E" w:rsidRPr="00EC02CA">
        <w:t>Direction</w:t>
      </w:r>
      <w:r w:rsidR="001307B9" w:rsidRPr="00EC02CA">
        <w:t xml:space="preserve"> </w:t>
      </w:r>
      <w:r w:rsidR="00661E44" w:rsidRPr="00EC02CA">
        <w:t xml:space="preserve">No 1 of 2025 </w:t>
      </w:r>
      <w:r w:rsidR="001A44CE" w:rsidRPr="00EC02CA">
        <w:t xml:space="preserve">(dated 7 July 2025) </w:t>
      </w:r>
      <w:r w:rsidR="001A38C4" w:rsidRPr="00EC02CA">
        <w:t>formalising</w:t>
      </w:r>
      <w:r w:rsidR="00EA1300" w:rsidRPr="00EC02CA">
        <w:t xml:space="preserve"> this </w:t>
      </w:r>
      <w:r w:rsidR="001A38C4" w:rsidRPr="00EC02CA">
        <w:t>approach</w:t>
      </w:r>
      <w:r w:rsidR="00EA1300" w:rsidRPr="00EC02CA">
        <w:t>.</w:t>
      </w:r>
      <w:r w:rsidR="00EA1300" w:rsidRPr="00EC02CA">
        <w:rPr>
          <w:rStyle w:val="FootnoteReference"/>
        </w:rPr>
        <w:footnoteReference w:id="897"/>
      </w:r>
      <w:r w:rsidR="00EA1300" w:rsidRPr="00EC02CA">
        <w:t xml:space="preserve"> Th</w:t>
      </w:r>
      <w:r w:rsidR="00661E44" w:rsidRPr="00EC02CA">
        <w:t>is</w:t>
      </w:r>
      <w:r w:rsidR="00EA1300" w:rsidRPr="00EC02CA">
        <w:t xml:space="preserve"> Practice Direction </w:t>
      </w:r>
      <w:r w:rsidR="001307B9" w:rsidRPr="00EC02CA">
        <w:t>pro</w:t>
      </w:r>
      <w:r w:rsidR="001C0C75" w:rsidRPr="00EC02CA">
        <w:t>vides</w:t>
      </w:r>
      <w:r w:rsidR="00D90001" w:rsidRPr="00EC02CA">
        <w:t xml:space="preserve"> specifically</w:t>
      </w:r>
      <w:r w:rsidR="001C0C75" w:rsidRPr="00EC02CA">
        <w:t xml:space="preserve"> for case manag</w:t>
      </w:r>
      <w:r w:rsidR="003D6C6E" w:rsidRPr="00EC02CA">
        <w:t xml:space="preserve">ement </w:t>
      </w:r>
      <w:r w:rsidR="00661E44" w:rsidRPr="00EC02CA">
        <w:t xml:space="preserve">of </w:t>
      </w:r>
      <w:r w:rsidR="003E1A35" w:rsidRPr="00EC02CA">
        <w:t>cases involving child complainants in sexual offence cases</w:t>
      </w:r>
      <w:r w:rsidR="00D246B9" w:rsidRPr="00EC02CA">
        <w:t xml:space="preserve"> (</w:t>
      </w:r>
      <w:r w:rsidR="00661E44" w:rsidRPr="00EC02CA">
        <w:t xml:space="preserve">complainants aged </w:t>
      </w:r>
      <w:r w:rsidR="00D246B9" w:rsidRPr="00EC02CA">
        <w:t>under 18 at the date of the accused’s first appearance in the Supreme Court)</w:t>
      </w:r>
      <w:r w:rsidR="003E1A35" w:rsidRPr="00EC02CA">
        <w:t xml:space="preserve">, with the objective of </w:t>
      </w:r>
      <w:r w:rsidR="00895D7A" w:rsidRPr="00EC02CA">
        <w:t xml:space="preserve">having the child complainant give their evidence as soon as practicable after the matter is first listed in the </w:t>
      </w:r>
      <w:r w:rsidR="00B12986" w:rsidRPr="00EC02CA">
        <w:t>Supreme</w:t>
      </w:r>
      <w:r w:rsidR="00895D7A" w:rsidRPr="00EC02CA">
        <w:t xml:space="preserve"> Court. It is also noted that </w:t>
      </w:r>
      <w:r w:rsidR="00B12986" w:rsidRPr="00EC02CA">
        <w:t>the judge will impose timetables to reduce delays</w:t>
      </w:r>
      <w:r w:rsidR="00661E44" w:rsidRPr="00EC02CA">
        <w:t>,</w:t>
      </w:r>
      <w:r w:rsidR="00B12986" w:rsidRPr="00EC02CA">
        <w:t xml:space="preserve"> in directions</w:t>
      </w:r>
      <w:r w:rsidR="00895D7A" w:rsidRPr="00EC02CA">
        <w:t xml:space="preserve"> hearings</w:t>
      </w:r>
      <w:r w:rsidR="00B12986" w:rsidRPr="00EC02CA">
        <w:t>.</w:t>
      </w:r>
      <w:r w:rsidR="00B12986" w:rsidRPr="00EC02CA">
        <w:rPr>
          <w:rStyle w:val="FootnoteReference"/>
        </w:rPr>
        <w:footnoteReference w:id="898"/>
      </w:r>
      <w:r w:rsidR="00661E44" w:rsidRPr="00EC02CA">
        <w:t xml:space="preserve"> </w:t>
      </w:r>
      <w:r w:rsidR="00757759" w:rsidRPr="00EC02CA">
        <w:t>The TLRI</w:t>
      </w:r>
      <w:r w:rsidR="00EE73BB" w:rsidRPr="00EC02CA">
        <w:t xml:space="preserve">’s view is that </w:t>
      </w:r>
      <w:r w:rsidR="00D573EF" w:rsidRPr="00EC02CA">
        <w:t>consideration</w:t>
      </w:r>
      <w:r w:rsidR="00EE73BB" w:rsidRPr="00EC02CA">
        <w:t xml:space="preserve"> </w:t>
      </w:r>
      <w:r w:rsidR="00F406DA" w:rsidRPr="00EC02CA">
        <w:t xml:space="preserve">could </w:t>
      </w:r>
      <w:r w:rsidR="00EE73BB" w:rsidRPr="00EC02CA">
        <w:t>be given to extending the</w:t>
      </w:r>
      <w:r w:rsidR="00661E44" w:rsidRPr="00EC02CA">
        <w:t xml:space="preserve"> approach described in this</w:t>
      </w:r>
      <w:r w:rsidR="00EE73BB" w:rsidRPr="00EC02CA">
        <w:t xml:space="preserve"> </w:t>
      </w:r>
      <w:r w:rsidR="00D573EF" w:rsidRPr="00EC02CA">
        <w:t>Practice</w:t>
      </w:r>
      <w:r w:rsidR="00EE73BB" w:rsidRPr="00EC02CA">
        <w:t xml:space="preserve"> </w:t>
      </w:r>
      <w:r w:rsidR="0001418F" w:rsidRPr="00EC02CA">
        <w:t>Direction</w:t>
      </w:r>
      <w:r w:rsidR="00EE73BB" w:rsidRPr="00EC02CA">
        <w:t xml:space="preserve"> to include </w:t>
      </w:r>
      <w:r w:rsidR="00D573EF" w:rsidRPr="00EC02CA">
        <w:t xml:space="preserve">sexual offence </w:t>
      </w:r>
      <w:r w:rsidR="0001418F" w:rsidRPr="00EC02CA">
        <w:t>cases where the accused is a you</w:t>
      </w:r>
      <w:r w:rsidR="00661E44" w:rsidRPr="00EC02CA">
        <w:t>ng person</w:t>
      </w:r>
      <w:r w:rsidR="0001418F" w:rsidRPr="00EC02CA">
        <w:t xml:space="preserve">. Further, the </w:t>
      </w:r>
      <w:r w:rsidR="00757759" w:rsidRPr="00EC02CA">
        <w:t xml:space="preserve">effectiveness of case management as a way of reducing delays </w:t>
      </w:r>
      <w:r w:rsidR="000532E3" w:rsidRPr="00EC02CA">
        <w:t>should be monitored.</w:t>
      </w:r>
    </w:p>
    <w:p w14:paraId="7CF4ED0A" w14:textId="4485FCA0" w:rsidR="001B2BFD" w:rsidRPr="00EC02CA" w:rsidRDefault="001B2BFD" w:rsidP="002F0007">
      <w:pPr>
        <w:pStyle w:val="NormalNumberedTextTLRI"/>
      </w:pPr>
      <w:r w:rsidRPr="00EC02CA">
        <w:t xml:space="preserve">In addition, as noted in the interviews, a greater use of diversion would </w:t>
      </w:r>
      <w:r w:rsidR="0082786F" w:rsidRPr="00EC02CA">
        <w:t>decrease</w:t>
      </w:r>
      <w:r w:rsidR="00A03C73" w:rsidRPr="00EC02CA">
        <w:t xml:space="preserve"> the demand on the court system, and it is TLRI’s view that this highlights the need</w:t>
      </w:r>
      <w:r w:rsidRPr="00EC02CA">
        <w:t xml:space="preserve"> to carefully consider the increased use of diversion for young people</w:t>
      </w:r>
      <w:r w:rsidR="00A03C73" w:rsidRPr="00EC02CA">
        <w:t xml:space="preserve"> </w:t>
      </w:r>
      <w:r w:rsidR="00A7159E" w:rsidRPr="00EC02CA">
        <w:t xml:space="preserve">– both </w:t>
      </w:r>
      <w:r w:rsidR="00A03C73" w:rsidRPr="00EC02CA">
        <w:t>pre-plea and post</w:t>
      </w:r>
      <w:r w:rsidR="00A7159E" w:rsidRPr="00EC02CA">
        <w:t>-</w:t>
      </w:r>
      <w:r w:rsidR="00A03C73" w:rsidRPr="00EC02CA">
        <w:t>plea</w:t>
      </w:r>
      <w:r w:rsidR="00A7159E" w:rsidRPr="00EC02CA">
        <w:t xml:space="preserve"> –</w:t>
      </w:r>
      <w:r w:rsidRPr="00EC02CA">
        <w:t xml:space="preserve"> where appropriate</w:t>
      </w:r>
      <w:r w:rsidR="00A03C73" w:rsidRPr="00EC02CA">
        <w:t>.</w:t>
      </w:r>
    </w:p>
    <w:p w14:paraId="0B0C8F1D" w14:textId="47CFC78E" w:rsidR="005A3A32" w:rsidRPr="00EC02CA" w:rsidRDefault="00BA1D18" w:rsidP="00A920EC">
      <w:pPr>
        <w:pStyle w:val="TLRISubheading"/>
      </w:pPr>
      <w:bookmarkStart w:id="466" w:name="_Toc211849466"/>
      <w:bookmarkStart w:id="467" w:name="_Toc218157370"/>
      <w:r w:rsidRPr="00EC02CA">
        <w:t>Diversion</w:t>
      </w:r>
      <w:bookmarkEnd w:id="466"/>
      <w:bookmarkEnd w:id="467"/>
    </w:p>
    <w:p w14:paraId="5A94774E" w14:textId="77278DCD" w:rsidR="00A36C19" w:rsidRPr="00EC02CA" w:rsidRDefault="009E1816" w:rsidP="002F0007">
      <w:pPr>
        <w:pStyle w:val="NormalNumberedTextTLRI"/>
      </w:pPr>
      <w:r w:rsidRPr="00EC02CA">
        <w:t>As noted, c</w:t>
      </w:r>
      <w:r w:rsidR="000E5511" w:rsidRPr="00EC02CA">
        <w:t xml:space="preserve">urrently </w:t>
      </w:r>
      <w:r w:rsidRPr="00EC02CA">
        <w:t xml:space="preserve">there are </w:t>
      </w:r>
      <w:r w:rsidR="00C05D0B" w:rsidRPr="00EC02CA">
        <w:t>several</w:t>
      </w:r>
      <w:r w:rsidRPr="00EC02CA">
        <w:t xml:space="preserve"> </w:t>
      </w:r>
      <w:r w:rsidR="000E5511" w:rsidRPr="00EC02CA">
        <w:t xml:space="preserve">diversionary powers </w:t>
      </w:r>
      <w:r w:rsidRPr="00EC02CA">
        <w:t xml:space="preserve">that can be exercised by the Magistrates Court and the Supreme Court </w:t>
      </w:r>
      <w:r w:rsidR="00B37ECE" w:rsidRPr="00EC02CA">
        <w:t xml:space="preserve">after a finding of guilt or a </w:t>
      </w:r>
      <w:r w:rsidR="002426D9" w:rsidRPr="00EC02CA">
        <w:t xml:space="preserve">guilty </w:t>
      </w:r>
      <w:r w:rsidR="00B37ECE" w:rsidRPr="00EC02CA">
        <w:t>plea. Cour</w:t>
      </w:r>
      <w:r w:rsidR="00C73BC1" w:rsidRPr="00EC02CA">
        <w:t>ts, under</w:t>
      </w:r>
      <w:r w:rsidR="001E48AF" w:rsidRPr="00EC02CA">
        <w:t xml:space="preserve"> both</w:t>
      </w:r>
      <w:r w:rsidR="00C73BC1" w:rsidRPr="00EC02CA">
        <w:t xml:space="preserve"> the </w:t>
      </w:r>
      <w:r w:rsidR="00C73BC1" w:rsidRPr="00EC02CA">
        <w:rPr>
          <w:i/>
        </w:rPr>
        <w:t>Youth Justice Act 1997</w:t>
      </w:r>
      <w:r w:rsidR="00C73BC1" w:rsidRPr="00EC02CA">
        <w:t xml:space="preserve"> (Tas) </w:t>
      </w:r>
      <w:r w:rsidR="00770081" w:rsidRPr="00EC02CA">
        <w:t xml:space="preserve">can refer </w:t>
      </w:r>
      <w:r w:rsidR="00C73BC1" w:rsidRPr="00EC02CA">
        <w:t xml:space="preserve">a young </w:t>
      </w:r>
      <w:r w:rsidR="004B7218" w:rsidRPr="00EC02CA">
        <w:t xml:space="preserve">person to a </w:t>
      </w:r>
      <w:r w:rsidR="002426D9" w:rsidRPr="00EC02CA">
        <w:t xml:space="preserve">community </w:t>
      </w:r>
      <w:r w:rsidR="00770081" w:rsidRPr="00EC02CA">
        <w:t xml:space="preserve">conference, can defer sentence </w:t>
      </w:r>
      <w:r w:rsidR="004B7218" w:rsidRPr="00EC02CA">
        <w:t xml:space="preserve">to allow a young person to participate in treatment, </w:t>
      </w:r>
      <w:r w:rsidR="00770081" w:rsidRPr="00EC02CA">
        <w:t xml:space="preserve">and can </w:t>
      </w:r>
      <w:r w:rsidR="006F56A5" w:rsidRPr="00EC02CA">
        <w:t>impose</w:t>
      </w:r>
      <w:r w:rsidR="00616821" w:rsidRPr="00EC02CA">
        <w:t xml:space="preserve"> a</w:t>
      </w:r>
      <w:r w:rsidR="006F56A5" w:rsidRPr="00EC02CA">
        <w:t xml:space="preserve"> condition </w:t>
      </w:r>
      <w:r w:rsidR="00616821" w:rsidRPr="00EC02CA">
        <w:t>as part of</w:t>
      </w:r>
      <w:r w:rsidR="006F56A5" w:rsidRPr="00EC02CA">
        <w:t xml:space="preserve"> several sentencing orders that would require a young person to engage with therapeutic services.</w:t>
      </w:r>
      <w:r w:rsidR="006F56A5" w:rsidRPr="00EC02CA">
        <w:rPr>
          <w:rStyle w:val="FootnoteReference"/>
        </w:rPr>
        <w:footnoteReference w:id="899"/>
      </w:r>
      <w:r w:rsidR="00E32285" w:rsidRPr="00EC02CA">
        <w:t xml:space="preserve"> </w:t>
      </w:r>
      <w:r w:rsidR="007E6810" w:rsidRPr="00EC02CA">
        <w:t xml:space="preserve">Powers to </w:t>
      </w:r>
      <w:r w:rsidR="00282B0E" w:rsidRPr="00EC02CA">
        <w:t>defer</w:t>
      </w:r>
      <w:r w:rsidR="007E6810" w:rsidRPr="00EC02CA">
        <w:t xml:space="preserve"> sentence and impose treatment </w:t>
      </w:r>
      <w:r w:rsidR="00282B0E" w:rsidRPr="00EC02CA">
        <w:t>conditions</w:t>
      </w:r>
      <w:r w:rsidR="007E6810" w:rsidRPr="00EC02CA">
        <w:t xml:space="preserve"> as part of a sentence are also available </w:t>
      </w:r>
      <w:r w:rsidR="00282B0E" w:rsidRPr="00EC02CA">
        <w:t>under</w:t>
      </w:r>
      <w:r w:rsidR="007E6810" w:rsidRPr="00EC02CA">
        <w:t xml:space="preserve"> the </w:t>
      </w:r>
      <w:r w:rsidR="007E6810" w:rsidRPr="00EC02CA">
        <w:rPr>
          <w:i/>
        </w:rPr>
        <w:t xml:space="preserve">Sentencing Act 1997 </w:t>
      </w:r>
      <w:r w:rsidR="007E6810" w:rsidRPr="00EC02CA">
        <w:t>(Tas)</w:t>
      </w:r>
      <w:r w:rsidR="00282B0E" w:rsidRPr="00EC02CA">
        <w:t>.</w:t>
      </w:r>
      <w:r w:rsidR="00282B0E" w:rsidRPr="00EC02CA">
        <w:rPr>
          <w:rStyle w:val="FootnoteReference"/>
        </w:rPr>
        <w:footnoteReference w:id="900"/>
      </w:r>
      <w:r w:rsidR="00282B0E" w:rsidRPr="00EC02CA">
        <w:t xml:space="preserve"> </w:t>
      </w:r>
      <w:r w:rsidR="001B7F82" w:rsidRPr="00EC02CA">
        <w:t>I</w:t>
      </w:r>
      <w:r w:rsidR="00DA7EDC" w:rsidRPr="00EC02CA">
        <w:t xml:space="preserve">t appears that the option to defer sentence or divert a young person to a community conference </w:t>
      </w:r>
      <w:r w:rsidR="00282B0E" w:rsidRPr="00EC02CA">
        <w:t xml:space="preserve">for a sexual offence </w:t>
      </w:r>
      <w:r w:rsidR="00DA7EDC" w:rsidRPr="00EC02CA">
        <w:t xml:space="preserve">are </w:t>
      </w:r>
      <w:r w:rsidR="00616821" w:rsidRPr="00EC02CA">
        <w:t>infrequently used</w:t>
      </w:r>
      <w:r w:rsidR="0036636A" w:rsidRPr="00EC02CA">
        <w:t>. Partly</w:t>
      </w:r>
      <w:r w:rsidR="002426D9" w:rsidRPr="00EC02CA">
        <w:t>,</w:t>
      </w:r>
      <w:r w:rsidR="0036636A" w:rsidRPr="00EC02CA">
        <w:t xml:space="preserve"> this reflects </w:t>
      </w:r>
      <w:r w:rsidR="00736EE0" w:rsidRPr="00EC02CA">
        <w:t>the fact that there are</w:t>
      </w:r>
      <w:r w:rsidR="006F56A5" w:rsidRPr="00EC02CA">
        <w:t xml:space="preserve"> </w:t>
      </w:r>
      <w:r w:rsidR="000E5511" w:rsidRPr="00EC02CA">
        <w:t xml:space="preserve">very few </w:t>
      </w:r>
      <w:r w:rsidR="00C05D0B" w:rsidRPr="00EC02CA">
        <w:t xml:space="preserve">youth </w:t>
      </w:r>
      <w:r w:rsidR="006F56A5" w:rsidRPr="00EC02CA">
        <w:t xml:space="preserve">sexual offence cases that </w:t>
      </w:r>
      <w:r w:rsidR="000E5511" w:rsidRPr="00EC02CA">
        <w:t>reach the court</w:t>
      </w:r>
      <w:r w:rsidR="002426D9" w:rsidRPr="00EC02CA">
        <w:t>s</w:t>
      </w:r>
      <w:r w:rsidR="006F56A5" w:rsidRPr="00EC02CA">
        <w:t xml:space="preserve">, </w:t>
      </w:r>
      <w:r w:rsidR="00736EE0" w:rsidRPr="00EC02CA">
        <w:t xml:space="preserve">and </w:t>
      </w:r>
      <w:r w:rsidR="00DA7EDC" w:rsidRPr="00EC02CA">
        <w:t xml:space="preserve">in the Supreme Court, </w:t>
      </w:r>
      <w:r w:rsidR="00513642" w:rsidRPr="00EC02CA">
        <w:t xml:space="preserve">the view </w:t>
      </w:r>
      <w:r w:rsidR="007A5F4B" w:rsidRPr="00EC02CA">
        <w:t>may be that matters</w:t>
      </w:r>
      <w:r w:rsidR="00513642" w:rsidRPr="00EC02CA">
        <w:t xml:space="preserve"> are</w:t>
      </w:r>
      <w:r w:rsidR="00DA7EDC" w:rsidRPr="00EC02CA">
        <w:t xml:space="preserve"> too serious for these options</w:t>
      </w:r>
      <w:r w:rsidR="00513642" w:rsidRPr="00EC02CA">
        <w:t xml:space="preserve">. </w:t>
      </w:r>
      <w:r w:rsidR="001E3B84" w:rsidRPr="00EC02CA">
        <w:t xml:space="preserve">However, the TLRI’s view is that there is scope to </w:t>
      </w:r>
      <w:r w:rsidR="00894EDC" w:rsidRPr="00EC02CA">
        <w:t>expand</w:t>
      </w:r>
      <w:r w:rsidR="0022135D" w:rsidRPr="00EC02CA">
        <w:t xml:space="preserve"> the </w:t>
      </w:r>
      <w:r w:rsidR="00894EDC" w:rsidRPr="00EC02CA">
        <w:t xml:space="preserve">use of </w:t>
      </w:r>
      <w:r w:rsidR="0022135D" w:rsidRPr="00EC02CA">
        <w:t xml:space="preserve">diversion for young </w:t>
      </w:r>
      <w:r w:rsidR="00894EDC" w:rsidRPr="00EC02CA">
        <w:t>people</w:t>
      </w:r>
      <w:r w:rsidR="0022135D" w:rsidRPr="00EC02CA">
        <w:t xml:space="preserve"> charged with sexual offenc</w:t>
      </w:r>
      <w:r w:rsidR="00894EDC" w:rsidRPr="00EC02CA">
        <w:t>es</w:t>
      </w:r>
      <w:r w:rsidR="00281B0E" w:rsidRPr="00EC02CA">
        <w:t xml:space="preserve">. </w:t>
      </w:r>
      <w:r w:rsidR="006549C5" w:rsidRPr="00EC02CA">
        <w:t>The TLRI’s view is</w:t>
      </w:r>
      <w:r w:rsidR="004A4AA4" w:rsidRPr="00EC02CA">
        <w:t xml:space="preserve"> that</w:t>
      </w:r>
      <w:r w:rsidR="0019678A" w:rsidRPr="00EC02CA">
        <w:t xml:space="preserve"> the current powers that exist in the </w:t>
      </w:r>
      <w:r w:rsidR="0019678A" w:rsidRPr="00EC02CA">
        <w:rPr>
          <w:i/>
        </w:rPr>
        <w:t xml:space="preserve">Youth Justice Act 1997 </w:t>
      </w:r>
      <w:r w:rsidR="0019678A" w:rsidRPr="00EC02CA">
        <w:t>(Tas)</w:t>
      </w:r>
      <w:r w:rsidR="004A4AA4" w:rsidRPr="00EC02CA">
        <w:t xml:space="preserve"> </w:t>
      </w:r>
      <w:r w:rsidR="008B2EC3" w:rsidRPr="00EC02CA">
        <w:t xml:space="preserve">should be </w:t>
      </w:r>
      <w:r w:rsidR="00927593" w:rsidRPr="00EC02CA">
        <w:t>reviewed</w:t>
      </w:r>
      <w:r w:rsidR="008B2EC3" w:rsidRPr="00EC02CA">
        <w:t xml:space="preserve"> to identify </w:t>
      </w:r>
      <w:r w:rsidR="00927593" w:rsidRPr="00EC02CA">
        <w:t xml:space="preserve">any </w:t>
      </w:r>
      <w:r w:rsidR="004A4AA4" w:rsidRPr="00EC02CA">
        <w:t xml:space="preserve">need for reform to facilitate </w:t>
      </w:r>
      <w:r w:rsidR="002426D9" w:rsidRPr="00EC02CA">
        <w:t xml:space="preserve">greater </w:t>
      </w:r>
      <w:r w:rsidR="004A4AA4" w:rsidRPr="00EC02CA">
        <w:t>use by the court</w:t>
      </w:r>
      <w:r w:rsidR="002426D9" w:rsidRPr="00EC02CA">
        <w:t>s</w:t>
      </w:r>
      <w:r w:rsidR="004A4AA4" w:rsidRPr="00EC02CA">
        <w:t>.</w:t>
      </w:r>
      <w:r w:rsidR="0051648B" w:rsidRPr="00EC02CA">
        <w:t xml:space="preserve"> </w:t>
      </w:r>
      <w:r w:rsidR="00E26366" w:rsidRPr="00EC02CA">
        <w:t>In addition, the TLRI’s view is that</w:t>
      </w:r>
      <w:r w:rsidR="00016B62" w:rsidRPr="00EC02CA">
        <w:t xml:space="preserve"> </w:t>
      </w:r>
      <w:r w:rsidR="002426D9" w:rsidRPr="00EC02CA">
        <w:t xml:space="preserve">greater </w:t>
      </w:r>
      <w:r w:rsidR="00016B62" w:rsidRPr="00EC02CA">
        <w:t>consider</w:t>
      </w:r>
      <w:r w:rsidR="00E26366" w:rsidRPr="00EC02CA">
        <w:t>ation should be given as to</w:t>
      </w:r>
      <w:r w:rsidR="00016B62" w:rsidRPr="00EC02CA">
        <w:t xml:space="preserve"> whether </w:t>
      </w:r>
      <w:r w:rsidR="00E26366" w:rsidRPr="00EC02CA">
        <w:t xml:space="preserve">it is appropriate for </w:t>
      </w:r>
      <w:r w:rsidR="002426D9" w:rsidRPr="00EC02CA">
        <w:t xml:space="preserve">a </w:t>
      </w:r>
      <w:r w:rsidR="00E26366" w:rsidRPr="00EC02CA">
        <w:t xml:space="preserve">matter to be adjourned (before a plea) to allow a young person </w:t>
      </w:r>
      <w:r w:rsidR="00D64B00" w:rsidRPr="00EC02CA">
        <w:t>to participate in a treatment program</w:t>
      </w:r>
      <w:r w:rsidR="00A66E5E" w:rsidRPr="00EC02CA">
        <w:t>.</w:t>
      </w:r>
    </w:p>
    <w:p w14:paraId="01332297" w14:textId="06633FA8" w:rsidR="00D64B00" w:rsidRPr="00EC02CA" w:rsidRDefault="00FD41CE" w:rsidP="00ED2E47">
      <w:pPr>
        <w:pStyle w:val="Sub-HeadingTLRI"/>
      </w:pPr>
      <w:bookmarkStart w:id="468" w:name="_Toc211849467"/>
      <w:bookmarkStart w:id="469" w:name="_Toc218157371"/>
      <w:r w:rsidRPr="00EC02CA">
        <w:t xml:space="preserve">Diversion to </w:t>
      </w:r>
      <w:r w:rsidR="004A4AA4" w:rsidRPr="00EC02CA">
        <w:t>community conference/</w:t>
      </w:r>
      <w:r w:rsidRPr="00EC02CA">
        <w:t>restorative processes</w:t>
      </w:r>
      <w:bookmarkEnd w:id="468"/>
      <w:bookmarkEnd w:id="469"/>
    </w:p>
    <w:p w14:paraId="2DDB560B" w14:textId="106BC7A5" w:rsidR="00A644E3" w:rsidRPr="00EC02CA" w:rsidRDefault="000925C7" w:rsidP="002F0007">
      <w:pPr>
        <w:pStyle w:val="NormalNumberedTextTLRI"/>
      </w:pPr>
      <w:r w:rsidRPr="00EC02CA">
        <w:t xml:space="preserve">There are a range of approaches to diversion to </w:t>
      </w:r>
      <w:r w:rsidR="004A4AA4" w:rsidRPr="00EC02CA">
        <w:t>community conferences and/</w:t>
      </w:r>
      <w:r w:rsidR="00E06649" w:rsidRPr="00EC02CA">
        <w:t>or</w:t>
      </w:r>
      <w:r w:rsidR="004A4AA4" w:rsidRPr="00EC02CA">
        <w:t xml:space="preserve"> </w:t>
      </w:r>
      <w:r w:rsidR="00E06649" w:rsidRPr="00EC02CA">
        <w:t xml:space="preserve">other </w:t>
      </w:r>
      <w:r w:rsidRPr="00EC02CA">
        <w:t>restorative processes available for sexual offences in other jurisdictions</w:t>
      </w:r>
      <w:r w:rsidR="00E06649" w:rsidRPr="00EC02CA">
        <w:t>, both</w:t>
      </w:r>
      <w:r w:rsidR="005339CF" w:rsidRPr="00EC02CA">
        <w:t xml:space="preserve"> </w:t>
      </w:r>
      <w:r w:rsidR="000E47D4" w:rsidRPr="00EC02CA">
        <w:t xml:space="preserve">before </w:t>
      </w:r>
      <w:r w:rsidR="00E06649" w:rsidRPr="00EC02CA">
        <w:t xml:space="preserve">and </w:t>
      </w:r>
      <w:r w:rsidR="005339CF" w:rsidRPr="00EC02CA">
        <w:t xml:space="preserve">after a </w:t>
      </w:r>
      <w:r w:rsidR="00E06649" w:rsidRPr="00EC02CA">
        <w:t xml:space="preserve">guilty </w:t>
      </w:r>
      <w:r w:rsidR="005339CF" w:rsidRPr="00EC02CA">
        <w:t xml:space="preserve">plea or </w:t>
      </w:r>
      <w:r w:rsidR="00E06649" w:rsidRPr="00EC02CA">
        <w:t xml:space="preserve">a </w:t>
      </w:r>
      <w:r w:rsidR="005339CF" w:rsidRPr="00EC02CA">
        <w:t>finding of guilt</w:t>
      </w:r>
      <w:r w:rsidRPr="00EC02CA">
        <w:t xml:space="preserve">. </w:t>
      </w:r>
      <w:r w:rsidR="00A36C19" w:rsidRPr="00EC02CA">
        <w:t xml:space="preserve">For example, </w:t>
      </w:r>
      <w:r w:rsidR="000A5294" w:rsidRPr="00EC02CA">
        <w:t>i</w:t>
      </w:r>
      <w:r w:rsidR="000E5511" w:rsidRPr="00EC02CA">
        <w:t xml:space="preserve">n </w:t>
      </w:r>
      <w:r w:rsidR="00220421" w:rsidRPr="00EC02CA">
        <w:t>Queensland</w:t>
      </w:r>
      <w:r w:rsidR="0051648B" w:rsidRPr="00EC02CA">
        <w:t xml:space="preserve">, </w:t>
      </w:r>
      <w:r w:rsidR="00E06649" w:rsidRPr="00EC02CA">
        <w:t>the</w:t>
      </w:r>
      <w:r w:rsidR="000A5294" w:rsidRPr="00EC02CA">
        <w:t xml:space="preserve"> court </w:t>
      </w:r>
      <w:r w:rsidR="00E06649" w:rsidRPr="00EC02CA">
        <w:t xml:space="preserve">may </w:t>
      </w:r>
      <w:r w:rsidR="000A5294" w:rsidRPr="00EC02CA">
        <w:t xml:space="preserve">refer a young person to a </w:t>
      </w:r>
      <w:r w:rsidR="00572608" w:rsidRPr="00EC02CA">
        <w:t>restorative justice conference</w:t>
      </w:r>
      <w:r w:rsidR="000A2F28" w:rsidRPr="00EC02CA">
        <w:t xml:space="preserve"> (in which there is a </w:t>
      </w:r>
      <w:r w:rsidR="00CC791C" w:rsidRPr="00EC02CA">
        <w:t>degree</w:t>
      </w:r>
      <w:r w:rsidR="000A2F28" w:rsidRPr="00EC02CA">
        <w:t xml:space="preserve"> of </w:t>
      </w:r>
      <w:r w:rsidR="00886B70" w:rsidRPr="00EC02CA">
        <w:t>victim-survivor</w:t>
      </w:r>
      <w:r w:rsidR="00CC791C" w:rsidRPr="00EC02CA">
        <w:t xml:space="preserve"> </w:t>
      </w:r>
      <w:r w:rsidR="000A2F28" w:rsidRPr="00EC02CA">
        <w:t>participation)</w:t>
      </w:r>
      <w:r w:rsidR="00CC791C" w:rsidRPr="00EC02CA">
        <w:t xml:space="preserve"> or an </w:t>
      </w:r>
      <w:r w:rsidR="007326E4" w:rsidRPr="00EC02CA">
        <w:t>alternative</w:t>
      </w:r>
      <w:r w:rsidR="00CC791C" w:rsidRPr="00EC02CA">
        <w:t xml:space="preserve"> restorative process</w:t>
      </w:r>
      <w:r w:rsidR="00430B43" w:rsidRPr="00EC02CA">
        <w:t xml:space="preserve"> (with no victim-survivor participation)</w:t>
      </w:r>
      <w:r w:rsidR="00CC791C" w:rsidRPr="00EC02CA">
        <w:t>.</w:t>
      </w:r>
      <w:r w:rsidR="007326E4" w:rsidRPr="00EC02CA">
        <w:t xml:space="preserve"> T</w:t>
      </w:r>
      <w:r w:rsidR="00A644E3" w:rsidRPr="00EC02CA">
        <w:t xml:space="preserve">here are </w:t>
      </w:r>
      <w:r w:rsidR="00113E71" w:rsidRPr="00EC02CA">
        <w:t>a number of</w:t>
      </w:r>
      <w:r w:rsidR="00A644E3" w:rsidRPr="00EC02CA">
        <w:t xml:space="preserve"> ways in which a restorative process is relevant in court proceedings</w:t>
      </w:r>
      <w:r w:rsidR="0092708F" w:rsidRPr="00EC02CA">
        <w:t xml:space="preserve"> in that jurisdiction</w:t>
      </w:r>
      <w:r w:rsidR="00A644E3" w:rsidRPr="00EC02CA">
        <w:t>:</w:t>
      </w:r>
    </w:p>
    <w:p w14:paraId="75F944FF" w14:textId="72600B0D" w:rsidR="0060443B" w:rsidRPr="00EC02CA" w:rsidRDefault="000F4580" w:rsidP="00A920EC">
      <w:pPr>
        <w:pStyle w:val="NumberlessNormalText"/>
        <w:numPr>
          <w:ilvl w:val="0"/>
          <w:numId w:val="214"/>
        </w:numPr>
      </w:pPr>
      <w:r w:rsidRPr="00EC02CA">
        <w:t>If a young person plea</w:t>
      </w:r>
      <w:r w:rsidR="00B1294B" w:rsidRPr="00EC02CA">
        <w:t>ds guilty</w:t>
      </w:r>
      <w:r w:rsidR="0060443B" w:rsidRPr="00EC02CA">
        <w:t xml:space="preserve"> before </w:t>
      </w:r>
      <w:r w:rsidR="005621AE" w:rsidRPr="00EC02CA">
        <w:t>the</w:t>
      </w:r>
      <w:r w:rsidR="0060443B" w:rsidRPr="00EC02CA">
        <w:t xml:space="preserve"> </w:t>
      </w:r>
      <w:r w:rsidR="00E54808" w:rsidRPr="00EC02CA">
        <w:t>Children’s</w:t>
      </w:r>
      <w:r w:rsidR="0060443B" w:rsidRPr="00EC02CA">
        <w:t xml:space="preserve"> </w:t>
      </w:r>
      <w:r w:rsidR="00B60272" w:rsidRPr="00EC02CA">
        <w:t>C</w:t>
      </w:r>
      <w:r w:rsidR="0060443B" w:rsidRPr="00EC02CA">
        <w:t>ourt to</w:t>
      </w:r>
      <w:r w:rsidR="00E26366" w:rsidRPr="00EC02CA">
        <w:t xml:space="preserve"> </w:t>
      </w:r>
      <w:r w:rsidR="00113E71" w:rsidRPr="00EC02CA">
        <w:t>a</w:t>
      </w:r>
      <w:r w:rsidR="0060443B" w:rsidRPr="00EC02CA">
        <w:t xml:space="preserve"> charge made against the child by a police officer, the </w:t>
      </w:r>
      <w:r w:rsidR="005621AE" w:rsidRPr="00EC02CA">
        <w:t>C</w:t>
      </w:r>
      <w:r w:rsidR="0060443B" w:rsidRPr="00EC02CA">
        <w:t>ourt may dismiss the cha</w:t>
      </w:r>
      <w:r w:rsidR="005621AE" w:rsidRPr="00EC02CA">
        <w:t>r</w:t>
      </w:r>
      <w:r w:rsidR="0060443B" w:rsidRPr="00EC02CA">
        <w:t>ge</w:t>
      </w:r>
      <w:r w:rsidR="005621AE" w:rsidRPr="00EC02CA">
        <w:t>,</w:t>
      </w:r>
      <w:r w:rsidR="0060443B" w:rsidRPr="00EC02CA">
        <w:t xml:space="preserve"> instead of accepting the plea</w:t>
      </w:r>
      <w:r w:rsidR="005621AE" w:rsidRPr="00EC02CA">
        <w:t>,</w:t>
      </w:r>
      <w:r w:rsidR="0060443B" w:rsidRPr="00EC02CA">
        <w:t xml:space="preserve"> if the </w:t>
      </w:r>
      <w:r w:rsidR="005621AE" w:rsidRPr="00EC02CA">
        <w:t>C</w:t>
      </w:r>
      <w:r w:rsidR="0060443B" w:rsidRPr="00EC02CA">
        <w:t>ourt is satisfied that the offence should have been referred to</w:t>
      </w:r>
      <w:r w:rsidR="001F01F7" w:rsidRPr="00EC02CA">
        <w:t xml:space="preserve"> </w:t>
      </w:r>
      <w:r w:rsidR="0060443B" w:rsidRPr="00EC02CA">
        <w:t>a restorative justice process</w:t>
      </w:r>
      <w:r w:rsidR="00B60272" w:rsidRPr="00EC02CA">
        <w:t>.</w:t>
      </w:r>
      <w:r w:rsidR="00B60272" w:rsidRPr="00EC02CA">
        <w:rPr>
          <w:rStyle w:val="FootnoteReference"/>
        </w:rPr>
        <w:footnoteReference w:id="901"/>
      </w:r>
    </w:p>
    <w:p w14:paraId="6E69D7F5" w14:textId="5B615794" w:rsidR="00727AEA" w:rsidRPr="00EC02CA" w:rsidRDefault="00341501" w:rsidP="00A920EC">
      <w:pPr>
        <w:pStyle w:val="NumberlessNormalText"/>
      </w:pPr>
      <w:r w:rsidRPr="00EC02CA">
        <w:t>Following</w:t>
      </w:r>
      <w:r w:rsidR="007326E4" w:rsidRPr="00EC02CA">
        <w:t xml:space="preserve"> a </w:t>
      </w:r>
      <w:r w:rsidRPr="00EC02CA">
        <w:t xml:space="preserve">plea of guilt, </w:t>
      </w:r>
      <w:r w:rsidR="00A618F6" w:rsidRPr="00EC02CA">
        <w:t xml:space="preserve">the court must </w:t>
      </w:r>
      <w:r w:rsidR="00BE5E32" w:rsidRPr="00EC02CA">
        <w:t xml:space="preserve">consider referring the offence for a </w:t>
      </w:r>
      <w:r w:rsidR="00C05783" w:rsidRPr="00EC02CA">
        <w:t>restorative</w:t>
      </w:r>
      <w:r w:rsidR="00BE5E32" w:rsidRPr="00EC02CA">
        <w:t xml:space="preserve"> justice proce</w:t>
      </w:r>
      <w:r w:rsidR="00C05783" w:rsidRPr="00EC02CA">
        <w:t xml:space="preserve">ss instead of </w:t>
      </w:r>
      <w:r w:rsidR="00A04A70" w:rsidRPr="00EC02CA">
        <w:t>sentencing</w:t>
      </w:r>
      <w:r w:rsidR="00C05783" w:rsidRPr="00EC02CA">
        <w:t xml:space="preserve"> the child</w:t>
      </w:r>
      <w:r w:rsidR="000110B0" w:rsidRPr="00EC02CA">
        <w:t>.</w:t>
      </w:r>
      <w:r w:rsidR="007B4237" w:rsidRPr="00EC02CA">
        <w:rPr>
          <w:rStyle w:val="FootnoteReference"/>
        </w:rPr>
        <w:footnoteReference w:id="902"/>
      </w:r>
      <w:r w:rsidR="00AA15F4" w:rsidRPr="00EC02CA">
        <w:t xml:space="preserve"> </w:t>
      </w:r>
      <w:r w:rsidR="00A04A70" w:rsidRPr="00EC02CA">
        <w:t>Following</w:t>
      </w:r>
      <w:r w:rsidR="00C05783" w:rsidRPr="00EC02CA">
        <w:t xml:space="preserve"> a finding of guilt, the court must consider referring the offence </w:t>
      </w:r>
      <w:r w:rsidR="005621AE" w:rsidRPr="00EC02CA">
        <w:t xml:space="preserve">to </w:t>
      </w:r>
      <w:r w:rsidR="00C05783" w:rsidRPr="00EC02CA">
        <w:t xml:space="preserve">a restorative justice process </w:t>
      </w:r>
      <w:r w:rsidR="007B4237" w:rsidRPr="00EC02CA">
        <w:t>to help the court make the appropriate sentence.</w:t>
      </w:r>
      <w:r w:rsidR="007B4237" w:rsidRPr="00EC02CA">
        <w:rPr>
          <w:rStyle w:val="FootnoteReference"/>
        </w:rPr>
        <w:footnoteReference w:id="903"/>
      </w:r>
      <w:r w:rsidR="00BE5E32" w:rsidRPr="00EC02CA">
        <w:t xml:space="preserve"> </w:t>
      </w:r>
      <w:r w:rsidR="00AA15F4" w:rsidRPr="00EC02CA">
        <w:t xml:space="preserve">The court gives consideration </w:t>
      </w:r>
      <w:r w:rsidR="00784A0F" w:rsidRPr="00EC02CA">
        <w:t>to whether the referral would allow the offence to be appropriately dealt with without making a sentence order (a court diversion referral) or help the court make an appropriate community</w:t>
      </w:r>
      <w:r w:rsidR="00933D08" w:rsidRPr="00EC02CA">
        <w:t>-</w:t>
      </w:r>
      <w:r w:rsidR="00784A0F" w:rsidRPr="00EC02CA">
        <w:t>based order or detention order (a pre</w:t>
      </w:r>
      <w:r w:rsidR="005621AE" w:rsidRPr="00EC02CA">
        <w:t>-</w:t>
      </w:r>
      <w:r w:rsidR="00784A0F" w:rsidRPr="00EC02CA">
        <w:t xml:space="preserve">sentence </w:t>
      </w:r>
      <w:r w:rsidR="00727AEA" w:rsidRPr="00EC02CA">
        <w:t>referral)</w:t>
      </w:r>
      <w:r w:rsidR="00784A0F" w:rsidRPr="00EC02CA">
        <w:t>.</w:t>
      </w:r>
      <w:r w:rsidR="00784A0F" w:rsidRPr="00EC02CA">
        <w:rPr>
          <w:rStyle w:val="FootnoteReference"/>
        </w:rPr>
        <w:footnoteReference w:id="904"/>
      </w:r>
    </w:p>
    <w:p w14:paraId="39A66CCC" w14:textId="280EED93" w:rsidR="000E47D4" w:rsidRPr="00EC02CA" w:rsidRDefault="00AB67F3" w:rsidP="00A920EC">
      <w:pPr>
        <w:pStyle w:val="NormalNumberedTextTLRI"/>
      </w:pPr>
      <w:r w:rsidRPr="00EC02CA">
        <w:t>It is noted that</w:t>
      </w:r>
      <w:r w:rsidR="00497A27" w:rsidRPr="00EC02CA">
        <w:t>,</w:t>
      </w:r>
      <w:r w:rsidRPr="00EC02CA">
        <w:t xml:space="preserve"> in Queensland, </w:t>
      </w:r>
      <w:r w:rsidR="00020294" w:rsidRPr="00EC02CA">
        <w:t>there can be referrals for sexual violence matters committed by children</w:t>
      </w:r>
      <w:r w:rsidR="00497A27" w:rsidRPr="00EC02CA">
        <w:t>,</w:t>
      </w:r>
      <w:r w:rsidR="00020294" w:rsidRPr="00EC02CA">
        <w:t xml:space="preserve"> including rape and sexual assault offences.</w:t>
      </w:r>
      <w:r w:rsidR="00020294" w:rsidRPr="00EC02CA">
        <w:rPr>
          <w:rStyle w:val="FootnoteReference"/>
        </w:rPr>
        <w:footnoteReference w:id="905"/>
      </w:r>
      <w:r w:rsidR="005339CF" w:rsidRPr="00EC02CA">
        <w:t xml:space="preserve"> </w:t>
      </w:r>
    </w:p>
    <w:p w14:paraId="336376B8" w14:textId="22DD45D3" w:rsidR="00E13F00" w:rsidRPr="00EC02CA" w:rsidRDefault="00A02BC6" w:rsidP="002F0007">
      <w:pPr>
        <w:pStyle w:val="NormalNumberedTextTLRI"/>
      </w:pPr>
      <w:r w:rsidRPr="00EC02CA">
        <w:t>I</w:t>
      </w:r>
      <w:r w:rsidR="00BB6EAB" w:rsidRPr="00EC02CA">
        <w:t>n</w:t>
      </w:r>
      <w:r w:rsidRPr="00EC02CA">
        <w:t xml:space="preserve"> the A</w:t>
      </w:r>
      <w:r w:rsidR="00497A27" w:rsidRPr="00EC02CA">
        <w:t xml:space="preserve">ustralian </w:t>
      </w:r>
      <w:r w:rsidRPr="00EC02CA">
        <w:t>C</w:t>
      </w:r>
      <w:r w:rsidR="00497A27" w:rsidRPr="00EC02CA">
        <w:t xml:space="preserve">apital </w:t>
      </w:r>
      <w:r w:rsidRPr="00EC02CA">
        <w:t>T</w:t>
      </w:r>
      <w:r w:rsidR="00497A27" w:rsidRPr="00EC02CA">
        <w:t>erritory</w:t>
      </w:r>
      <w:r w:rsidRPr="00EC02CA">
        <w:t>, the court ca</w:t>
      </w:r>
      <w:r w:rsidR="000F0BD6" w:rsidRPr="00EC02CA">
        <w:t xml:space="preserve">n refer less serious sexual </w:t>
      </w:r>
      <w:r w:rsidR="00E67B52" w:rsidRPr="00EC02CA">
        <w:t>offences</w:t>
      </w:r>
      <w:r w:rsidR="000F0BD6" w:rsidRPr="00EC02CA">
        <w:t xml:space="preserve"> to </w:t>
      </w:r>
      <w:r w:rsidR="009D5ACF" w:rsidRPr="00EC02CA">
        <w:t>the Restorative Justice Unit</w:t>
      </w:r>
      <w:r w:rsidR="000F0BD6" w:rsidRPr="00EC02CA">
        <w:t xml:space="preserve"> prior to </w:t>
      </w:r>
      <w:r w:rsidR="00E67B52" w:rsidRPr="00EC02CA">
        <w:t>a plea</w:t>
      </w:r>
      <w:r w:rsidR="000F0BD6" w:rsidRPr="00EC02CA">
        <w:t xml:space="preserve"> in </w:t>
      </w:r>
      <w:r w:rsidR="00E67B52" w:rsidRPr="00EC02CA">
        <w:t>exceptional</w:t>
      </w:r>
      <w:r w:rsidR="000F0BD6" w:rsidRPr="00EC02CA">
        <w:t xml:space="preserve"> </w:t>
      </w:r>
      <w:r w:rsidR="00E67B52" w:rsidRPr="00EC02CA">
        <w:t>circumstances</w:t>
      </w:r>
      <w:r w:rsidR="000F0BD6" w:rsidRPr="00EC02CA">
        <w:t>.</w:t>
      </w:r>
      <w:r w:rsidR="000F0BD6" w:rsidRPr="00EC02CA">
        <w:rPr>
          <w:rStyle w:val="FootnoteReference"/>
        </w:rPr>
        <w:footnoteReference w:id="906"/>
      </w:r>
      <w:r w:rsidR="00E67B52" w:rsidRPr="00EC02CA">
        <w:t xml:space="preserve"> </w:t>
      </w:r>
      <w:r w:rsidR="003D60CE" w:rsidRPr="00EC02CA">
        <w:t xml:space="preserve">Serious </w:t>
      </w:r>
      <w:r w:rsidR="00D67803" w:rsidRPr="00EC02CA">
        <w:t>sexual</w:t>
      </w:r>
      <w:r w:rsidR="003D60CE" w:rsidRPr="00EC02CA">
        <w:t xml:space="preserve"> offences cannot be referred to </w:t>
      </w:r>
      <w:r w:rsidR="00D67803" w:rsidRPr="00EC02CA">
        <w:t>restorative</w:t>
      </w:r>
      <w:r w:rsidR="003D60CE" w:rsidRPr="00EC02CA">
        <w:t xml:space="preserve"> justice before a guilty p</w:t>
      </w:r>
      <w:r w:rsidR="00D67803" w:rsidRPr="00EC02CA">
        <w:t>lea</w:t>
      </w:r>
      <w:r w:rsidR="003D60CE" w:rsidRPr="00EC02CA">
        <w:t xml:space="preserve"> o</w:t>
      </w:r>
      <w:r w:rsidR="00953654" w:rsidRPr="00EC02CA">
        <w:t>r a</w:t>
      </w:r>
      <w:r w:rsidR="003D60CE" w:rsidRPr="00EC02CA">
        <w:t xml:space="preserve"> finding</w:t>
      </w:r>
      <w:r w:rsidR="00953654" w:rsidRPr="00EC02CA">
        <w:t xml:space="preserve"> of guilt,</w:t>
      </w:r>
      <w:r w:rsidR="00794592" w:rsidRPr="00EC02CA">
        <w:t xml:space="preserve"> but can be referred before sentencing.</w:t>
      </w:r>
      <w:r w:rsidR="00794592" w:rsidRPr="00EC02CA">
        <w:rPr>
          <w:rStyle w:val="FootnoteReference"/>
        </w:rPr>
        <w:footnoteReference w:id="907"/>
      </w:r>
      <w:r w:rsidR="00D67803" w:rsidRPr="00EC02CA">
        <w:t xml:space="preserve"> </w:t>
      </w:r>
      <w:r w:rsidR="00CD3F64" w:rsidRPr="00EC02CA">
        <w:t xml:space="preserve">In situations where the criminal proceedings </w:t>
      </w:r>
      <w:r w:rsidR="009D5ACF" w:rsidRPr="00EC02CA">
        <w:t>are</w:t>
      </w:r>
      <w:r w:rsidR="00CD3F64" w:rsidRPr="00EC02CA">
        <w:t xml:space="preserve"> ongoing</w:t>
      </w:r>
      <w:r w:rsidR="007532CF" w:rsidRPr="00EC02CA">
        <w:t xml:space="preserve">, the </w:t>
      </w:r>
      <w:r w:rsidR="00A80FF8" w:rsidRPr="00EC02CA">
        <w:t>Restorative</w:t>
      </w:r>
      <w:r w:rsidR="007532CF" w:rsidRPr="00EC02CA">
        <w:t xml:space="preserve"> Justice Unit provides a </w:t>
      </w:r>
      <w:r w:rsidR="00A80FF8" w:rsidRPr="00EC02CA">
        <w:t>report</w:t>
      </w:r>
      <w:r w:rsidR="007532CF" w:rsidRPr="00EC02CA">
        <w:t xml:space="preserve"> to the </w:t>
      </w:r>
      <w:r w:rsidR="00A80FF8" w:rsidRPr="00EC02CA">
        <w:t>court</w:t>
      </w:r>
      <w:r w:rsidR="007532CF" w:rsidRPr="00EC02CA">
        <w:t xml:space="preserve"> in relation </w:t>
      </w:r>
      <w:r w:rsidR="00A80FF8" w:rsidRPr="00EC02CA">
        <w:t>to</w:t>
      </w:r>
      <w:r w:rsidR="007532CF" w:rsidRPr="00EC02CA">
        <w:t xml:space="preserve"> </w:t>
      </w:r>
      <w:r w:rsidR="00953654" w:rsidRPr="00EC02CA">
        <w:t xml:space="preserve">the offender’s </w:t>
      </w:r>
      <w:r w:rsidR="007532CF" w:rsidRPr="00EC02CA">
        <w:t>participation, which is</w:t>
      </w:r>
      <w:r w:rsidR="0054758D" w:rsidRPr="00EC02CA">
        <w:t xml:space="preserve"> then</w:t>
      </w:r>
      <w:r w:rsidR="007532CF" w:rsidRPr="00EC02CA">
        <w:t xml:space="preserve"> used to inform the </w:t>
      </w:r>
      <w:r w:rsidR="00A80FF8" w:rsidRPr="00EC02CA">
        <w:t>sentencing</w:t>
      </w:r>
      <w:r w:rsidR="007532CF" w:rsidRPr="00EC02CA">
        <w:t xml:space="preserve"> process.</w:t>
      </w:r>
      <w:r w:rsidR="007532CF" w:rsidRPr="00EC02CA">
        <w:rPr>
          <w:rStyle w:val="FootnoteReference"/>
        </w:rPr>
        <w:footnoteReference w:id="908"/>
      </w:r>
      <w:r w:rsidR="00A80FF8" w:rsidRPr="00EC02CA">
        <w:t xml:space="preserve"> However,</w:t>
      </w:r>
      <w:r w:rsidR="00434359" w:rsidRPr="00EC02CA">
        <w:t xml:space="preserve"> there is no requirement for the court to </w:t>
      </w:r>
      <w:r w:rsidR="00AE6BB7" w:rsidRPr="00EC02CA">
        <w:t>reduce</w:t>
      </w:r>
      <w:r w:rsidR="00434359" w:rsidRPr="00EC02CA">
        <w:t xml:space="preserve"> the </w:t>
      </w:r>
      <w:r w:rsidR="00AE6BB7" w:rsidRPr="00EC02CA">
        <w:t>severity</w:t>
      </w:r>
      <w:r w:rsidR="00434359" w:rsidRPr="00EC02CA">
        <w:t xml:space="preserve"> of the </w:t>
      </w:r>
      <w:r w:rsidR="00AE6BB7" w:rsidRPr="00EC02CA">
        <w:t>sentence</w:t>
      </w:r>
      <w:r w:rsidR="00434359" w:rsidRPr="00EC02CA">
        <w:t xml:space="preserve"> </w:t>
      </w:r>
      <w:r w:rsidR="00077EC5" w:rsidRPr="00EC02CA">
        <w:t>as a result</w:t>
      </w:r>
      <w:r w:rsidR="00AF7A00" w:rsidRPr="00EC02CA">
        <w:t>,</w:t>
      </w:r>
      <w:r w:rsidR="00077EC5" w:rsidRPr="00EC02CA">
        <w:rPr>
          <w:rStyle w:val="FootnoteReference"/>
        </w:rPr>
        <w:footnoteReference w:id="909"/>
      </w:r>
      <w:r w:rsidR="00A80FF8" w:rsidRPr="00EC02CA">
        <w:t xml:space="preserve"> </w:t>
      </w:r>
      <w:r w:rsidR="00AF7A00" w:rsidRPr="00EC02CA">
        <w:t xml:space="preserve">and it is unclear what effect </w:t>
      </w:r>
      <w:r w:rsidR="00953654" w:rsidRPr="00EC02CA">
        <w:t xml:space="preserve">an offender’s </w:t>
      </w:r>
      <w:r w:rsidR="00AF7A00" w:rsidRPr="00EC02CA">
        <w:t xml:space="preserve">participation </w:t>
      </w:r>
      <w:r w:rsidR="00953654" w:rsidRPr="00EC02CA">
        <w:t>has</w:t>
      </w:r>
      <w:r w:rsidR="00AF7A00" w:rsidRPr="00EC02CA">
        <w:t xml:space="preserve"> on sentencing practice</w:t>
      </w:r>
      <w:r w:rsidR="00124AEC" w:rsidRPr="00EC02CA">
        <w:t>.</w:t>
      </w:r>
      <w:r w:rsidR="00124AEC" w:rsidRPr="00EC02CA">
        <w:rPr>
          <w:rStyle w:val="FootnoteReference"/>
        </w:rPr>
        <w:footnoteReference w:id="910"/>
      </w:r>
    </w:p>
    <w:p w14:paraId="21ADDD0D" w14:textId="7A14DBDA" w:rsidR="00854F37" w:rsidRPr="00EC02CA" w:rsidRDefault="00250C61" w:rsidP="002F0007">
      <w:pPr>
        <w:pStyle w:val="NormalNumberedTextTLRI"/>
      </w:pPr>
      <w:r w:rsidRPr="00EC02CA">
        <w:t xml:space="preserve">In </w:t>
      </w:r>
      <w:r w:rsidR="00854F37" w:rsidRPr="00EC02CA">
        <w:t>W</w:t>
      </w:r>
      <w:r w:rsidR="006C0734" w:rsidRPr="00EC02CA">
        <w:t xml:space="preserve">estern </w:t>
      </w:r>
      <w:r w:rsidR="00854F37" w:rsidRPr="00EC02CA">
        <w:t>A</w:t>
      </w:r>
      <w:r w:rsidR="006C0734" w:rsidRPr="00EC02CA">
        <w:t>ustralia</w:t>
      </w:r>
      <w:r w:rsidR="001E1C37" w:rsidRPr="00EC02CA">
        <w:t xml:space="preserve">, the court can refer a person </w:t>
      </w:r>
      <w:r w:rsidR="00953654" w:rsidRPr="00EC02CA">
        <w:t xml:space="preserve">to </w:t>
      </w:r>
      <w:r w:rsidR="001E1C37" w:rsidRPr="00EC02CA">
        <w:t>the</w:t>
      </w:r>
      <w:r w:rsidR="005A1F7E" w:rsidRPr="00EC02CA">
        <w:t xml:space="preserve"> </w:t>
      </w:r>
      <w:r w:rsidR="001E1C37" w:rsidRPr="00EC02CA">
        <w:t>juvenile justice team</w:t>
      </w:r>
      <w:r w:rsidR="005A1F7E" w:rsidRPr="00EC02CA">
        <w:t xml:space="preserve"> as an alternative to formal adjudication</w:t>
      </w:r>
      <w:r w:rsidR="000925C7" w:rsidRPr="00EC02CA">
        <w:t>.</w:t>
      </w:r>
      <w:r w:rsidR="000925C7" w:rsidRPr="00EC02CA">
        <w:rPr>
          <w:rStyle w:val="FootnoteReference"/>
        </w:rPr>
        <w:footnoteReference w:id="911"/>
      </w:r>
      <w:r w:rsidR="005A1F7E" w:rsidRPr="00EC02CA">
        <w:t xml:space="preserve"> </w:t>
      </w:r>
      <w:r w:rsidR="00BA0500" w:rsidRPr="00EC02CA">
        <w:t>This</w:t>
      </w:r>
      <w:r w:rsidR="001430A5" w:rsidRPr="00EC02CA">
        <w:t xml:space="preserve"> is available for children and young people for lesser offences, including less serious sexual offences. </w:t>
      </w:r>
      <w:r w:rsidR="009E56B5" w:rsidRPr="00EC02CA">
        <w:t xml:space="preserve">However, a </w:t>
      </w:r>
      <w:r w:rsidR="00C86688" w:rsidRPr="00EC02CA">
        <w:t>number of offences</w:t>
      </w:r>
      <w:r w:rsidR="00953654" w:rsidRPr="00EC02CA">
        <w:t>,</w:t>
      </w:r>
      <w:r w:rsidR="00C86688" w:rsidRPr="00EC02CA">
        <w:t xml:space="preserve"> including sexual offences (sexually penetrating a child under 13, sexually penetrating a child relative where the child is under 16, indecent assault, aggravated indecent assault, </w:t>
      </w:r>
      <w:r w:rsidR="00953654" w:rsidRPr="00EC02CA">
        <w:t xml:space="preserve">and </w:t>
      </w:r>
      <w:r w:rsidR="00C86688" w:rsidRPr="00EC02CA">
        <w:t>sexual penetration without consent) are excluded from referral</w:t>
      </w:r>
      <w:r w:rsidR="009E56B5" w:rsidRPr="00EC02CA">
        <w:t>.</w:t>
      </w:r>
      <w:r w:rsidR="009E56B5" w:rsidRPr="00EC02CA">
        <w:rPr>
          <w:rStyle w:val="FootnoteReference"/>
          <w:sz w:val="20"/>
        </w:rPr>
        <w:footnoteReference w:id="912"/>
      </w:r>
      <w:r w:rsidR="009E56B5" w:rsidRPr="00EC02CA">
        <w:t xml:space="preserve"> </w:t>
      </w:r>
      <w:r w:rsidR="009A0267" w:rsidRPr="00EC02CA">
        <w:t xml:space="preserve">There is also power for the court to refer </w:t>
      </w:r>
      <w:r w:rsidR="0024488E" w:rsidRPr="00EC02CA">
        <w:t xml:space="preserve">a young person to juvenile justice </w:t>
      </w:r>
      <w:r w:rsidR="005A1F7E" w:rsidRPr="00EC02CA">
        <w:t>under</w:t>
      </w:r>
      <w:r w:rsidR="00D40203" w:rsidRPr="00EC02CA">
        <w:t xml:space="preserve"> the </w:t>
      </w:r>
      <w:r w:rsidR="00D40203" w:rsidRPr="00EC02CA">
        <w:rPr>
          <w:i/>
          <w:iCs/>
        </w:rPr>
        <w:t>Youth Justice Act 1994</w:t>
      </w:r>
      <w:r w:rsidR="00D40203" w:rsidRPr="00EC02CA">
        <w:t xml:space="preserve"> (WA)</w:t>
      </w:r>
      <w:r w:rsidR="005A1F7E" w:rsidRPr="00EC02CA">
        <w:t xml:space="preserve"> s 68 </w:t>
      </w:r>
      <w:r w:rsidR="00D40203" w:rsidRPr="00EC02CA">
        <w:t>instead of imposing punishment</w:t>
      </w:r>
      <w:r w:rsidR="005A1F7E" w:rsidRPr="00EC02CA">
        <w:t>.</w:t>
      </w:r>
      <w:r w:rsidR="005A1F7E" w:rsidRPr="00EC02CA">
        <w:rPr>
          <w:rStyle w:val="FootnoteReference"/>
          <w:sz w:val="20"/>
        </w:rPr>
        <w:footnoteReference w:id="913"/>
      </w:r>
      <w:r w:rsidR="005A1F7E" w:rsidRPr="00EC02CA">
        <w:t xml:space="preserve"> This is in the nature of a preliminary disposition, and following successful completion of a court conference the cha</w:t>
      </w:r>
      <w:r w:rsidR="00953654" w:rsidRPr="00EC02CA">
        <w:t>r</w:t>
      </w:r>
      <w:r w:rsidR="005A1F7E" w:rsidRPr="00EC02CA">
        <w:t xml:space="preserve">ge </w:t>
      </w:r>
      <w:r w:rsidR="002C1E4A" w:rsidRPr="00EC02CA">
        <w:t>is</w:t>
      </w:r>
      <w:r w:rsidR="005A1F7E" w:rsidRPr="00EC02CA">
        <w:t xml:space="preserve"> </w:t>
      </w:r>
      <w:r w:rsidR="00953654" w:rsidRPr="00EC02CA">
        <w:t>finalised</w:t>
      </w:r>
      <w:r w:rsidR="005A1F7E" w:rsidRPr="00EC02CA">
        <w:t xml:space="preserve"> under s 67 (undertaking and informal punishment</w:t>
      </w:r>
      <w:r w:rsidR="006743AA" w:rsidRPr="00EC02CA">
        <w:t>).</w:t>
      </w:r>
    </w:p>
    <w:p w14:paraId="314E3DB9" w14:textId="68C20B28" w:rsidR="00E91AB3" w:rsidRPr="00EC02CA" w:rsidRDefault="003B6757" w:rsidP="002F0007">
      <w:pPr>
        <w:pStyle w:val="NormalNumberedTextTLRI"/>
      </w:pPr>
      <w:r w:rsidRPr="00EC02CA">
        <w:t xml:space="preserve">Informed by these models, the TLRI’s view is that consultation should take place with stakeholders about an approach </w:t>
      </w:r>
      <w:r w:rsidR="00AF7A00" w:rsidRPr="00EC02CA">
        <w:t>that would be suitable for use</w:t>
      </w:r>
      <w:r w:rsidRPr="00EC02CA">
        <w:t xml:space="preserve"> in Tasmania. </w:t>
      </w:r>
      <w:r w:rsidR="00AF7A00" w:rsidRPr="00EC02CA">
        <w:t xml:space="preserve">Again, as noted at </w:t>
      </w:r>
      <w:r w:rsidR="0012552B" w:rsidRPr="00EC02CA">
        <w:t>[</w:t>
      </w:r>
      <w:r w:rsidR="001A5EEE" w:rsidRPr="00EC02CA">
        <w:fldChar w:fldCharType="begin"/>
      </w:r>
      <w:r w:rsidR="001A5EEE" w:rsidRPr="00EC02CA">
        <w:instrText xml:space="preserve"> REF _Ref218242097 \r \h </w:instrText>
      </w:r>
      <w:r w:rsidR="001A5EEE" w:rsidRPr="00EC02CA">
        <w:fldChar w:fldCharType="separate"/>
      </w:r>
      <w:r w:rsidR="007D7830">
        <w:t>7.3</w:t>
      </w:r>
      <w:r w:rsidR="001A5EEE" w:rsidRPr="00EC02CA">
        <w:fldChar w:fldCharType="end"/>
      </w:r>
      <w:r w:rsidR="0012552B" w:rsidRPr="00EC02CA">
        <w:t>]</w:t>
      </w:r>
      <w:r w:rsidR="007F0D08" w:rsidRPr="00EC02CA">
        <w:t xml:space="preserve"> and [</w:t>
      </w:r>
      <w:r w:rsidR="001A5EEE" w:rsidRPr="00EC02CA">
        <w:fldChar w:fldCharType="begin"/>
      </w:r>
      <w:r w:rsidR="001A5EEE" w:rsidRPr="00EC02CA">
        <w:instrText xml:space="preserve"> REF _Ref218242107 \r \h </w:instrText>
      </w:r>
      <w:r w:rsidR="001A5EEE" w:rsidRPr="00EC02CA">
        <w:fldChar w:fldCharType="separate"/>
      </w:r>
      <w:r w:rsidR="007D7830">
        <w:t>7.7</w:t>
      </w:r>
      <w:r w:rsidR="001A5EEE" w:rsidRPr="00EC02CA">
        <w:fldChar w:fldCharType="end"/>
      </w:r>
      <w:r w:rsidR="007F0D08" w:rsidRPr="00EC02CA">
        <w:t>]</w:t>
      </w:r>
      <w:r w:rsidR="00AF7A00" w:rsidRPr="00EC02CA">
        <w:t xml:space="preserve">, the TLRI also observes that </w:t>
      </w:r>
      <w:r w:rsidR="00D87044" w:rsidRPr="00EC02CA">
        <w:t xml:space="preserve">any </w:t>
      </w:r>
      <w:r w:rsidR="00AF7A00" w:rsidRPr="00EC02CA">
        <w:t>i</w:t>
      </w:r>
      <w:r w:rsidRPr="00EC02CA">
        <w:t xml:space="preserve">mplementation of restorative justice in the context of sexual offending will need to be carefully designed </w:t>
      </w:r>
      <w:r w:rsidR="00D87044" w:rsidRPr="00EC02CA">
        <w:t xml:space="preserve">– </w:t>
      </w:r>
      <w:r w:rsidRPr="00EC02CA">
        <w:t>and appropriate</w:t>
      </w:r>
      <w:r w:rsidR="00D87044" w:rsidRPr="00EC02CA">
        <w:t>ly</w:t>
      </w:r>
      <w:r w:rsidRPr="00EC02CA">
        <w:t xml:space="preserve"> resourced with skilled staff</w:t>
      </w:r>
      <w:r w:rsidR="00D87044" w:rsidRPr="00EC02CA">
        <w:t xml:space="preserve"> – in order</w:t>
      </w:r>
      <w:r w:rsidRPr="00EC02CA">
        <w:t xml:space="preserve"> to create a meaningful process for offenders and ensure the wellbeing of </w:t>
      </w:r>
      <w:r w:rsidR="003C2332" w:rsidRPr="00EC02CA">
        <w:t>victim-survivors</w:t>
      </w:r>
      <w:r w:rsidRPr="00EC02CA">
        <w:t>.</w:t>
      </w:r>
    </w:p>
    <w:p w14:paraId="35DD055F" w14:textId="786AF2CD" w:rsidR="00AB1207" w:rsidRPr="00EC02CA" w:rsidRDefault="00AB1207" w:rsidP="00ED2E47">
      <w:pPr>
        <w:pStyle w:val="Sub-HeadingTLRI"/>
      </w:pPr>
      <w:bookmarkStart w:id="470" w:name="_Toc211849468"/>
      <w:bookmarkStart w:id="471" w:name="_Toc218157372"/>
      <w:r w:rsidRPr="00EC02CA">
        <w:t>Diversion to therapeutic services</w:t>
      </w:r>
      <w:bookmarkEnd w:id="470"/>
      <w:bookmarkEnd w:id="471"/>
      <w:r w:rsidR="00A821F3" w:rsidRPr="00EC02CA">
        <w:t xml:space="preserve"> </w:t>
      </w:r>
    </w:p>
    <w:p w14:paraId="2DAE9BA3" w14:textId="782EDEA2" w:rsidR="00C35478" w:rsidRPr="00EC02CA" w:rsidRDefault="00A66E5E" w:rsidP="002F0007">
      <w:pPr>
        <w:pStyle w:val="NormalNumberedTextTLRI"/>
      </w:pPr>
      <w:r w:rsidRPr="00EC02CA">
        <w:t>As noted, c</w:t>
      </w:r>
      <w:r w:rsidR="00A7368A" w:rsidRPr="00EC02CA">
        <w:t>urrently</w:t>
      </w:r>
      <w:r w:rsidR="00C56CE8" w:rsidRPr="00EC02CA">
        <w:t xml:space="preserve"> in Tasmania,</w:t>
      </w:r>
      <w:r w:rsidR="00F700C4" w:rsidRPr="00EC02CA">
        <w:t xml:space="preserve"> under the </w:t>
      </w:r>
      <w:r w:rsidR="00F700C4" w:rsidRPr="00EC02CA">
        <w:rPr>
          <w:i/>
        </w:rPr>
        <w:t xml:space="preserve">Youth Justice Act 1997 </w:t>
      </w:r>
      <w:r w:rsidR="00F700C4" w:rsidRPr="00EC02CA">
        <w:t>(Tas)</w:t>
      </w:r>
      <w:r w:rsidRPr="00EC02CA">
        <w:t xml:space="preserve"> and the </w:t>
      </w:r>
      <w:r w:rsidRPr="00EC02CA">
        <w:rPr>
          <w:i/>
        </w:rPr>
        <w:t xml:space="preserve">Sentencing Act 1997 </w:t>
      </w:r>
      <w:r w:rsidRPr="00EC02CA">
        <w:t xml:space="preserve">(Tas) </w:t>
      </w:r>
      <w:r w:rsidR="00A7368A" w:rsidRPr="00EC02CA">
        <w:t>a court can defer sentencing to allow a</w:t>
      </w:r>
      <w:r w:rsidR="00F700C4" w:rsidRPr="00EC02CA">
        <w:t xml:space="preserve"> young person to participate in treatment.</w:t>
      </w:r>
      <w:r w:rsidRPr="00EC02CA">
        <w:t xml:space="preserve"> However, t</w:t>
      </w:r>
      <w:r w:rsidR="001777D5" w:rsidRPr="00EC02CA">
        <w:t xml:space="preserve">his power does not exist before a </w:t>
      </w:r>
      <w:r w:rsidR="00E05025" w:rsidRPr="00EC02CA">
        <w:t xml:space="preserve">guilty </w:t>
      </w:r>
      <w:r w:rsidR="001777D5" w:rsidRPr="00EC02CA">
        <w:t xml:space="preserve">plea or </w:t>
      </w:r>
      <w:r w:rsidR="00E05025" w:rsidRPr="00EC02CA">
        <w:t xml:space="preserve">a </w:t>
      </w:r>
      <w:r w:rsidR="001777D5" w:rsidRPr="00EC02CA">
        <w:t xml:space="preserve">finding of guilt. In contrast, in </w:t>
      </w:r>
      <w:r w:rsidR="008F3B4C" w:rsidRPr="00EC02CA">
        <w:t>Victoria,</w:t>
      </w:r>
      <w:r w:rsidR="008E4234" w:rsidRPr="00EC02CA">
        <w:t xml:space="preserve"> </w:t>
      </w:r>
      <w:r w:rsidR="005473D1" w:rsidRPr="00EC02CA">
        <w:t xml:space="preserve">there is power for a court to </w:t>
      </w:r>
      <w:r w:rsidR="00E74274" w:rsidRPr="00EC02CA">
        <w:t>adjourn a criminal case before taking a plea</w:t>
      </w:r>
      <w:r w:rsidR="00E05025" w:rsidRPr="00EC02CA">
        <w:t>,</w:t>
      </w:r>
      <w:r w:rsidR="00E74274" w:rsidRPr="00EC02CA">
        <w:t xml:space="preserve"> and </w:t>
      </w:r>
      <w:r w:rsidR="005473D1" w:rsidRPr="00EC02CA">
        <w:t xml:space="preserve">divert a young person </w:t>
      </w:r>
      <w:r w:rsidR="00644A3C" w:rsidRPr="00EC02CA">
        <w:t xml:space="preserve">to </w:t>
      </w:r>
      <w:r w:rsidR="00E74274" w:rsidRPr="00EC02CA">
        <w:t xml:space="preserve">a therapeutic program. </w:t>
      </w:r>
      <w:r w:rsidR="00577687" w:rsidRPr="00EC02CA">
        <w:t xml:space="preserve">At </w:t>
      </w:r>
      <w:r w:rsidR="007654B8" w:rsidRPr="00EC02CA">
        <w:t>[</w:t>
      </w:r>
      <w:r w:rsidR="001A5EEE" w:rsidRPr="00EC02CA">
        <w:fldChar w:fldCharType="begin"/>
      </w:r>
      <w:r w:rsidR="001A5EEE" w:rsidRPr="00EC02CA">
        <w:instrText xml:space="preserve"> REF _Ref218242119 \r \h </w:instrText>
      </w:r>
      <w:r w:rsidR="001A5EEE" w:rsidRPr="00EC02CA">
        <w:fldChar w:fldCharType="separate"/>
      </w:r>
      <w:r w:rsidR="007D7830">
        <w:t>6.5</w:t>
      </w:r>
      <w:r w:rsidR="001A5EEE" w:rsidRPr="00EC02CA">
        <w:fldChar w:fldCharType="end"/>
      </w:r>
      <w:r w:rsidR="007654B8" w:rsidRPr="00EC02CA">
        <w:t>]</w:t>
      </w:r>
      <w:r w:rsidR="008E4234" w:rsidRPr="00EC02CA">
        <w:t xml:space="preserve">, </w:t>
      </w:r>
      <w:r w:rsidR="009F5DDF" w:rsidRPr="00EC02CA">
        <w:t>t</w:t>
      </w:r>
      <w:r w:rsidR="00F94B4D" w:rsidRPr="00EC02CA">
        <w:t xml:space="preserve">he TLRI </w:t>
      </w:r>
      <w:r w:rsidR="00A576D4" w:rsidRPr="00EC02CA">
        <w:t xml:space="preserve">discussed the </w:t>
      </w:r>
      <w:r w:rsidR="003038C0" w:rsidRPr="00EC02CA">
        <w:t>Victorian</w:t>
      </w:r>
      <w:r w:rsidR="00A576D4" w:rsidRPr="00EC02CA">
        <w:t xml:space="preserve"> model of </w:t>
      </w:r>
      <w:r w:rsidR="003038C0" w:rsidRPr="00EC02CA">
        <w:t>therapeutic</w:t>
      </w:r>
      <w:r w:rsidR="00A576D4" w:rsidRPr="00EC02CA">
        <w:t xml:space="preserve"> </w:t>
      </w:r>
      <w:r w:rsidR="003038C0" w:rsidRPr="00EC02CA">
        <w:t>treatment</w:t>
      </w:r>
      <w:r w:rsidR="00A576D4" w:rsidRPr="00EC02CA">
        <w:t xml:space="preserve"> orders</w:t>
      </w:r>
      <w:r w:rsidR="003038C0" w:rsidRPr="00EC02CA">
        <w:t xml:space="preserve"> </w:t>
      </w:r>
      <w:r w:rsidR="00F04821" w:rsidRPr="00EC02CA">
        <w:t>(TTO</w:t>
      </w:r>
      <w:r w:rsidR="00F66DED" w:rsidRPr="00EC02CA">
        <w:t>s</w:t>
      </w:r>
      <w:r w:rsidR="00F04821" w:rsidRPr="00EC02CA">
        <w:t xml:space="preserve">) </w:t>
      </w:r>
      <w:r w:rsidR="003038C0" w:rsidRPr="00EC02CA">
        <w:t xml:space="preserve">that operate separately from the criminal </w:t>
      </w:r>
      <w:r w:rsidR="00E05025" w:rsidRPr="00EC02CA">
        <w:t>justice system</w:t>
      </w:r>
      <w:r w:rsidR="001B6804" w:rsidRPr="00EC02CA">
        <w:t xml:space="preserve">, and allow the </w:t>
      </w:r>
      <w:r w:rsidR="00EB4C44" w:rsidRPr="00EC02CA">
        <w:t>Family Division of the Children’s Court to impose</w:t>
      </w:r>
      <w:r w:rsidR="00F04821" w:rsidRPr="00EC02CA">
        <w:t xml:space="preserve"> a </w:t>
      </w:r>
      <w:r w:rsidR="00577687" w:rsidRPr="00EC02CA">
        <w:t xml:space="preserve">treatment order </w:t>
      </w:r>
      <w:r w:rsidR="006F5D91" w:rsidRPr="00EC02CA">
        <w:t xml:space="preserve">on a young person </w:t>
      </w:r>
      <w:r w:rsidR="00E05025" w:rsidRPr="00EC02CA">
        <w:t xml:space="preserve">who engages in </w:t>
      </w:r>
      <w:r w:rsidR="006F5D91" w:rsidRPr="00EC02CA">
        <w:t>harmful sexual behaviour</w:t>
      </w:r>
      <w:r w:rsidR="003038C0" w:rsidRPr="00EC02CA">
        <w:t xml:space="preserve">. </w:t>
      </w:r>
      <w:r w:rsidR="00F04821" w:rsidRPr="00EC02CA">
        <w:t>This</w:t>
      </w:r>
      <w:r w:rsidR="008E4234" w:rsidRPr="00EC02CA">
        <w:t xml:space="preserve"> </w:t>
      </w:r>
      <w:r w:rsidR="00F249D3" w:rsidRPr="00EC02CA">
        <w:t xml:space="preserve">legislative </w:t>
      </w:r>
      <w:r w:rsidR="00A61450" w:rsidRPr="00EC02CA">
        <w:t>framework</w:t>
      </w:r>
      <w:r w:rsidR="00F249D3" w:rsidRPr="00EC02CA">
        <w:t xml:space="preserve"> </w:t>
      </w:r>
      <w:r w:rsidR="00B463C1" w:rsidRPr="00EC02CA">
        <w:t>also</w:t>
      </w:r>
      <w:r w:rsidR="00807B91" w:rsidRPr="00EC02CA">
        <w:t xml:space="preserve"> </w:t>
      </w:r>
      <w:r w:rsidR="006F5D91" w:rsidRPr="00EC02CA">
        <w:t>interacts with the criminal justice system. Th</w:t>
      </w:r>
      <w:r w:rsidR="00B463C1" w:rsidRPr="00EC02CA">
        <w:t>e Criminal Division of the Children’s Court</w:t>
      </w:r>
      <w:r w:rsidR="00F809E9" w:rsidRPr="00EC02CA">
        <w:t xml:space="preserve">, with the consent of the prosecutor, </w:t>
      </w:r>
      <w:r w:rsidR="00AE0DF6" w:rsidRPr="00EC02CA">
        <w:t xml:space="preserve">can adjourn a matter </w:t>
      </w:r>
      <w:r w:rsidR="006F5D91" w:rsidRPr="00EC02CA">
        <w:t xml:space="preserve">where a child has agreed to </w:t>
      </w:r>
      <w:r w:rsidR="00EE61F7" w:rsidRPr="00EC02CA">
        <w:t>participate</w:t>
      </w:r>
      <w:r w:rsidR="00AE0DF6" w:rsidRPr="00EC02CA">
        <w:t xml:space="preserve"> in </w:t>
      </w:r>
      <w:r w:rsidR="006B37CC" w:rsidRPr="00EC02CA">
        <w:t>a</w:t>
      </w:r>
      <w:r w:rsidR="00AE0DF6" w:rsidRPr="00EC02CA">
        <w:t xml:space="preserve"> </w:t>
      </w:r>
      <w:r w:rsidR="00EE61F7" w:rsidRPr="00EC02CA">
        <w:t>therapeutic</w:t>
      </w:r>
      <w:r w:rsidR="00AE0DF6" w:rsidRPr="00EC02CA">
        <w:t xml:space="preserve"> </w:t>
      </w:r>
      <w:r w:rsidR="00EE61F7" w:rsidRPr="00EC02CA">
        <w:t>treatment</w:t>
      </w:r>
      <w:r w:rsidR="00AE0DF6" w:rsidRPr="00EC02CA">
        <w:t xml:space="preserve"> program</w:t>
      </w:r>
      <w:r w:rsidR="00DB4E31" w:rsidRPr="00EC02CA">
        <w:t>,</w:t>
      </w:r>
      <w:r w:rsidR="001505FA" w:rsidRPr="00EC02CA">
        <w:t xml:space="preserve"> and if </w:t>
      </w:r>
      <w:r w:rsidR="00CC4FAA" w:rsidRPr="00EC02CA">
        <w:t xml:space="preserve">this </w:t>
      </w:r>
      <w:r w:rsidR="005D3711" w:rsidRPr="00EC02CA">
        <w:t xml:space="preserve">program </w:t>
      </w:r>
      <w:r w:rsidR="00CC4FAA" w:rsidRPr="00EC02CA">
        <w:t>is satisfactorily completed, the court must discha</w:t>
      </w:r>
      <w:r w:rsidR="00732CBF" w:rsidRPr="00EC02CA">
        <w:t>rge the matter.</w:t>
      </w:r>
      <w:r w:rsidR="00732CBF" w:rsidRPr="00EC02CA">
        <w:rPr>
          <w:rStyle w:val="FootnoteReference"/>
        </w:rPr>
        <w:footnoteReference w:id="914"/>
      </w:r>
      <w:r w:rsidR="00A057A4" w:rsidRPr="00EC02CA">
        <w:t xml:space="preserve"> </w:t>
      </w:r>
      <w:r w:rsidR="00DB18A5" w:rsidRPr="00EC02CA">
        <w:t>I</w:t>
      </w:r>
      <w:r w:rsidR="005D3711" w:rsidRPr="00EC02CA">
        <w:t>n addition, the Criminal Division</w:t>
      </w:r>
      <w:r w:rsidR="00E557EA" w:rsidRPr="00EC02CA">
        <w:t xml:space="preserve"> may</w:t>
      </w:r>
      <w:r w:rsidR="00F809E9" w:rsidRPr="00EC02CA">
        <w:t xml:space="preserve">, with the </w:t>
      </w:r>
      <w:r w:rsidR="00CF53C7" w:rsidRPr="00EC02CA">
        <w:t xml:space="preserve">prosecutor’s consent, </w:t>
      </w:r>
      <w:r w:rsidR="00E557EA" w:rsidRPr="00EC02CA">
        <w:t xml:space="preserve">refer </w:t>
      </w:r>
      <w:r w:rsidR="00FA2136" w:rsidRPr="00EC02CA">
        <w:t xml:space="preserve">the young </w:t>
      </w:r>
      <w:r w:rsidR="00B434BD" w:rsidRPr="00EC02CA">
        <w:t>person t</w:t>
      </w:r>
      <w:r w:rsidR="00FA2136" w:rsidRPr="00EC02CA">
        <w:t xml:space="preserve">o the </w:t>
      </w:r>
      <w:r w:rsidR="00B434BD" w:rsidRPr="00EC02CA">
        <w:t>Secretary</w:t>
      </w:r>
      <w:r w:rsidR="00FA2136" w:rsidRPr="00EC02CA">
        <w:t xml:space="preserve"> for investigation about making a TTO</w:t>
      </w:r>
      <w:r w:rsidR="00E05025" w:rsidRPr="00EC02CA">
        <w:t>,</w:t>
      </w:r>
      <w:r w:rsidR="00814F2D" w:rsidRPr="00EC02CA">
        <w:t xml:space="preserve"> and if the order is made by the Family Division of the </w:t>
      </w:r>
      <w:r w:rsidR="00B434BD" w:rsidRPr="00EC02CA">
        <w:t>Children’s</w:t>
      </w:r>
      <w:r w:rsidR="00814F2D" w:rsidRPr="00EC02CA">
        <w:t xml:space="preserve"> Court, then the criminal proceedings are adjourned for at least the length of the TTO.</w:t>
      </w:r>
      <w:r w:rsidR="00814F2D" w:rsidRPr="00EC02CA">
        <w:rPr>
          <w:rStyle w:val="FootnoteReference"/>
        </w:rPr>
        <w:footnoteReference w:id="915"/>
      </w:r>
      <w:r w:rsidR="007D047E" w:rsidRPr="00EC02CA">
        <w:t xml:space="preserve"> The Criminal </w:t>
      </w:r>
      <w:r w:rsidR="006F50DC" w:rsidRPr="00EC02CA">
        <w:t xml:space="preserve">Division </w:t>
      </w:r>
      <w:r w:rsidR="000C272A" w:rsidRPr="00EC02CA">
        <w:t xml:space="preserve">retains judicial oversight to </w:t>
      </w:r>
      <w:r w:rsidR="00B434BD" w:rsidRPr="00EC02CA">
        <w:t>monitor</w:t>
      </w:r>
      <w:r w:rsidR="000C272A" w:rsidRPr="00EC02CA">
        <w:t xml:space="preserve"> engagement</w:t>
      </w:r>
      <w:r w:rsidR="00B434BD" w:rsidRPr="00EC02CA">
        <w:t>,</w:t>
      </w:r>
      <w:r w:rsidR="000C272A" w:rsidRPr="00EC02CA">
        <w:rPr>
          <w:rStyle w:val="FootnoteReference"/>
        </w:rPr>
        <w:footnoteReference w:id="916"/>
      </w:r>
      <w:r w:rsidR="00B434BD" w:rsidRPr="00EC02CA">
        <w:t xml:space="preserve"> and if the treatment program is </w:t>
      </w:r>
      <w:r w:rsidR="005A79B8" w:rsidRPr="00EC02CA">
        <w:t>satisfactorily</w:t>
      </w:r>
      <w:r w:rsidR="00B434BD" w:rsidRPr="00EC02CA">
        <w:t xml:space="preserve"> completed </w:t>
      </w:r>
      <w:r w:rsidR="005A79B8" w:rsidRPr="00EC02CA">
        <w:t>then</w:t>
      </w:r>
      <w:r w:rsidR="00B434BD" w:rsidRPr="00EC02CA">
        <w:t xml:space="preserve"> </w:t>
      </w:r>
      <w:r w:rsidR="005A79B8" w:rsidRPr="00EC02CA">
        <w:t xml:space="preserve">the </w:t>
      </w:r>
      <w:r w:rsidR="00B434BD" w:rsidRPr="00EC02CA">
        <w:t>court must discharge the matter.</w:t>
      </w:r>
      <w:r w:rsidR="00B434BD" w:rsidRPr="00EC02CA">
        <w:rPr>
          <w:rStyle w:val="FootnoteReference"/>
        </w:rPr>
        <w:footnoteReference w:id="917"/>
      </w:r>
      <w:r w:rsidR="00F849CB" w:rsidRPr="00EC02CA">
        <w:t xml:space="preserve"> </w:t>
      </w:r>
    </w:p>
    <w:p w14:paraId="673638B6" w14:textId="6BEBE814" w:rsidR="00CF53C7" w:rsidRPr="00EC02CA" w:rsidRDefault="00CD624C" w:rsidP="002F0007">
      <w:pPr>
        <w:pStyle w:val="NormalNumberedTextTLRI"/>
      </w:pPr>
      <w:r w:rsidRPr="00EC02CA">
        <w:t xml:space="preserve">The </w:t>
      </w:r>
      <w:r w:rsidR="00D21795" w:rsidRPr="00EC02CA">
        <w:t>Victorian</w:t>
      </w:r>
      <w:r w:rsidRPr="00EC02CA">
        <w:t xml:space="preserve"> provisions relating to TTOs potentially apply to all sexual offences</w:t>
      </w:r>
      <w:r w:rsidR="00D21795" w:rsidRPr="00EC02CA">
        <w:t xml:space="preserve">. </w:t>
      </w:r>
      <w:r w:rsidR="007F364E" w:rsidRPr="00EC02CA">
        <w:t xml:space="preserve">In </w:t>
      </w:r>
      <w:r w:rsidR="00432AE8" w:rsidRPr="00EC02CA">
        <w:t>Victoria</w:t>
      </w:r>
      <w:r w:rsidR="007F364E" w:rsidRPr="00EC02CA">
        <w:t xml:space="preserve">, the Criminal Division of the </w:t>
      </w:r>
      <w:r w:rsidR="00432AE8" w:rsidRPr="00EC02CA">
        <w:t>Children’s</w:t>
      </w:r>
      <w:r w:rsidR="007F364E" w:rsidRPr="00EC02CA">
        <w:t xml:space="preserve"> Court </w:t>
      </w:r>
      <w:r w:rsidR="00432AE8" w:rsidRPr="00EC02CA">
        <w:t xml:space="preserve">has jurisdiction to hear all </w:t>
      </w:r>
      <w:r w:rsidR="00D21795" w:rsidRPr="00EC02CA">
        <w:t>sexual</w:t>
      </w:r>
      <w:r w:rsidR="00432AE8" w:rsidRPr="00EC02CA">
        <w:t xml:space="preserve"> offences against a child or young person</w:t>
      </w:r>
      <w:r w:rsidRPr="00EC02CA">
        <w:t xml:space="preserve">, however it can order an ‘uplift’ to a </w:t>
      </w:r>
      <w:r w:rsidR="00D21795" w:rsidRPr="00EC02CA">
        <w:t>higher</w:t>
      </w:r>
      <w:r w:rsidRPr="00EC02CA">
        <w:t xml:space="preserve"> court</w:t>
      </w:r>
      <w:r w:rsidR="00286893" w:rsidRPr="00EC02CA">
        <w:t>,</w:t>
      </w:r>
      <w:r w:rsidRPr="00EC02CA">
        <w:t xml:space="preserve"> if exceptional </w:t>
      </w:r>
      <w:r w:rsidR="00D21795" w:rsidRPr="00EC02CA">
        <w:t>circumstances</w:t>
      </w:r>
      <w:r w:rsidRPr="00EC02CA">
        <w:t xml:space="preserve"> exist</w:t>
      </w:r>
      <w:r w:rsidR="00286893" w:rsidRPr="00EC02CA">
        <w:t>,</w:t>
      </w:r>
      <w:r w:rsidRPr="00EC02CA">
        <w:t xml:space="preserve"> for indictable offences.</w:t>
      </w:r>
      <w:r w:rsidR="00D21795" w:rsidRPr="00EC02CA">
        <w:rPr>
          <w:rStyle w:val="FootnoteReference"/>
        </w:rPr>
        <w:footnoteReference w:id="918"/>
      </w:r>
      <w:r w:rsidRPr="00EC02CA">
        <w:t xml:space="preserve"> </w:t>
      </w:r>
      <w:r w:rsidR="00D21795" w:rsidRPr="00EC02CA">
        <w:t xml:space="preserve">For a young person </w:t>
      </w:r>
      <w:r w:rsidR="00286893" w:rsidRPr="00EC02CA">
        <w:t xml:space="preserve">aged </w:t>
      </w:r>
      <w:r w:rsidR="00D21795" w:rsidRPr="00EC02CA">
        <w:t xml:space="preserve">16 or older, the court must consider whether the </w:t>
      </w:r>
      <w:r w:rsidR="00286893" w:rsidRPr="00EC02CA">
        <w:t xml:space="preserve">matter </w:t>
      </w:r>
      <w:r w:rsidR="00D21795" w:rsidRPr="00EC02CA">
        <w:t>is u</w:t>
      </w:r>
      <w:r w:rsidR="00255ED8" w:rsidRPr="00EC02CA">
        <w:t>nsuit</w:t>
      </w:r>
      <w:r w:rsidR="00D21795" w:rsidRPr="00EC02CA">
        <w:t xml:space="preserve">able to be heard in the </w:t>
      </w:r>
      <w:r w:rsidR="00414874" w:rsidRPr="00EC02CA">
        <w:t>Children’s</w:t>
      </w:r>
      <w:r w:rsidR="00D21795" w:rsidRPr="00EC02CA">
        <w:t xml:space="preserve"> Court for </w:t>
      </w:r>
      <w:r w:rsidR="00286893" w:rsidRPr="00EC02CA">
        <w:t xml:space="preserve">charges of </w:t>
      </w:r>
      <w:r w:rsidR="00D21795" w:rsidRPr="00EC02CA">
        <w:t>rape</w:t>
      </w:r>
      <w:r w:rsidR="00286893" w:rsidRPr="00EC02CA">
        <w:t>,</w:t>
      </w:r>
      <w:r w:rsidR="00D21795" w:rsidRPr="00EC02CA">
        <w:t xml:space="preserve"> and rape compelling sexual </w:t>
      </w:r>
      <w:r w:rsidR="00414874" w:rsidRPr="00EC02CA">
        <w:t>penetration.</w:t>
      </w:r>
      <w:r w:rsidR="00414874" w:rsidRPr="00EC02CA">
        <w:rPr>
          <w:rStyle w:val="FootnoteReference"/>
        </w:rPr>
        <w:footnoteReference w:id="919"/>
      </w:r>
      <w:r w:rsidR="00414874" w:rsidRPr="00EC02CA">
        <w:t xml:space="preserve"> </w:t>
      </w:r>
      <w:r w:rsidR="00255ED8" w:rsidRPr="00EC02CA">
        <w:t>In determin</w:t>
      </w:r>
      <w:r w:rsidR="000E30B5" w:rsidRPr="00EC02CA">
        <w:t>ing</w:t>
      </w:r>
      <w:r w:rsidR="00255ED8" w:rsidRPr="00EC02CA">
        <w:t xml:space="preserve"> whether exceptional circumstances </w:t>
      </w:r>
      <w:r w:rsidR="00FC2DA2" w:rsidRPr="00EC02CA">
        <w:t>exist</w:t>
      </w:r>
      <w:r w:rsidR="00255ED8" w:rsidRPr="00EC02CA">
        <w:t xml:space="preserve">, it is noted that the </w:t>
      </w:r>
      <w:r w:rsidR="00FC2DA2" w:rsidRPr="00EC02CA">
        <w:t>test is a particularly high threshold</w:t>
      </w:r>
      <w:r w:rsidR="00286893" w:rsidRPr="00EC02CA">
        <w:t>,</w:t>
      </w:r>
      <w:r w:rsidR="00FC2DA2" w:rsidRPr="00EC02CA">
        <w:t xml:space="preserve"> which requires </w:t>
      </w:r>
      <w:r w:rsidR="00286893" w:rsidRPr="00EC02CA">
        <w:t xml:space="preserve">the circumstances to be </w:t>
      </w:r>
      <w:r w:rsidR="00FC2DA2" w:rsidRPr="00EC02CA">
        <w:t>something more than special, the</w:t>
      </w:r>
      <w:r w:rsidR="00286893" w:rsidRPr="00EC02CA">
        <w:t>y ‘</w:t>
      </w:r>
      <w:r w:rsidR="00FC2DA2" w:rsidRPr="00EC02CA">
        <w:t>must be very unusual’</w:t>
      </w:r>
      <w:r w:rsidR="000E30B5" w:rsidRPr="00EC02CA">
        <w:t>.</w:t>
      </w:r>
      <w:bookmarkStart w:id="472" w:name="_Ref218017039"/>
      <w:r w:rsidR="00CF4358" w:rsidRPr="00EC02CA">
        <w:rPr>
          <w:rStyle w:val="FootnoteReference"/>
        </w:rPr>
        <w:footnoteReference w:id="920"/>
      </w:r>
      <w:bookmarkEnd w:id="472"/>
      <w:r w:rsidR="00255ED8" w:rsidRPr="00EC02CA">
        <w:t xml:space="preserve"> </w:t>
      </w:r>
      <w:r w:rsidR="00414874" w:rsidRPr="00EC02CA">
        <w:t>Certain</w:t>
      </w:r>
      <w:r w:rsidR="00063707" w:rsidRPr="00EC02CA">
        <w:t xml:space="preserve"> offences with </w:t>
      </w:r>
      <w:r w:rsidR="006B65EB" w:rsidRPr="00EC02CA">
        <w:t>mandatory or fixed penalties are excluded</w:t>
      </w:r>
      <w:r w:rsidR="00016366" w:rsidRPr="00EC02CA">
        <w:t xml:space="preserve"> from the TTO framework</w:t>
      </w:r>
      <w:r w:rsidR="006B65EB" w:rsidRPr="00EC02CA">
        <w:t>, but generally there is no</w:t>
      </w:r>
      <w:r w:rsidR="007F364E" w:rsidRPr="00EC02CA">
        <w:t xml:space="preserve"> </w:t>
      </w:r>
      <w:r w:rsidR="006B65EB" w:rsidRPr="00EC02CA">
        <w:t xml:space="preserve">‘serious offence’ exclusion. </w:t>
      </w:r>
      <w:r w:rsidR="00A73B63" w:rsidRPr="00EC02CA">
        <w:t xml:space="preserve">In determining whether to </w:t>
      </w:r>
      <w:r w:rsidR="00CA2E82" w:rsidRPr="00EC02CA">
        <w:t>grant</w:t>
      </w:r>
      <w:r w:rsidR="00A73B63" w:rsidRPr="00EC02CA">
        <w:t xml:space="preserve"> an </w:t>
      </w:r>
      <w:r w:rsidR="00CA2E82" w:rsidRPr="00EC02CA">
        <w:t>adjournment</w:t>
      </w:r>
      <w:r w:rsidR="00286893" w:rsidRPr="00EC02CA">
        <w:t>,</w:t>
      </w:r>
      <w:r w:rsidR="00A73B63" w:rsidRPr="00EC02CA">
        <w:t xml:space="preserve"> </w:t>
      </w:r>
      <w:r w:rsidR="00CA2E82" w:rsidRPr="00EC02CA">
        <w:t>the</w:t>
      </w:r>
      <w:r w:rsidR="00A73B63" w:rsidRPr="00EC02CA">
        <w:t xml:space="preserve"> court </w:t>
      </w:r>
      <w:r w:rsidR="00CA2E82" w:rsidRPr="00EC02CA">
        <w:t>t</w:t>
      </w:r>
      <w:r w:rsidR="00A73B63" w:rsidRPr="00EC02CA">
        <w:t xml:space="preserve">akes into account the </w:t>
      </w:r>
      <w:r w:rsidR="00CA2E82" w:rsidRPr="00EC02CA">
        <w:t>seriousness</w:t>
      </w:r>
      <w:r w:rsidR="00A73B63" w:rsidRPr="00EC02CA">
        <w:t xml:space="preserve"> and nature of the offending, any </w:t>
      </w:r>
      <w:r w:rsidR="00CA2E82" w:rsidRPr="00EC02CA">
        <w:t>previous</w:t>
      </w:r>
      <w:r w:rsidR="00A73B63" w:rsidRPr="00EC02CA">
        <w:t xml:space="preserve"> offending, the impact on the </w:t>
      </w:r>
      <w:r w:rsidR="00886B70" w:rsidRPr="00EC02CA">
        <w:t>victim-survivor</w:t>
      </w:r>
      <w:r w:rsidR="00286893" w:rsidRPr="00EC02CA">
        <w:t>,</w:t>
      </w:r>
      <w:r w:rsidR="00A73B63" w:rsidRPr="00EC02CA">
        <w:t xml:space="preserve"> and the </w:t>
      </w:r>
      <w:r w:rsidR="00CA2E82" w:rsidRPr="00EC02CA">
        <w:t>interests</w:t>
      </w:r>
      <w:r w:rsidR="00A73B63" w:rsidRPr="00EC02CA">
        <w:t xml:space="preserve"> of </w:t>
      </w:r>
      <w:r w:rsidR="00CA2E82" w:rsidRPr="00EC02CA">
        <w:t>justice</w:t>
      </w:r>
      <w:r w:rsidR="00A73B63" w:rsidRPr="00EC02CA">
        <w:t>.</w:t>
      </w:r>
      <w:r w:rsidR="00A73B63" w:rsidRPr="00EC02CA">
        <w:rPr>
          <w:rStyle w:val="FootnoteReference"/>
        </w:rPr>
        <w:footnoteReference w:id="921"/>
      </w:r>
      <w:r w:rsidR="00C05F9F" w:rsidRPr="00EC02CA">
        <w:t xml:space="preserve"> </w:t>
      </w:r>
      <w:r w:rsidR="00F94B4D" w:rsidRPr="00EC02CA">
        <w:t xml:space="preserve">The </w:t>
      </w:r>
      <w:r w:rsidR="00F94B4D" w:rsidRPr="00EC02CA">
        <w:rPr>
          <w:i/>
          <w:iCs/>
        </w:rPr>
        <w:t>Children, Youth and Families Act 1995</w:t>
      </w:r>
      <w:r w:rsidR="00F94B4D" w:rsidRPr="00EC02CA">
        <w:t xml:space="preserve"> (Vic) also sets out matters relevant to the prosecution’s discretion to consent</w:t>
      </w:r>
      <w:r w:rsidR="00874477" w:rsidRPr="00EC02CA">
        <w:t xml:space="preserve">, which include </w:t>
      </w:r>
      <w:r w:rsidR="00266DD7" w:rsidRPr="00EC02CA">
        <w:t xml:space="preserve">the availability </w:t>
      </w:r>
      <w:r w:rsidR="001903CF" w:rsidRPr="00EC02CA">
        <w:t>of</w:t>
      </w:r>
      <w:r w:rsidR="00266DD7" w:rsidRPr="00EC02CA">
        <w:t xml:space="preserve"> suitable diversion </w:t>
      </w:r>
      <w:r w:rsidR="001903CF" w:rsidRPr="00EC02CA">
        <w:t>program</w:t>
      </w:r>
      <w:r w:rsidR="00266DD7" w:rsidRPr="00EC02CA">
        <w:t xml:space="preserve">, the impact on the </w:t>
      </w:r>
      <w:r w:rsidR="00886B70" w:rsidRPr="00EC02CA">
        <w:t>victim-survivor</w:t>
      </w:r>
      <w:r w:rsidR="009612C1" w:rsidRPr="00EC02CA">
        <w:t xml:space="preserve">, any prior </w:t>
      </w:r>
      <w:r w:rsidR="00C80FD5" w:rsidRPr="00EC02CA">
        <w:t>failure</w:t>
      </w:r>
      <w:r w:rsidR="001903CF" w:rsidRPr="00EC02CA">
        <w:t xml:space="preserve"> to complete a diversion program</w:t>
      </w:r>
      <w:r w:rsidR="00286893" w:rsidRPr="00EC02CA">
        <w:t>,</w:t>
      </w:r>
      <w:r w:rsidR="001903CF" w:rsidRPr="00EC02CA">
        <w:t xml:space="preserve"> and the alleged level of involvement of the </w:t>
      </w:r>
      <w:r w:rsidR="00C80FD5" w:rsidRPr="00EC02CA">
        <w:t>young person in the</w:t>
      </w:r>
      <w:r w:rsidR="001903CF" w:rsidRPr="00EC02CA">
        <w:t xml:space="preserve"> offending.</w:t>
      </w:r>
      <w:r w:rsidR="001903CF" w:rsidRPr="00EC02CA">
        <w:rPr>
          <w:rStyle w:val="FootnoteReference"/>
        </w:rPr>
        <w:footnoteReference w:id="922"/>
      </w:r>
      <w:r w:rsidR="00286893" w:rsidRPr="00EC02CA">
        <w:t xml:space="preserve"> </w:t>
      </w:r>
      <w:r w:rsidR="00E562FF" w:rsidRPr="00EC02CA">
        <w:t xml:space="preserve">The are also </w:t>
      </w:r>
      <w:r w:rsidR="008B7929" w:rsidRPr="00EC02CA">
        <w:t xml:space="preserve">matters set out in legislation for the court to </w:t>
      </w:r>
      <w:r w:rsidR="00670C14" w:rsidRPr="00EC02CA">
        <w:t xml:space="preserve">consider when determining the type of diversion program </w:t>
      </w:r>
      <w:r w:rsidR="00286893" w:rsidRPr="00EC02CA">
        <w:t xml:space="preserve">to be </w:t>
      </w:r>
      <w:r w:rsidR="00670C14" w:rsidRPr="00EC02CA">
        <w:t>ordered.</w:t>
      </w:r>
      <w:r w:rsidR="00670C14" w:rsidRPr="00EC02CA">
        <w:rPr>
          <w:rStyle w:val="FootnoteReference"/>
        </w:rPr>
        <w:footnoteReference w:id="923"/>
      </w:r>
      <w:r w:rsidR="009D7F8D" w:rsidRPr="00EC02CA">
        <w:t xml:space="preserve"> </w:t>
      </w:r>
    </w:p>
    <w:p w14:paraId="27525384" w14:textId="36DC6CF9" w:rsidR="00CB2FFC" w:rsidRPr="00EC02CA" w:rsidRDefault="00015E11" w:rsidP="002F0007">
      <w:pPr>
        <w:pStyle w:val="NormalNumberedTextTLRI"/>
      </w:pPr>
      <w:r w:rsidRPr="00EC02CA">
        <w:t>D</w:t>
      </w:r>
      <w:r w:rsidR="00D8029B" w:rsidRPr="00EC02CA">
        <w:t xml:space="preserve">iversion in </w:t>
      </w:r>
      <w:r w:rsidR="002518B1" w:rsidRPr="00EC02CA">
        <w:t>Victoria</w:t>
      </w:r>
      <w:r w:rsidR="00593384" w:rsidRPr="00EC02CA">
        <w:t xml:space="preserve"> </w:t>
      </w:r>
      <w:r w:rsidRPr="00EC02CA">
        <w:t xml:space="preserve">was </w:t>
      </w:r>
      <w:r w:rsidR="00593384" w:rsidRPr="00EC02CA">
        <w:t xml:space="preserve">introduced in </w:t>
      </w:r>
      <w:r w:rsidR="00637173" w:rsidRPr="00EC02CA">
        <w:t xml:space="preserve">2017 </w:t>
      </w:r>
      <w:r w:rsidRPr="00EC02CA">
        <w:t xml:space="preserve">under </w:t>
      </w:r>
      <w:r w:rsidR="00593384" w:rsidRPr="00EC02CA">
        <w:t xml:space="preserve">Part </w:t>
      </w:r>
      <w:r w:rsidR="00250639" w:rsidRPr="00EC02CA">
        <w:t xml:space="preserve">5.2 Division 3A </w:t>
      </w:r>
      <w:r w:rsidR="00593384" w:rsidRPr="00EC02CA">
        <w:t xml:space="preserve">of the </w:t>
      </w:r>
      <w:r w:rsidR="00593384" w:rsidRPr="00EC02CA">
        <w:rPr>
          <w:i/>
        </w:rPr>
        <w:t>Children, Youth and Families Act 1995</w:t>
      </w:r>
      <w:r w:rsidR="00593384" w:rsidRPr="00EC02CA">
        <w:t xml:space="preserve"> (Vic)</w:t>
      </w:r>
      <w:r w:rsidRPr="00EC02CA">
        <w:t>.</w:t>
      </w:r>
      <w:r w:rsidR="00637173" w:rsidRPr="00EC02CA">
        <w:t xml:space="preserve"> </w:t>
      </w:r>
      <w:r w:rsidRPr="00EC02CA">
        <w:t>T</w:t>
      </w:r>
      <w:r w:rsidR="00250639" w:rsidRPr="00EC02CA">
        <w:t xml:space="preserve">he operation of </w:t>
      </w:r>
      <w:r w:rsidR="00FB16C1" w:rsidRPr="00EC02CA">
        <w:t xml:space="preserve">these provisions, </w:t>
      </w:r>
      <w:r w:rsidR="00637173" w:rsidRPr="00EC02CA">
        <w:t>as well as other youth justice system reform</w:t>
      </w:r>
      <w:r w:rsidR="00FB16C1" w:rsidRPr="00EC02CA">
        <w:t>s</w:t>
      </w:r>
      <w:r w:rsidRPr="00EC02CA">
        <w:t>,</w:t>
      </w:r>
      <w:r w:rsidR="00D8029B" w:rsidRPr="00EC02CA">
        <w:t xml:space="preserve"> ha</w:t>
      </w:r>
      <w:r w:rsidR="00593384" w:rsidRPr="00EC02CA">
        <w:t>ve</w:t>
      </w:r>
      <w:r w:rsidR="00D8029B" w:rsidRPr="00EC02CA">
        <w:t xml:space="preserve"> been </w:t>
      </w:r>
      <w:r w:rsidR="002518B1" w:rsidRPr="00EC02CA">
        <w:t>reviewed</w:t>
      </w:r>
      <w:r w:rsidR="00637173" w:rsidRPr="00EC02CA">
        <w:t xml:space="preserve">. </w:t>
      </w:r>
      <w:r w:rsidR="00FB16C1" w:rsidRPr="00EC02CA">
        <w:t>Given the scope of the review</w:t>
      </w:r>
      <w:r w:rsidR="00060F99" w:rsidRPr="00EC02CA">
        <w:t>,</w:t>
      </w:r>
      <w:r w:rsidR="002518B1" w:rsidRPr="00EC02CA">
        <w:t xml:space="preserve"> </w:t>
      </w:r>
      <w:r w:rsidR="00FB16C1" w:rsidRPr="00EC02CA">
        <w:t>its findings did not relate specifically to diversion</w:t>
      </w:r>
      <w:r w:rsidR="002518B1" w:rsidRPr="00EC02CA">
        <w:t xml:space="preserve"> for </w:t>
      </w:r>
      <w:r w:rsidR="006B0618" w:rsidRPr="00EC02CA">
        <w:t xml:space="preserve">young people </w:t>
      </w:r>
      <w:r w:rsidRPr="00EC02CA">
        <w:t xml:space="preserve">who engage in </w:t>
      </w:r>
      <w:r w:rsidR="00637173" w:rsidRPr="00EC02CA">
        <w:t>harmful</w:t>
      </w:r>
      <w:r w:rsidR="009D7F8D" w:rsidRPr="00EC02CA">
        <w:t xml:space="preserve"> </w:t>
      </w:r>
      <w:r w:rsidR="00637173" w:rsidRPr="00EC02CA">
        <w:t>sexua</w:t>
      </w:r>
      <w:r w:rsidR="00EE7C64" w:rsidRPr="00EC02CA">
        <w:t>l behaviour</w:t>
      </w:r>
      <w:r w:rsidR="00981E5D" w:rsidRPr="00EC02CA">
        <w:t xml:space="preserve">. </w:t>
      </w:r>
      <w:r w:rsidRPr="00EC02CA">
        <w:t>However, t</w:t>
      </w:r>
      <w:r w:rsidR="00981E5D" w:rsidRPr="00EC02CA">
        <w:t xml:space="preserve">he </w:t>
      </w:r>
      <w:r w:rsidR="000112DC" w:rsidRPr="00EC02CA">
        <w:t xml:space="preserve">review </w:t>
      </w:r>
      <w:r w:rsidR="00981E5D" w:rsidRPr="00EC02CA">
        <w:t>report</w:t>
      </w:r>
      <w:r w:rsidRPr="00EC02CA">
        <w:t>ed</w:t>
      </w:r>
      <w:r w:rsidR="00981E5D" w:rsidRPr="00EC02CA">
        <w:t xml:space="preserve"> that</w:t>
      </w:r>
      <w:r w:rsidRPr="00EC02CA">
        <w:t>,</w:t>
      </w:r>
      <w:r w:rsidR="00981E5D" w:rsidRPr="00EC02CA">
        <w:t xml:space="preserve"> for</w:t>
      </w:r>
      <w:r w:rsidR="00B86741" w:rsidRPr="00EC02CA">
        <w:t xml:space="preserve"> </w:t>
      </w:r>
      <w:r w:rsidR="00B47794" w:rsidRPr="00EC02CA">
        <w:t>the</w:t>
      </w:r>
      <w:r w:rsidR="00B86741" w:rsidRPr="00EC02CA">
        <w:t xml:space="preserve"> period 2017 to 202</w:t>
      </w:r>
      <w:r w:rsidR="00A02B84" w:rsidRPr="00EC02CA">
        <w:t>0</w:t>
      </w:r>
      <w:r w:rsidRPr="00EC02CA">
        <w:t>,</w:t>
      </w:r>
      <w:r w:rsidR="00B86741" w:rsidRPr="00EC02CA">
        <w:t xml:space="preserve"> </w:t>
      </w:r>
      <w:r w:rsidR="0068206F" w:rsidRPr="00EC02CA">
        <w:t>diversion ha</w:t>
      </w:r>
      <w:r w:rsidRPr="00EC02CA">
        <w:t>d</w:t>
      </w:r>
      <w:r w:rsidR="0068206F" w:rsidRPr="00EC02CA">
        <w:t xml:space="preserve"> been used for </w:t>
      </w:r>
      <w:r w:rsidR="00453084" w:rsidRPr="00EC02CA">
        <w:t xml:space="preserve">247 </w:t>
      </w:r>
      <w:r w:rsidR="005F1F89" w:rsidRPr="00EC02CA">
        <w:t xml:space="preserve">charges </w:t>
      </w:r>
      <w:r w:rsidRPr="00EC02CA">
        <w:t xml:space="preserve">of </w:t>
      </w:r>
      <w:r w:rsidR="00453084" w:rsidRPr="00EC02CA">
        <w:t>sexual offences</w:t>
      </w:r>
      <w:r w:rsidR="00C46599" w:rsidRPr="00EC02CA">
        <w:t>.</w:t>
      </w:r>
      <w:r w:rsidR="00C46599" w:rsidRPr="00EC02CA">
        <w:rPr>
          <w:rStyle w:val="FootnoteReference"/>
        </w:rPr>
        <w:footnoteReference w:id="924"/>
      </w:r>
    </w:p>
    <w:p w14:paraId="28FF74BA" w14:textId="16D09B1D" w:rsidR="00420A1F" w:rsidRPr="00EC02CA" w:rsidRDefault="0046336F" w:rsidP="002F0007">
      <w:pPr>
        <w:pStyle w:val="NormalNumberedTextTLRI"/>
      </w:pPr>
      <w:r w:rsidRPr="00EC02CA">
        <w:t xml:space="preserve">As noted at </w:t>
      </w:r>
      <w:r w:rsidR="003F6AB1" w:rsidRPr="00EC02CA">
        <w:t>[</w:t>
      </w:r>
      <w:r w:rsidR="001A5EEE" w:rsidRPr="00EC02CA">
        <w:fldChar w:fldCharType="begin"/>
      </w:r>
      <w:r w:rsidR="001A5EEE" w:rsidRPr="00EC02CA">
        <w:instrText xml:space="preserve"> REF _Ref218242155 \r \h </w:instrText>
      </w:r>
      <w:r w:rsidR="001A5EEE" w:rsidRPr="00EC02CA">
        <w:fldChar w:fldCharType="separate"/>
      </w:r>
      <w:r w:rsidR="007D7830">
        <w:t>6.5</w:t>
      </w:r>
      <w:r w:rsidR="001A5EEE" w:rsidRPr="00EC02CA">
        <w:fldChar w:fldCharType="end"/>
      </w:r>
      <w:r w:rsidR="003F6AB1" w:rsidRPr="00EC02CA">
        <w:t>]</w:t>
      </w:r>
      <w:r w:rsidRPr="00EC02CA">
        <w:t xml:space="preserve">, the TLRI </w:t>
      </w:r>
      <w:r w:rsidR="00604F51" w:rsidRPr="00EC02CA">
        <w:t xml:space="preserve">identified concerns about the implementation of </w:t>
      </w:r>
      <w:r w:rsidR="003A0A20" w:rsidRPr="00EC02CA">
        <w:t>a framework t</w:t>
      </w:r>
      <w:r w:rsidR="00BF718E" w:rsidRPr="00EC02CA">
        <w:t>hat would</w:t>
      </w:r>
      <w:r w:rsidR="003A0A20" w:rsidRPr="00EC02CA">
        <w:t xml:space="preserve"> require </w:t>
      </w:r>
      <w:r w:rsidR="00420A1F" w:rsidRPr="00EC02CA">
        <w:t>young</w:t>
      </w:r>
      <w:r w:rsidR="003A0A20" w:rsidRPr="00EC02CA">
        <w:t xml:space="preserve"> people to undergo treatment</w:t>
      </w:r>
      <w:r w:rsidR="00015E11" w:rsidRPr="00EC02CA">
        <w:t>,</w:t>
      </w:r>
      <w:r w:rsidR="003A0A20" w:rsidRPr="00EC02CA">
        <w:t xml:space="preserve"> separate from </w:t>
      </w:r>
      <w:r w:rsidR="00420A1F" w:rsidRPr="00EC02CA">
        <w:t xml:space="preserve">the criminal justice system. </w:t>
      </w:r>
      <w:r w:rsidR="00BF718E" w:rsidRPr="00EC02CA">
        <w:t xml:space="preserve">The TLRI also has concerns about </w:t>
      </w:r>
      <w:r w:rsidR="00A83B31" w:rsidRPr="00EC02CA">
        <w:t>providing</w:t>
      </w:r>
      <w:r w:rsidR="00D621CC" w:rsidRPr="00EC02CA">
        <w:t xml:space="preserve"> the court with </w:t>
      </w:r>
      <w:r w:rsidR="00015E11" w:rsidRPr="00EC02CA">
        <w:t xml:space="preserve">a </w:t>
      </w:r>
      <w:r w:rsidR="00D621CC" w:rsidRPr="00EC02CA">
        <w:t xml:space="preserve">power </w:t>
      </w:r>
      <w:r w:rsidR="00A83B31" w:rsidRPr="00EC02CA">
        <w:t>to mandate that</w:t>
      </w:r>
      <w:r w:rsidR="00BF718E" w:rsidRPr="00EC02CA">
        <w:t xml:space="preserve"> a </w:t>
      </w:r>
      <w:r w:rsidR="00D621CC" w:rsidRPr="00EC02CA">
        <w:t xml:space="preserve">young person participate in treatment before a finding </w:t>
      </w:r>
      <w:r w:rsidR="00015E11" w:rsidRPr="00EC02CA">
        <w:t xml:space="preserve">of guilt </w:t>
      </w:r>
      <w:r w:rsidR="00D621CC" w:rsidRPr="00EC02CA">
        <w:t xml:space="preserve">or </w:t>
      </w:r>
      <w:r w:rsidR="00015E11" w:rsidRPr="00EC02CA">
        <w:t xml:space="preserve">a guilty </w:t>
      </w:r>
      <w:r w:rsidR="00D621CC" w:rsidRPr="00EC02CA">
        <w:t xml:space="preserve">plea. </w:t>
      </w:r>
      <w:r w:rsidR="00A83B31" w:rsidRPr="00EC02CA">
        <w:t xml:space="preserve">As noted previously, any introduction of the Victorian TTO framework would require careful consideration and further consultation. </w:t>
      </w:r>
      <w:r w:rsidR="00420A1F" w:rsidRPr="00EC02CA">
        <w:t xml:space="preserve">However, aspects of the Victorian model </w:t>
      </w:r>
      <w:r w:rsidR="002E1ACF" w:rsidRPr="00EC02CA">
        <w:t>could</w:t>
      </w:r>
      <w:r w:rsidR="00EC6B59" w:rsidRPr="00EC02CA">
        <w:t xml:space="preserve"> </w:t>
      </w:r>
      <w:r w:rsidR="00015E11" w:rsidRPr="00EC02CA">
        <w:t xml:space="preserve">be </w:t>
      </w:r>
      <w:r w:rsidR="002E1ACF" w:rsidRPr="00EC02CA">
        <w:t xml:space="preserve">more </w:t>
      </w:r>
      <w:r w:rsidR="00EC6B59" w:rsidRPr="00EC02CA">
        <w:t>appropria</w:t>
      </w:r>
      <w:r w:rsidR="006818CB" w:rsidRPr="00EC02CA">
        <w:t>t</w:t>
      </w:r>
      <w:r w:rsidR="002E1ACF" w:rsidRPr="00EC02CA">
        <w:t xml:space="preserve">ely adopted </w:t>
      </w:r>
      <w:r w:rsidR="00EC6B59" w:rsidRPr="00EC02CA">
        <w:t xml:space="preserve">in the Tasmanian context. In particular, the TLRI’s view is that </w:t>
      </w:r>
      <w:r w:rsidR="008F3B4C" w:rsidRPr="00EC02CA">
        <w:t>consideration</w:t>
      </w:r>
      <w:r w:rsidR="00EC6B59" w:rsidRPr="00EC02CA">
        <w:t xml:space="preserve"> should be given to </w:t>
      </w:r>
      <w:r w:rsidR="008F3B4C" w:rsidRPr="00EC02CA">
        <w:t>providing the court</w:t>
      </w:r>
      <w:r w:rsidR="00EC6B59" w:rsidRPr="00EC02CA">
        <w:t xml:space="preserve"> </w:t>
      </w:r>
      <w:r w:rsidR="008F3B4C" w:rsidRPr="00EC02CA">
        <w:t xml:space="preserve">with a power to adjourn a matter before taking a plea </w:t>
      </w:r>
      <w:r w:rsidR="006818CB" w:rsidRPr="00EC02CA">
        <w:t>to</w:t>
      </w:r>
      <w:r w:rsidR="008F3B4C" w:rsidRPr="00EC02CA">
        <w:t xml:space="preserve"> allow </w:t>
      </w:r>
      <w:r w:rsidR="006818CB" w:rsidRPr="00EC02CA">
        <w:t>a</w:t>
      </w:r>
      <w:r w:rsidR="008F3B4C" w:rsidRPr="00EC02CA">
        <w:t xml:space="preserve"> young per</w:t>
      </w:r>
      <w:r w:rsidR="00BA2DFA" w:rsidRPr="00EC02CA">
        <w:t xml:space="preserve">son to participate voluntarily in </w:t>
      </w:r>
      <w:r w:rsidR="00015E11" w:rsidRPr="00EC02CA">
        <w:t xml:space="preserve">a </w:t>
      </w:r>
      <w:r w:rsidR="00AC601C" w:rsidRPr="00EC02CA">
        <w:t>treatment</w:t>
      </w:r>
      <w:r w:rsidR="00BA2DFA" w:rsidRPr="00EC02CA">
        <w:t xml:space="preserve"> program</w:t>
      </w:r>
      <w:r w:rsidR="006818CB" w:rsidRPr="00EC02CA">
        <w:t xml:space="preserve">. </w:t>
      </w:r>
      <w:r w:rsidR="002E1ACF" w:rsidRPr="00EC02CA">
        <w:t>In addition</w:t>
      </w:r>
      <w:r w:rsidR="006818CB" w:rsidRPr="00EC02CA">
        <w:t>, t</w:t>
      </w:r>
      <w:r w:rsidR="002E1ACF" w:rsidRPr="00EC02CA">
        <w:t>he TLRI’s view is t</w:t>
      </w:r>
      <w:r w:rsidR="006818CB" w:rsidRPr="00EC02CA">
        <w:t xml:space="preserve">hat the </w:t>
      </w:r>
      <w:r w:rsidR="00047F71" w:rsidRPr="00EC02CA">
        <w:t>approach</w:t>
      </w:r>
      <w:r w:rsidR="00AC601C" w:rsidRPr="00EC02CA">
        <w:t xml:space="preserve"> adopted in Victoria could provide a </w:t>
      </w:r>
      <w:r w:rsidR="00047F71" w:rsidRPr="00EC02CA">
        <w:t xml:space="preserve">useful legislative </w:t>
      </w:r>
      <w:r w:rsidR="00AC601C" w:rsidRPr="00EC02CA">
        <w:t>model</w:t>
      </w:r>
      <w:r w:rsidR="00047F71" w:rsidRPr="00EC02CA">
        <w:t xml:space="preserve"> </w:t>
      </w:r>
      <w:r w:rsidR="006818CB" w:rsidRPr="00EC02CA">
        <w:t>in</w:t>
      </w:r>
      <w:r w:rsidR="00047F71" w:rsidRPr="00EC02CA">
        <w:t xml:space="preserve"> relation to the </w:t>
      </w:r>
      <w:r w:rsidR="00BF718E" w:rsidRPr="00EC02CA">
        <w:t xml:space="preserve">statutory criteria that </w:t>
      </w:r>
      <w:r w:rsidR="002E1ACF" w:rsidRPr="00EC02CA">
        <w:t xml:space="preserve">might </w:t>
      </w:r>
      <w:r w:rsidR="006818CB" w:rsidRPr="00EC02CA">
        <w:t>apply</w:t>
      </w:r>
      <w:r w:rsidR="00BF718E" w:rsidRPr="00EC02CA">
        <w:t xml:space="preserve"> </w:t>
      </w:r>
      <w:r w:rsidR="006818CB" w:rsidRPr="00EC02CA">
        <w:t>t</w:t>
      </w:r>
      <w:r w:rsidR="00BF718E" w:rsidRPr="00EC02CA">
        <w:t>o such an adjournment (</w:t>
      </w:r>
      <w:r w:rsidR="006818CB" w:rsidRPr="00EC02CA">
        <w:t>such</w:t>
      </w:r>
      <w:r w:rsidR="00BF718E" w:rsidRPr="00EC02CA">
        <w:t xml:space="preserve"> </w:t>
      </w:r>
      <w:r w:rsidR="006818CB" w:rsidRPr="00EC02CA">
        <w:t>a</w:t>
      </w:r>
      <w:r w:rsidR="00BF718E" w:rsidRPr="00EC02CA">
        <w:t xml:space="preserve">s guidance for the court </w:t>
      </w:r>
      <w:r w:rsidR="006818CB" w:rsidRPr="00EC02CA">
        <w:t>and the</w:t>
      </w:r>
      <w:r w:rsidR="00BF718E" w:rsidRPr="00EC02CA">
        <w:t xml:space="preserve"> prosecut</w:t>
      </w:r>
      <w:r w:rsidR="002E1ACF" w:rsidRPr="00EC02CA">
        <w:t>ion</w:t>
      </w:r>
      <w:r w:rsidR="00BF718E" w:rsidRPr="00EC02CA">
        <w:t xml:space="preserve"> </w:t>
      </w:r>
      <w:r w:rsidR="00F3071F" w:rsidRPr="00EC02CA">
        <w:t xml:space="preserve">on </w:t>
      </w:r>
      <w:r w:rsidR="00BF718E" w:rsidRPr="00EC02CA">
        <w:t>relevant factors</w:t>
      </w:r>
      <w:r w:rsidR="006818CB" w:rsidRPr="00EC02CA">
        <w:t xml:space="preserve"> in exercis</w:t>
      </w:r>
      <w:r w:rsidR="00015E11" w:rsidRPr="00EC02CA">
        <w:t>ing</w:t>
      </w:r>
      <w:r w:rsidR="006818CB" w:rsidRPr="00EC02CA">
        <w:t xml:space="preserve"> </w:t>
      </w:r>
      <w:r w:rsidR="00015E11" w:rsidRPr="00EC02CA">
        <w:t xml:space="preserve">the </w:t>
      </w:r>
      <w:r w:rsidR="006818CB" w:rsidRPr="00EC02CA">
        <w:t>discretion to adjourn the mat</w:t>
      </w:r>
      <w:r w:rsidR="003149E3" w:rsidRPr="00EC02CA">
        <w:t>t</w:t>
      </w:r>
      <w:r w:rsidR="006818CB" w:rsidRPr="00EC02CA">
        <w:t>er</w:t>
      </w:r>
      <w:r w:rsidR="00BF718E" w:rsidRPr="00EC02CA">
        <w:t>)</w:t>
      </w:r>
      <w:r w:rsidR="006469F0" w:rsidRPr="00EC02CA">
        <w:t>,</w:t>
      </w:r>
      <w:r w:rsidR="00BF718E" w:rsidRPr="00EC02CA">
        <w:t xml:space="preserve"> and also the implications for the court proceedings if a young person successfully </w:t>
      </w:r>
      <w:r w:rsidR="006818CB" w:rsidRPr="00EC02CA">
        <w:t>completes</w:t>
      </w:r>
      <w:r w:rsidR="00BF718E" w:rsidRPr="00EC02CA">
        <w:t xml:space="preserve"> treatment. </w:t>
      </w:r>
    </w:p>
    <w:p w14:paraId="2D0C3FFB" w14:textId="74BC1CE2" w:rsidR="006818CB" w:rsidRPr="00EC02CA" w:rsidRDefault="006818CB" w:rsidP="00ED2E47">
      <w:pPr>
        <w:pStyle w:val="Sub-HeadingTLRI"/>
      </w:pPr>
      <w:bookmarkStart w:id="473" w:name="_Toc211849469"/>
      <w:bookmarkStart w:id="474" w:name="_Toc218157373"/>
      <w:r w:rsidRPr="00EC02CA">
        <w:t>Sentencing orders</w:t>
      </w:r>
      <w:bookmarkEnd w:id="473"/>
      <w:bookmarkEnd w:id="474"/>
    </w:p>
    <w:p w14:paraId="49607783" w14:textId="12371E3F" w:rsidR="00505644" w:rsidRPr="00EC02CA" w:rsidRDefault="006818CB" w:rsidP="002F0007">
      <w:pPr>
        <w:pStyle w:val="NormalNumberedTextTLRI"/>
      </w:pPr>
      <w:r w:rsidRPr="00EC02CA">
        <w:t xml:space="preserve">A </w:t>
      </w:r>
      <w:r w:rsidR="0082697E" w:rsidRPr="00EC02CA">
        <w:t xml:space="preserve">broad </w:t>
      </w:r>
      <w:r w:rsidRPr="00EC02CA">
        <w:t xml:space="preserve">review of the </w:t>
      </w:r>
      <w:r w:rsidR="0082697E" w:rsidRPr="00EC02CA">
        <w:t xml:space="preserve">sentencing orders </w:t>
      </w:r>
      <w:r w:rsidR="003156BA" w:rsidRPr="00EC02CA">
        <w:t xml:space="preserve">available </w:t>
      </w:r>
      <w:r w:rsidR="0082697E" w:rsidRPr="00EC02CA">
        <w:t xml:space="preserve">under the </w:t>
      </w:r>
      <w:r w:rsidR="0082697E" w:rsidRPr="00EC02CA">
        <w:rPr>
          <w:i/>
          <w:iCs/>
        </w:rPr>
        <w:t xml:space="preserve">Sentencing Act 1997 </w:t>
      </w:r>
      <w:r w:rsidR="003156BA" w:rsidRPr="00EC02CA">
        <w:t xml:space="preserve">(Tas) </w:t>
      </w:r>
      <w:r w:rsidR="0082697E" w:rsidRPr="00EC02CA">
        <w:t xml:space="preserve">or the </w:t>
      </w:r>
      <w:r w:rsidR="0082697E" w:rsidRPr="00EC02CA">
        <w:rPr>
          <w:i/>
          <w:iCs/>
        </w:rPr>
        <w:t xml:space="preserve">Youth Justice Act 1997 </w:t>
      </w:r>
      <w:r w:rsidR="0082697E" w:rsidRPr="00EC02CA">
        <w:t xml:space="preserve">(Tas) is </w:t>
      </w:r>
      <w:r w:rsidR="002409DB" w:rsidRPr="00EC02CA">
        <w:t>beyond</w:t>
      </w:r>
      <w:r w:rsidR="0082697E" w:rsidRPr="00EC02CA">
        <w:t xml:space="preserve"> the scope of this </w:t>
      </w:r>
      <w:r w:rsidR="002409DB" w:rsidRPr="00EC02CA">
        <w:t>Research</w:t>
      </w:r>
      <w:r w:rsidR="0082697E" w:rsidRPr="00EC02CA">
        <w:t xml:space="preserve"> Paper. However</w:t>
      </w:r>
      <w:r w:rsidR="002409DB" w:rsidRPr="00EC02CA">
        <w:t xml:space="preserve">, relevant to sexual offending by young people, the TLRI notes that there is </w:t>
      </w:r>
      <w:r w:rsidR="003156BA" w:rsidRPr="00EC02CA">
        <w:t xml:space="preserve">a </w:t>
      </w:r>
      <w:r w:rsidR="002409DB" w:rsidRPr="00EC02CA">
        <w:t>power in Queensland for the</w:t>
      </w:r>
      <w:r w:rsidR="00505644" w:rsidRPr="00EC02CA">
        <w:t xml:space="preserve"> court to refer </w:t>
      </w:r>
      <w:r w:rsidR="002409DB" w:rsidRPr="00EC02CA">
        <w:t xml:space="preserve">a </w:t>
      </w:r>
      <w:r w:rsidR="00505644" w:rsidRPr="00EC02CA">
        <w:t xml:space="preserve">young </w:t>
      </w:r>
      <w:r w:rsidR="003156BA" w:rsidRPr="00EC02CA">
        <w:t xml:space="preserve">person </w:t>
      </w:r>
      <w:r w:rsidR="00505644" w:rsidRPr="00EC02CA">
        <w:t>to restorative justice as part of sentenc</w:t>
      </w:r>
      <w:r w:rsidR="003156BA" w:rsidRPr="00EC02CA">
        <w:t xml:space="preserve">ing, through the imposition of </w:t>
      </w:r>
      <w:r w:rsidR="00505644" w:rsidRPr="00EC02CA">
        <w:t>a Restorative Justice Order.</w:t>
      </w:r>
      <w:r w:rsidR="00505644" w:rsidRPr="00EC02CA">
        <w:rPr>
          <w:rStyle w:val="FootnoteReference"/>
        </w:rPr>
        <w:footnoteReference w:id="925"/>
      </w:r>
      <w:r w:rsidR="003156BA" w:rsidRPr="00EC02CA">
        <w:t xml:space="preserve"> </w:t>
      </w:r>
      <w:r w:rsidR="00505644" w:rsidRPr="00EC02CA">
        <w:t>The TLRI’s view is that</w:t>
      </w:r>
      <w:r w:rsidR="003156BA" w:rsidRPr="00EC02CA">
        <w:t>,</w:t>
      </w:r>
      <w:r w:rsidR="00505644" w:rsidRPr="00EC02CA">
        <w:t xml:space="preserve"> in reviewing the use of restorative justice as a response to sexual offending by young people, the creation of </w:t>
      </w:r>
      <w:r w:rsidR="001C3F9D" w:rsidRPr="00EC02CA">
        <w:t>R</w:t>
      </w:r>
      <w:r w:rsidR="00505644" w:rsidRPr="00EC02CA">
        <w:t xml:space="preserve">estorative Justice Order should be considered as </w:t>
      </w:r>
      <w:r w:rsidR="00D34AEE" w:rsidRPr="00EC02CA">
        <w:t xml:space="preserve">one of the </w:t>
      </w:r>
      <w:r w:rsidR="00505644" w:rsidRPr="00EC02CA">
        <w:t>possible reforms in Tasmania.</w:t>
      </w:r>
      <w:r w:rsidR="00505644" w:rsidRPr="00EC02CA">
        <w:rPr>
          <w:rStyle w:val="FootnoteReference"/>
        </w:rPr>
        <w:footnoteReference w:id="926"/>
      </w:r>
    </w:p>
    <w:p w14:paraId="1A3664E3" w14:textId="77777777" w:rsidR="006678D6" w:rsidRPr="00EC02CA" w:rsidRDefault="00B701CA" w:rsidP="00A920EC">
      <w:pPr>
        <w:pStyle w:val="TLRISubheading"/>
      </w:pPr>
      <w:bookmarkStart w:id="475" w:name="_Toc211849470"/>
      <w:bookmarkStart w:id="476" w:name="_Toc218157374"/>
      <w:r w:rsidRPr="00EC02CA">
        <w:t>Witness interme</w:t>
      </w:r>
      <w:r w:rsidR="006678D6" w:rsidRPr="00EC02CA">
        <w:t>diaries</w:t>
      </w:r>
      <w:bookmarkEnd w:id="475"/>
      <w:bookmarkEnd w:id="476"/>
    </w:p>
    <w:p w14:paraId="2E2B0145" w14:textId="1ADC2F9E" w:rsidR="00635A3A" w:rsidRPr="00EC02CA" w:rsidRDefault="00B50B16" w:rsidP="002F0007">
      <w:pPr>
        <w:pStyle w:val="NormalNumberedTextTLRI"/>
      </w:pPr>
      <w:r w:rsidRPr="00EC02CA">
        <w:t xml:space="preserve">Feedback received in consultations </w:t>
      </w:r>
      <w:r w:rsidR="00D91DC7" w:rsidRPr="00EC02CA">
        <w:t>highlighted</w:t>
      </w:r>
      <w:r w:rsidRPr="00EC02CA">
        <w:t xml:space="preserve"> the difficulties young people had </w:t>
      </w:r>
      <w:r w:rsidR="007D5E24" w:rsidRPr="00EC02CA">
        <w:t xml:space="preserve">making sense of what was happening </w:t>
      </w:r>
      <w:r w:rsidR="00D91DC7" w:rsidRPr="00EC02CA">
        <w:t xml:space="preserve">during </w:t>
      </w:r>
      <w:r w:rsidR="007D5E24" w:rsidRPr="00EC02CA">
        <w:t>their interactions with</w:t>
      </w:r>
      <w:r w:rsidRPr="00EC02CA">
        <w:t xml:space="preserve"> the criminal justice system</w:t>
      </w:r>
      <w:r w:rsidR="007D5E24" w:rsidRPr="00EC02CA">
        <w:t>.</w:t>
      </w:r>
      <w:r w:rsidR="00E07005" w:rsidRPr="00EC02CA">
        <w:t xml:space="preserve"> I</w:t>
      </w:r>
      <w:r w:rsidR="00EB179B" w:rsidRPr="00EC02CA">
        <w:t>n</w:t>
      </w:r>
      <w:r w:rsidR="00E07005" w:rsidRPr="00EC02CA">
        <w:t xml:space="preserve"> </w:t>
      </w:r>
      <w:r w:rsidR="00EB179B" w:rsidRPr="00EC02CA">
        <w:t>Tasmania</w:t>
      </w:r>
      <w:r w:rsidR="00E07005" w:rsidRPr="00EC02CA">
        <w:t xml:space="preserve">, the </w:t>
      </w:r>
      <w:r w:rsidR="00E07005" w:rsidRPr="00EC02CA">
        <w:rPr>
          <w:i/>
          <w:iCs/>
        </w:rPr>
        <w:t xml:space="preserve">Evidence </w:t>
      </w:r>
      <w:r w:rsidR="00EB179B" w:rsidRPr="00EC02CA">
        <w:rPr>
          <w:i/>
          <w:iCs/>
        </w:rPr>
        <w:t xml:space="preserve">(Children and Special Witnesses) Act 2001 </w:t>
      </w:r>
      <w:r w:rsidR="00EB179B" w:rsidRPr="00EC02CA">
        <w:t>(Tas) set</w:t>
      </w:r>
      <w:r w:rsidR="00D91DC7" w:rsidRPr="00EC02CA">
        <w:t>s</w:t>
      </w:r>
      <w:r w:rsidR="00EB179B" w:rsidRPr="00EC02CA">
        <w:t xml:space="preserve"> out the scope and procedure for the use of witness intermediaries in Tasmanian courts. It is also noted that witness intermediaries can be </w:t>
      </w:r>
      <w:r w:rsidR="00D91DC7" w:rsidRPr="00EC02CA">
        <w:t xml:space="preserve">made </w:t>
      </w:r>
      <w:r w:rsidR="00EB179B" w:rsidRPr="00EC02CA">
        <w:t>available to Tasmania Police for the purposes of interviewing witnesses during police investigations.</w:t>
      </w:r>
    </w:p>
    <w:p w14:paraId="13419E3B" w14:textId="14B7A45C" w:rsidR="00744393" w:rsidRPr="00EC02CA" w:rsidRDefault="00744393" w:rsidP="002F0007">
      <w:pPr>
        <w:pStyle w:val="NormalNumberedTextTLRI"/>
      </w:pPr>
      <w:r w:rsidRPr="00EC02CA">
        <w:t>Following a review of the Witness Intermediary Scheme Pilot, it has been recommended that it is time ‘to make wider use of intermediaries in the criminal justice system in order to support witnesses and accused people with communication needs’.</w:t>
      </w:r>
      <w:r w:rsidRPr="00EC02CA">
        <w:rPr>
          <w:rStyle w:val="FootnoteReference"/>
        </w:rPr>
        <w:footnoteReference w:id="927"/>
      </w:r>
      <w:r w:rsidRPr="00EC02CA">
        <w:t xml:space="preserve"> This was also the recommendation of the TLRI in </w:t>
      </w:r>
      <w:r w:rsidR="00031F24" w:rsidRPr="00EC02CA">
        <w:t>its</w:t>
      </w:r>
      <w:r w:rsidRPr="00EC02CA">
        <w:t xml:space="preserve"> report </w:t>
      </w:r>
      <w:r w:rsidRPr="00EC02CA">
        <w:rPr>
          <w:i/>
          <w:iCs/>
        </w:rPr>
        <w:t>Facilitating Equal Access to Justice: An Intermediary/Communication Assistant Scheme for Tasmania</w:t>
      </w:r>
      <w:r w:rsidRPr="00EC02CA">
        <w:t>.</w:t>
      </w:r>
      <w:r w:rsidRPr="00EC02CA">
        <w:rPr>
          <w:rStyle w:val="FootnoteReference"/>
        </w:rPr>
        <w:footnoteReference w:id="928"/>
      </w:r>
      <w:r w:rsidRPr="00EC02CA">
        <w:t xml:space="preserve"> The Commission of Inquiry also recommended the use of witness intermediaries for young people who are under investigation for</w:t>
      </w:r>
      <w:r w:rsidR="005933E0" w:rsidRPr="00EC02CA">
        <w:t>,</w:t>
      </w:r>
      <w:r w:rsidRPr="00EC02CA">
        <w:t xml:space="preserve"> or who have been charged with</w:t>
      </w:r>
      <w:r w:rsidR="005933E0" w:rsidRPr="00EC02CA">
        <w:t>,</w:t>
      </w:r>
      <w:r w:rsidRPr="00EC02CA">
        <w:t xml:space="preserve"> sexual offences.</w:t>
      </w:r>
      <w:r w:rsidRPr="00EC02CA">
        <w:rPr>
          <w:rStyle w:val="FootnoteReference"/>
        </w:rPr>
        <w:footnoteReference w:id="929"/>
      </w:r>
      <w:r w:rsidR="00120EA3" w:rsidRPr="00EC02CA">
        <w:t xml:space="preserve"> The TLRI, in line with these prior reviews, considers that there should be provision for </w:t>
      </w:r>
      <w:r w:rsidR="007702AF" w:rsidRPr="00EC02CA">
        <w:t xml:space="preserve">witness intermediaries for young people </w:t>
      </w:r>
      <w:r w:rsidR="005933E0" w:rsidRPr="00EC02CA">
        <w:t xml:space="preserve">who are </w:t>
      </w:r>
      <w:r w:rsidR="007702AF" w:rsidRPr="00EC02CA">
        <w:t xml:space="preserve">under investigation </w:t>
      </w:r>
      <w:r w:rsidR="005933E0" w:rsidRPr="00EC02CA">
        <w:t xml:space="preserve">for, </w:t>
      </w:r>
      <w:r w:rsidR="007702AF" w:rsidRPr="00EC02CA">
        <w:t>or who have been charged with</w:t>
      </w:r>
      <w:r w:rsidR="005933E0" w:rsidRPr="00EC02CA">
        <w:t>,</w:t>
      </w:r>
      <w:r w:rsidR="007702AF" w:rsidRPr="00EC02CA">
        <w:t xml:space="preserve"> sexual offences</w:t>
      </w:r>
      <w:r w:rsidR="005933E0" w:rsidRPr="00EC02CA">
        <w:t>.</w:t>
      </w:r>
      <w:r w:rsidR="00D716D0" w:rsidRPr="00EC02CA">
        <w:t xml:space="preserve"> Witness intermediaries should be available</w:t>
      </w:r>
      <w:r w:rsidR="007702AF" w:rsidRPr="00EC02CA">
        <w:t xml:space="preserve"> during police interview</w:t>
      </w:r>
      <w:r w:rsidR="00D716D0" w:rsidRPr="00EC02CA">
        <w:t>s</w:t>
      </w:r>
      <w:r w:rsidR="007702AF" w:rsidRPr="00EC02CA">
        <w:t xml:space="preserve">, formal cautions, </w:t>
      </w:r>
      <w:r w:rsidR="00D716D0" w:rsidRPr="00EC02CA">
        <w:t xml:space="preserve">community </w:t>
      </w:r>
      <w:r w:rsidR="007702AF" w:rsidRPr="00EC02CA">
        <w:t xml:space="preserve">conferences and </w:t>
      </w:r>
      <w:r w:rsidR="00D716D0" w:rsidRPr="00EC02CA">
        <w:t xml:space="preserve">throughout </w:t>
      </w:r>
      <w:r w:rsidR="00230C7F" w:rsidRPr="00EC02CA">
        <w:t>court proceedings in the Magistrates Court and Supreme Court</w:t>
      </w:r>
      <w:r w:rsidR="004D691D" w:rsidRPr="00EC02CA">
        <w:t xml:space="preserve"> </w:t>
      </w:r>
      <w:r w:rsidR="000E3B27" w:rsidRPr="00EC02CA">
        <w:t xml:space="preserve"> </w:t>
      </w:r>
      <w:r w:rsidR="009204A5" w:rsidRPr="00EC02CA">
        <w:t xml:space="preserve">This </w:t>
      </w:r>
      <w:r w:rsidR="00E51FAE" w:rsidRPr="00EC02CA">
        <w:t>aligns</w:t>
      </w:r>
      <w:r w:rsidR="009204A5" w:rsidRPr="00EC02CA">
        <w:t xml:space="preserve"> with </w:t>
      </w:r>
      <w:r w:rsidR="00CF47DE" w:rsidRPr="00EC02CA">
        <w:t xml:space="preserve">the </w:t>
      </w:r>
      <w:r w:rsidR="00D716D0" w:rsidRPr="00EC02CA">
        <w:t xml:space="preserve">key </w:t>
      </w:r>
      <w:r w:rsidR="00E51FAE" w:rsidRPr="00EC02CA">
        <w:t xml:space="preserve">objective </w:t>
      </w:r>
      <w:r w:rsidR="00CF47DE" w:rsidRPr="00EC02CA">
        <w:t xml:space="preserve">of the </w:t>
      </w:r>
      <w:r w:rsidR="00CF47DE" w:rsidRPr="00EC02CA">
        <w:rPr>
          <w:i/>
        </w:rPr>
        <w:t xml:space="preserve">Youth Justice </w:t>
      </w:r>
      <w:r w:rsidR="00E51FAE" w:rsidRPr="00EC02CA">
        <w:rPr>
          <w:i/>
        </w:rPr>
        <w:t>Act</w:t>
      </w:r>
      <w:r w:rsidR="00CF47DE" w:rsidRPr="00EC02CA">
        <w:rPr>
          <w:i/>
        </w:rPr>
        <w:t xml:space="preserve"> 1997 </w:t>
      </w:r>
      <w:r w:rsidR="00CF47DE" w:rsidRPr="00EC02CA">
        <w:t>(Tas)</w:t>
      </w:r>
      <w:r w:rsidR="00D716D0" w:rsidRPr="00EC02CA">
        <w:t>,</w:t>
      </w:r>
      <w:r w:rsidR="00CF47DE" w:rsidRPr="00EC02CA">
        <w:t xml:space="preserve"> that a young </w:t>
      </w:r>
      <w:r w:rsidR="00E51FAE" w:rsidRPr="00EC02CA">
        <w:t>person</w:t>
      </w:r>
      <w:r w:rsidR="00CF47DE" w:rsidRPr="00EC02CA">
        <w:t xml:space="preserve"> should be </w:t>
      </w:r>
      <w:r w:rsidR="00E51FAE" w:rsidRPr="00EC02CA">
        <w:t>made aware of their rights and obligations under the law</w:t>
      </w:r>
      <w:r w:rsidR="00D716D0" w:rsidRPr="00EC02CA">
        <w:t>,</w:t>
      </w:r>
      <w:r w:rsidR="00E51FAE" w:rsidRPr="00EC02CA">
        <w:t xml:space="preserve"> and the consequences of contravening the law.</w:t>
      </w:r>
      <w:r w:rsidR="00E51FAE" w:rsidRPr="00EC02CA">
        <w:rPr>
          <w:rStyle w:val="FootnoteReference"/>
        </w:rPr>
        <w:footnoteReference w:id="930"/>
      </w:r>
      <w:r w:rsidR="00E51FAE" w:rsidRPr="00EC02CA">
        <w:t xml:space="preserve"> </w:t>
      </w:r>
      <w:r w:rsidR="00335C66" w:rsidRPr="00EC02CA">
        <w:t xml:space="preserve">It is also </w:t>
      </w:r>
      <w:r w:rsidR="00EC6ACA" w:rsidRPr="00EC02CA">
        <w:t>consistent with</w:t>
      </w:r>
      <w:r w:rsidR="00335C66" w:rsidRPr="00EC02CA">
        <w:t xml:space="preserve"> the </w:t>
      </w:r>
      <w:r w:rsidR="00CF15D4" w:rsidRPr="00EC02CA">
        <w:t>objectives of</w:t>
      </w:r>
      <w:r w:rsidR="00335C66" w:rsidRPr="00EC02CA">
        <w:t xml:space="preserve"> the </w:t>
      </w:r>
      <w:r w:rsidR="000A25FA" w:rsidRPr="00EC02CA">
        <w:rPr>
          <w:i/>
        </w:rPr>
        <w:t xml:space="preserve">Beijing </w:t>
      </w:r>
      <w:r w:rsidR="00CF15D4" w:rsidRPr="00EC02CA">
        <w:rPr>
          <w:i/>
        </w:rPr>
        <w:t>R</w:t>
      </w:r>
      <w:r w:rsidR="000A25FA" w:rsidRPr="00EC02CA">
        <w:rPr>
          <w:i/>
        </w:rPr>
        <w:t>ules</w:t>
      </w:r>
      <w:r w:rsidR="00CF15D4" w:rsidRPr="00EC02CA">
        <w:t xml:space="preserve"> inasmuch as </w:t>
      </w:r>
      <w:r w:rsidR="0079065B" w:rsidRPr="00EC02CA">
        <w:t xml:space="preserve">witness intermediaries for young defendants </w:t>
      </w:r>
      <w:r w:rsidR="005D327C" w:rsidRPr="00EC02CA">
        <w:t>aim to increase the likelihood of a fair trial</w:t>
      </w:r>
      <w:r w:rsidR="00335C66" w:rsidRPr="00EC02CA">
        <w:t>.</w:t>
      </w:r>
      <w:r w:rsidR="00335C66" w:rsidRPr="00EC02CA">
        <w:rPr>
          <w:rStyle w:val="FootnoteReference"/>
        </w:rPr>
        <w:footnoteReference w:id="931"/>
      </w:r>
      <w:r w:rsidR="000A25FA" w:rsidRPr="00EC02CA">
        <w:t xml:space="preserve"> </w:t>
      </w:r>
    </w:p>
    <w:p w14:paraId="14F25C84" w14:textId="7960E2CF" w:rsidR="00EB357B" w:rsidRPr="00EC02CA" w:rsidRDefault="00EB357B" w:rsidP="00A920EC">
      <w:pPr>
        <w:pStyle w:val="TLRISubheading"/>
        <w:keepNext/>
        <w:keepLines/>
      </w:pPr>
      <w:bookmarkStart w:id="477" w:name="_Toc211849471"/>
      <w:bookmarkStart w:id="478" w:name="_Toc218157375"/>
      <w:r w:rsidRPr="00EC02CA">
        <w:t>Reportable offender registration</w:t>
      </w:r>
      <w:bookmarkEnd w:id="477"/>
      <w:bookmarkEnd w:id="478"/>
    </w:p>
    <w:p w14:paraId="0531917D" w14:textId="0C27D245" w:rsidR="00C5602A" w:rsidRPr="00EC02CA" w:rsidRDefault="00E14E62" w:rsidP="00A920EC">
      <w:pPr>
        <w:pStyle w:val="NormalNumberedTextTLRI"/>
        <w:keepNext/>
        <w:keepLines/>
        <w:rPr>
          <w:rFonts w:eastAsia="Times New Roman"/>
        </w:rPr>
      </w:pPr>
      <w:r w:rsidRPr="00EC02CA">
        <w:t xml:space="preserve">Reportable offender registration was not </w:t>
      </w:r>
      <w:r w:rsidR="00AD0287" w:rsidRPr="00EC02CA">
        <w:t>raised</w:t>
      </w:r>
      <w:r w:rsidRPr="00EC02CA">
        <w:t xml:space="preserve"> </w:t>
      </w:r>
      <w:r w:rsidR="008778B3" w:rsidRPr="00EC02CA">
        <w:t xml:space="preserve">by participants </w:t>
      </w:r>
      <w:r w:rsidRPr="00EC02CA">
        <w:t>in interviews</w:t>
      </w:r>
      <w:r w:rsidR="008778B3" w:rsidRPr="00EC02CA">
        <w:t xml:space="preserve"> with the TLRI</w:t>
      </w:r>
      <w:r w:rsidRPr="00EC02CA">
        <w:t>. However, the TLRI ha</w:t>
      </w:r>
      <w:r w:rsidR="008778B3" w:rsidRPr="00EC02CA">
        <w:t>s</w:t>
      </w:r>
      <w:r w:rsidRPr="00EC02CA">
        <w:t xml:space="preserve"> considered </w:t>
      </w:r>
      <w:r w:rsidR="00C85B24" w:rsidRPr="00EC02CA">
        <w:t xml:space="preserve">whether there is </w:t>
      </w:r>
      <w:r w:rsidR="00505644" w:rsidRPr="00EC02CA">
        <w:t xml:space="preserve">any need for reform </w:t>
      </w:r>
      <w:r w:rsidR="00861420" w:rsidRPr="00EC02CA">
        <w:t>to the legislative basis of orders as it applies</w:t>
      </w:r>
      <w:r w:rsidR="00505644" w:rsidRPr="00EC02CA">
        <w:t xml:space="preserve"> young </w:t>
      </w:r>
      <w:r w:rsidR="00861420" w:rsidRPr="00EC02CA">
        <w:t xml:space="preserve">people. </w:t>
      </w:r>
      <w:r w:rsidR="004C5EAE" w:rsidRPr="00EC02CA">
        <w:t xml:space="preserve">As noted, an additional order that may be made by a court in sentencing </w:t>
      </w:r>
      <w:r w:rsidR="008778B3" w:rsidRPr="00EC02CA">
        <w:t xml:space="preserve">a young person </w:t>
      </w:r>
      <w:r w:rsidR="004C5EAE" w:rsidRPr="00EC02CA">
        <w:t>for a sexual offence is a</w:t>
      </w:r>
      <w:r w:rsidR="00C5602A" w:rsidRPr="00EC02CA">
        <w:t xml:space="preserve">n order </w:t>
      </w:r>
      <w:r w:rsidR="00FE296D" w:rsidRPr="00EC02CA">
        <w:t>imposing</w:t>
      </w:r>
      <w:r w:rsidR="00C5602A" w:rsidRPr="00EC02CA">
        <w:t xml:space="preserve"> </w:t>
      </w:r>
      <w:r w:rsidR="00FE296D" w:rsidRPr="00EC02CA">
        <w:t>reporting</w:t>
      </w:r>
      <w:r w:rsidR="00C5602A" w:rsidRPr="00EC02CA">
        <w:t xml:space="preserve"> </w:t>
      </w:r>
      <w:r w:rsidR="00FE296D" w:rsidRPr="00EC02CA">
        <w:t>obligations</w:t>
      </w:r>
      <w:r w:rsidR="00C5602A" w:rsidRPr="00EC02CA">
        <w:t xml:space="preserve"> under the </w:t>
      </w:r>
      <w:r w:rsidR="00C5602A" w:rsidRPr="00EC02CA">
        <w:rPr>
          <w:i/>
          <w:iCs/>
        </w:rPr>
        <w:t xml:space="preserve">Community </w:t>
      </w:r>
      <w:r w:rsidR="00FE296D" w:rsidRPr="00EC02CA">
        <w:rPr>
          <w:i/>
          <w:iCs/>
        </w:rPr>
        <w:t>Protection</w:t>
      </w:r>
      <w:r w:rsidR="00C5602A" w:rsidRPr="00EC02CA">
        <w:rPr>
          <w:i/>
          <w:iCs/>
        </w:rPr>
        <w:t xml:space="preserve"> (Offender </w:t>
      </w:r>
      <w:r w:rsidR="00FE296D" w:rsidRPr="00EC02CA">
        <w:rPr>
          <w:i/>
          <w:iCs/>
        </w:rPr>
        <w:t>Reporting</w:t>
      </w:r>
      <w:r w:rsidR="00C5602A" w:rsidRPr="00EC02CA">
        <w:rPr>
          <w:i/>
          <w:iCs/>
        </w:rPr>
        <w:t xml:space="preserve">) Act 2005 </w:t>
      </w:r>
      <w:r w:rsidR="00C5602A" w:rsidRPr="00EC02CA">
        <w:t xml:space="preserve">(Tas). A court must impose </w:t>
      </w:r>
      <w:r w:rsidR="008778B3" w:rsidRPr="00EC02CA">
        <w:t xml:space="preserve">reporting obligations </w:t>
      </w:r>
      <w:r w:rsidR="00C5602A" w:rsidRPr="00EC02CA">
        <w:t xml:space="preserve">unless it is satisfied that </w:t>
      </w:r>
      <w:r w:rsidR="00FE296D" w:rsidRPr="00EC02CA">
        <w:t>the person does not pose a risk of committing a reportable offence in the future.</w:t>
      </w:r>
      <w:r w:rsidR="00FE296D" w:rsidRPr="00EC02CA">
        <w:rPr>
          <w:rStyle w:val="FootnoteReference"/>
        </w:rPr>
        <w:footnoteReference w:id="932"/>
      </w:r>
      <w:r w:rsidR="00FE296D" w:rsidRPr="00EC02CA">
        <w:t xml:space="preserve"> As shown at </w:t>
      </w:r>
      <w:r w:rsidR="00A37AE4" w:rsidRPr="00EC02CA">
        <w:t>[</w:t>
      </w:r>
      <w:r w:rsidR="001A5EEE" w:rsidRPr="00EC02CA">
        <w:fldChar w:fldCharType="begin"/>
      </w:r>
      <w:r w:rsidR="001A5EEE" w:rsidRPr="00EC02CA">
        <w:instrText xml:space="preserve"> REF _Ref218242198 \r \h </w:instrText>
      </w:r>
      <w:r w:rsidR="001A5EEE" w:rsidRPr="00EC02CA">
        <w:fldChar w:fldCharType="separate"/>
      </w:r>
      <w:r w:rsidR="007D7830">
        <w:t>8.3.15</w:t>
      </w:r>
      <w:r w:rsidR="001A5EEE" w:rsidRPr="00EC02CA">
        <w:fldChar w:fldCharType="end"/>
      </w:r>
      <w:r w:rsidR="00F57AFF" w:rsidRPr="00EC02CA">
        <w:t>]</w:t>
      </w:r>
      <w:r w:rsidR="00FE296D" w:rsidRPr="00EC02CA">
        <w:t xml:space="preserve">, the majority of </w:t>
      </w:r>
      <w:r w:rsidR="008778B3" w:rsidRPr="00EC02CA">
        <w:t xml:space="preserve">sexual offence </w:t>
      </w:r>
      <w:r w:rsidR="00FE296D" w:rsidRPr="00EC02CA">
        <w:t xml:space="preserve">charges heard in the Supreme Court resulted in the offender being placed on the Community Protection Offender Register. </w:t>
      </w:r>
      <w:r w:rsidR="008778B3" w:rsidRPr="00EC02CA">
        <w:t>T</w:t>
      </w:r>
      <w:r w:rsidR="00FE296D" w:rsidRPr="00EC02CA">
        <w:t xml:space="preserve">he number of </w:t>
      </w:r>
      <w:r w:rsidR="008778B3" w:rsidRPr="00EC02CA">
        <w:t xml:space="preserve">such </w:t>
      </w:r>
      <w:r w:rsidR="00FE296D" w:rsidRPr="00EC02CA">
        <w:t>orders imposed in the Youth Justice Division</w:t>
      </w:r>
      <w:r w:rsidR="008778B3" w:rsidRPr="00EC02CA">
        <w:t xml:space="preserve"> is not known</w:t>
      </w:r>
      <w:r w:rsidR="00FE296D" w:rsidRPr="00EC02CA">
        <w:t xml:space="preserve">. </w:t>
      </w:r>
      <w:r w:rsidR="006A486F" w:rsidRPr="00EC02CA">
        <w:t xml:space="preserve"> </w:t>
      </w:r>
    </w:p>
    <w:p w14:paraId="2332DC24" w14:textId="217BA17E" w:rsidR="00005D48" w:rsidRPr="00EC02CA" w:rsidRDefault="00005D48" w:rsidP="002F0007">
      <w:pPr>
        <w:pStyle w:val="NormalNumberedTextTLRI"/>
        <w:rPr>
          <w:rFonts w:eastAsia="Times New Roman"/>
        </w:rPr>
      </w:pPr>
      <w:r w:rsidRPr="00EC02CA">
        <w:t>Similar registration schemes apply in other states and territories.</w:t>
      </w:r>
      <w:r w:rsidRPr="00EC02CA">
        <w:rPr>
          <w:rStyle w:val="FootnoteReference"/>
        </w:rPr>
        <w:footnoteReference w:id="933"/>
      </w:r>
      <w:r w:rsidRPr="00EC02CA">
        <w:t xml:space="preserve"> However, in the </w:t>
      </w:r>
      <w:r w:rsidR="00C1756B" w:rsidRPr="00EC02CA">
        <w:t>Australian</w:t>
      </w:r>
      <w:r w:rsidRPr="00EC02CA">
        <w:t xml:space="preserve"> Capital Territory and South </w:t>
      </w:r>
      <w:r w:rsidR="00C1756B" w:rsidRPr="00EC02CA">
        <w:t>Australia</w:t>
      </w:r>
      <w:r w:rsidRPr="00EC02CA">
        <w:t xml:space="preserve">, </w:t>
      </w:r>
      <w:r w:rsidR="003408C6" w:rsidRPr="00EC02CA">
        <w:t xml:space="preserve">there are sexual offences for which a young </w:t>
      </w:r>
      <w:r w:rsidR="00B302A7" w:rsidRPr="00EC02CA">
        <w:t>person</w:t>
      </w:r>
      <w:r w:rsidR="003408C6" w:rsidRPr="00EC02CA">
        <w:t xml:space="preserve"> is not a reportable offender. For example, in </w:t>
      </w:r>
      <w:r w:rsidR="00A03912" w:rsidRPr="00EC02CA">
        <w:t>the A</w:t>
      </w:r>
      <w:r w:rsidR="00F949FD" w:rsidRPr="00EC02CA">
        <w:t xml:space="preserve">ustralin </w:t>
      </w:r>
      <w:r w:rsidR="00A03912" w:rsidRPr="00EC02CA">
        <w:t>C</w:t>
      </w:r>
      <w:r w:rsidR="00F949FD" w:rsidRPr="00EC02CA">
        <w:t xml:space="preserve">apital </w:t>
      </w:r>
      <w:r w:rsidR="00A03912" w:rsidRPr="00EC02CA">
        <w:t>T</w:t>
      </w:r>
      <w:r w:rsidR="00F949FD" w:rsidRPr="00EC02CA">
        <w:t>erritory</w:t>
      </w:r>
      <w:r w:rsidR="00A03912" w:rsidRPr="00EC02CA">
        <w:t>, a young person sentenced for an act of ind</w:t>
      </w:r>
      <w:r w:rsidR="0094516C" w:rsidRPr="00EC02CA">
        <w:t>ecenc</w:t>
      </w:r>
      <w:r w:rsidR="00A03912" w:rsidRPr="00EC02CA">
        <w:t>y with a young person</w:t>
      </w:r>
      <w:r w:rsidR="00F949FD" w:rsidRPr="00EC02CA">
        <w:t>,</w:t>
      </w:r>
      <w:r w:rsidR="00A03912" w:rsidRPr="00EC02CA">
        <w:t xml:space="preserve"> or </w:t>
      </w:r>
      <w:r w:rsidR="00F949FD" w:rsidRPr="00EC02CA">
        <w:t xml:space="preserve">for </w:t>
      </w:r>
      <w:r w:rsidR="00CC3B8C" w:rsidRPr="00EC02CA">
        <w:t>possessing</w:t>
      </w:r>
      <w:r w:rsidR="00A03912" w:rsidRPr="00EC02CA">
        <w:t xml:space="preserve"> child exploitation material</w:t>
      </w:r>
      <w:r w:rsidR="00F949FD" w:rsidRPr="00EC02CA">
        <w:t>,</w:t>
      </w:r>
      <w:r w:rsidR="00A03912" w:rsidRPr="00EC02CA">
        <w:t xml:space="preserve"> is not a </w:t>
      </w:r>
      <w:r w:rsidR="006739F2" w:rsidRPr="00EC02CA">
        <w:t>registrable</w:t>
      </w:r>
      <w:r w:rsidR="00A03912" w:rsidRPr="00EC02CA">
        <w:t xml:space="preserve"> offender</w:t>
      </w:r>
      <w:r w:rsidR="00EC3B60" w:rsidRPr="00EC02CA">
        <w:t xml:space="preserve"> only for that reason.</w:t>
      </w:r>
      <w:r w:rsidR="00EC3B60" w:rsidRPr="00EC02CA">
        <w:rPr>
          <w:rStyle w:val="FootnoteReference"/>
        </w:rPr>
        <w:footnoteReference w:id="934"/>
      </w:r>
      <w:r w:rsidR="00F949FD" w:rsidRPr="00EC02CA">
        <w:t xml:space="preserve"> </w:t>
      </w:r>
      <w:r w:rsidR="006739F2" w:rsidRPr="00EC02CA">
        <w:t>In addition, a young person is not a re</w:t>
      </w:r>
      <w:r w:rsidR="009539FE" w:rsidRPr="00EC02CA">
        <w:t>gistrable</w:t>
      </w:r>
      <w:r w:rsidR="006739F2" w:rsidRPr="00EC02CA">
        <w:t xml:space="preserve"> offender if the court considers, on application by the </w:t>
      </w:r>
      <w:r w:rsidR="009539FE" w:rsidRPr="00EC02CA">
        <w:t>defence</w:t>
      </w:r>
      <w:r w:rsidR="006739F2" w:rsidRPr="00EC02CA">
        <w:t xml:space="preserve">, that </w:t>
      </w:r>
      <w:r w:rsidR="009539FE" w:rsidRPr="00EC02CA">
        <w:t>including the person on the register is inappropriate in the circumstances of the case.</w:t>
      </w:r>
      <w:r w:rsidR="009539FE" w:rsidRPr="00EC02CA">
        <w:rPr>
          <w:rStyle w:val="FootnoteReference"/>
        </w:rPr>
        <w:footnoteReference w:id="935"/>
      </w:r>
      <w:r w:rsidR="00677AE9" w:rsidRPr="00EC02CA">
        <w:t xml:space="preserve"> In South Australia, </w:t>
      </w:r>
      <w:r w:rsidR="006538BD" w:rsidRPr="00EC02CA">
        <w:t>there are also provisions that apply to young people</w:t>
      </w:r>
      <w:r w:rsidR="00044A74" w:rsidRPr="00EC02CA">
        <w:t xml:space="preserve"> exclud</w:t>
      </w:r>
      <w:r w:rsidR="00F949FD" w:rsidRPr="00EC02CA">
        <w:t>ing</w:t>
      </w:r>
      <w:r w:rsidR="00044A74" w:rsidRPr="00EC02CA">
        <w:t xml:space="preserve"> them from the definition of </w:t>
      </w:r>
      <w:r w:rsidR="00B250B5" w:rsidRPr="00EC02CA">
        <w:t>registrable</w:t>
      </w:r>
      <w:r w:rsidR="00044A74" w:rsidRPr="00EC02CA">
        <w:t xml:space="preserve"> offenders</w:t>
      </w:r>
      <w:r w:rsidR="00B250B5" w:rsidRPr="00EC02CA">
        <w:t xml:space="preserve">. </w:t>
      </w:r>
      <w:r w:rsidR="00F949FD" w:rsidRPr="00EC02CA">
        <w:t>In that state, a</w:t>
      </w:r>
      <w:r w:rsidR="00B250B5" w:rsidRPr="00EC02CA">
        <w:t xml:space="preserve"> person is not a registrable offender merely because they committed a class 1 or 2 offence when they were a child for which they have been sentenced.</w:t>
      </w:r>
      <w:r w:rsidR="00B250B5" w:rsidRPr="00EC02CA">
        <w:rPr>
          <w:rStyle w:val="FootnoteReference"/>
        </w:rPr>
        <w:footnoteReference w:id="936"/>
      </w:r>
      <w:r w:rsidR="00B250B5" w:rsidRPr="00EC02CA">
        <w:t xml:space="preserve"> </w:t>
      </w:r>
    </w:p>
    <w:p w14:paraId="56AD0226" w14:textId="00D244E8" w:rsidR="00BA193D" w:rsidRPr="00EC02CA" w:rsidRDefault="006D56A5" w:rsidP="002F0007">
      <w:pPr>
        <w:pStyle w:val="NormalNumberedTextTLRI"/>
      </w:pPr>
      <w:r w:rsidRPr="00EC02CA">
        <w:t xml:space="preserve">The </w:t>
      </w:r>
      <w:r w:rsidR="008806DD" w:rsidRPr="00EC02CA">
        <w:t>VLRC</w:t>
      </w:r>
      <w:r w:rsidRPr="00EC02CA">
        <w:t xml:space="preserve"> has </w:t>
      </w:r>
      <w:r w:rsidR="00AE5E42" w:rsidRPr="00EC02CA">
        <w:t xml:space="preserve">twice </w:t>
      </w:r>
      <w:r w:rsidRPr="00EC02CA">
        <w:t xml:space="preserve">made recommendations for reform </w:t>
      </w:r>
      <w:r w:rsidR="00F949FD" w:rsidRPr="00EC02CA">
        <w:t>of</w:t>
      </w:r>
      <w:r w:rsidRPr="00EC02CA">
        <w:t xml:space="preserve"> the </w:t>
      </w:r>
      <w:r w:rsidR="00754F76" w:rsidRPr="00EC02CA">
        <w:t>Victorian</w:t>
      </w:r>
      <w:r w:rsidRPr="00EC02CA">
        <w:t xml:space="preserve"> </w:t>
      </w:r>
      <w:r w:rsidR="00754F76" w:rsidRPr="00EC02CA">
        <w:t xml:space="preserve">scheme for the registration of sex offenders in relation to its </w:t>
      </w:r>
      <w:r w:rsidR="00AE5E42" w:rsidRPr="00EC02CA">
        <w:t>application</w:t>
      </w:r>
      <w:r w:rsidR="00754F76" w:rsidRPr="00EC02CA">
        <w:t xml:space="preserve"> to children and young people. </w:t>
      </w:r>
      <w:r w:rsidR="00233546" w:rsidRPr="00EC02CA">
        <w:t>In</w:t>
      </w:r>
      <w:r w:rsidR="004E7069" w:rsidRPr="00EC02CA">
        <w:t xml:space="preserve"> </w:t>
      </w:r>
      <w:r w:rsidR="00233546" w:rsidRPr="00EC02CA">
        <w:t>Victoria</w:t>
      </w:r>
      <w:r w:rsidR="004E7069" w:rsidRPr="00EC02CA">
        <w:t>, the</w:t>
      </w:r>
      <w:r w:rsidR="00CC2140" w:rsidRPr="00EC02CA">
        <w:t>re is</w:t>
      </w:r>
      <w:r w:rsidR="004E7069" w:rsidRPr="00EC02CA">
        <w:t xml:space="preserve"> a dis</w:t>
      </w:r>
      <w:r w:rsidR="00233546" w:rsidRPr="00EC02CA">
        <w:t>cre</w:t>
      </w:r>
      <w:r w:rsidR="004E7069" w:rsidRPr="00EC02CA">
        <w:t>tion to place a child on the register</w:t>
      </w:r>
      <w:r w:rsidR="001F76FF" w:rsidRPr="00EC02CA">
        <w:t>.</w:t>
      </w:r>
      <w:r w:rsidR="00233546" w:rsidRPr="00EC02CA">
        <w:rPr>
          <w:rStyle w:val="FootnoteReference"/>
        </w:rPr>
        <w:footnoteReference w:id="937"/>
      </w:r>
      <w:r w:rsidR="0084237A" w:rsidRPr="00EC02CA">
        <w:t xml:space="preserve"> </w:t>
      </w:r>
      <w:r w:rsidR="00F949FD" w:rsidRPr="00EC02CA">
        <w:t xml:space="preserve">In </w:t>
      </w:r>
      <w:r w:rsidR="00AE5E42" w:rsidRPr="00EC02CA">
        <w:t xml:space="preserve">its </w:t>
      </w:r>
      <w:r w:rsidR="001F76FF" w:rsidRPr="00EC02CA">
        <w:t>2021</w:t>
      </w:r>
      <w:r w:rsidR="00AE5E42" w:rsidRPr="00EC02CA">
        <w:t xml:space="preserve"> review of sexual offences</w:t>
      </w:r>
      <w:r w:rsidR="00F949FD" w:rsidRPr="00EC02CA">
        <w:t>,</w:t>
      </w:r>
      <w:r w:rsidR="00AE5E42" w:rsidRPr="00EC02CA">
        <w:t xml:space="preserve"> </w:t>
      </w:r>
      <w:r w:rsidR="00F949FD" w:rsidRPr="00EC02CA">
        <w:t xml:space="preserve">the VLRC </w:t>
      </w:r>
      <w:r w:rsidR="00AE5E42" w:rsidRPr="00EC02CA">
        <w:t>observed that submissions were received indicat</w:t>
      </w:r>
      <w:r w:rsidR="00F949FD" w:rsidRPr="00EC02CA">
        <w:t>ing</w:t>
      </w:r>
      <w:r w:rsidR="00AE5E42" w:rsidRPr="00EC02CA">
        <w:t xml:space="preserve"> that </w:t>
      </w:r>
      <w:r w:rsidR="0084237A" w:rsidRPr="00EC02CA">
        <w:t xml:space="preserve">‘sex offender registration was not developmentally appropriate for children and young </w:t>
      </w:r>
      <w:r w:rsidR="008D4582" w:rsidRPr="00EC02CA">
        <w:t>people</w:t>
      </w:r>
      <w:r w:rsidR="0084237A" w:rsidRPr="00EC02CA">
        <w:t>’.</w:t>
      </w:r>
      <w:r w:rsidR="0084237A" w:rsidRPr="00EC02CA">
        <w:rPr>
          <w:rStyle w:val="FootnoteReference"/>
        </w:rPr>
        <w:footnoteReference w:id="938"/>
      </w:r>
      <w:r w:rsidR="00F949FD" w:rsidRPr="00EC02CA">
        <w:t xml:space="preserve"> </w:t>
      </w:r>
      <w:r w:rsidR="00D40FF7" w:rsidRPr="00EC02CA">
        <w:t>The VLRC previously consider</w:t>
      </w:r>
      <w:r w:rsidR="00F949FD" w:rsidRPr="00EC02CA">
        <w:t>ed</w:t>
      </w:r>
      <w:r w:rsidR="00D40FF7" w:rsidRPr="00EC02CA">
        <w:t xml:space="preserve"> this issue in </w:t>
      </w:r>
      <w:r w:rsidR="001452FA" w:rsidRPr="00EC02CA">
        <w:t>its 2012 report</w:t>
      </w:r>
      <w:r w:rsidR="00F949FD" w:rsidRPr="00EC02CA">
        <w:t>,</w:t>
      </w:r>
      <w:r w:rsidR="00D02102" w:rsidRPr="00EC02CA">
        <w:t xml:space="preserve"> where it</w:t>
      </w:r>
      <w:r w:rsidR="00BA193D" w:rsidRPr="00EC02CA">
        <w:t xml:space="preserve"> observed that:</w:t>
      </w:r>
    </w:p>
    <w:p w14:paraId="0D70DC52" w14:textId="1DAA1821" w:rsidR="00041132" w:rsidRPr="00EC02CA" w:rsidRDefault="00041132" w:rsidP="00041132">
      <w:pPr>
        <w:pStyle w:val="Indentedquote"/>
      </w:pPr>
      <w:r w:rsidRPr="00EC02CA">
        <w:t>[</w:t>
      </w:r>
      <w:r w:rsidR="00BB71B8" w:rsidRPr="00EC02CA">
        <w:t>T</w:t>
      </w:r>
      <w:r w:rsidRPr="00EC02CA">
        <w:t>he</w:t>
      </w:r>
      <w:r w:rsidR="00ED4956" w:rsidRPr="00EC02CA">
        <w:t>]</w:t>
      </w:r>
      <w:r w:rsidRPr="00EC02CA">
        <w:t xml:space="preserve"> </w:t>
      </w:r>
      <w:r w:rsidR="00ED4956" w:rsidRPr="00EC02CA">
        <w:t>i</w:t>
      </w:r>
      <w:r w:rsidRPr="00EC02CA">
        <w:t>ntrusive nature of registration orders is far more pronounced for young people than it is for adults because they ordinarily have contact with other young people as part of their daily lives, such as when going to school, playing sport, living with their siblings, and having young visitors in the family home. A registered sex offender who is a young person must report all of these contacts. In addition, young people tend to be active users of social media, mobile phones and other means of electronic communication that must also be reported when it involves regular unsupervised contact with a child</w:t>
      </w:r>
      <w:r w:rsidR="00ED4956" w:rsidRPr="00EC02CA">
        <w:t>.</w:t>
      </w:r>
      <w:r w:rsidR="00ED4956" w:rsidRPr="00EC02CA">
        <w:rPr>
          <w:rStyle w:val="FootnoteReference"/>
        </w:rPr>
        <w:footnoteReference w:id="939"/>
      </w:r>
    </w:p>
    <w:p w14:paraId="377B9892" w14:textId="6D7D1D4E" w:rsidR="00BD2126" w:rsidRPr="00EC02CA" w:rsidRDefault="00D02102" w:rsidP="002F0007">
      <w:pPr>
        <w:pStyle w:val="NormalNumberedTextTLRI"/>
      </w:pPr>
      <w:r w:rsidRPr="00EC02CA">
        <w:t xml:space="preserve"> </w:t>
      </w:r>
      <w:r w:rsidR="00BC7F01" w:rsidRPr="00EC02CA">
        <w:t xml:space="preserve">Given the </w:t>
      </w:r>
      <w:r w:rsidR="00F84E5A" w:rsidRPr="00EC02CA">
        <w:t>protection</w:t>
      </w:r>
      <w:r w:rsidR="00BE0335" w:rsidRPr="00EC02CA">
        <w:t xml:space="preserve"> options available to the court in </w:t>
      </w:r>
      <w:r w:rsidR="00F84E5A" w:rsidRPr="00EC02CA">
        <w:t>Victoria</w:t>
      </w:r>
      <w:r w:rsidR="00271116" w:rsidRPr="00EC02CA">
        <w:t xml:space="preserve">, </w:t>
      </w:r>
      <w:r w:rsidR="00BE0335" w:rsidRPr="00EC02CA">
        <w:t xml:space="preserve">such as </w:t>
      </w:r>
      <w:r w:rsidR="00F848A4" w:rsidRPr="00EC02CA">
        <w:t xml:space="preserve">the </w:t>
      </w:r>
      <w:r w:rsidR="00F84E5A" w:rsidRPr="00EC02CA">
        <w:t>therapeutic</w:t>
      </w:r>
      <w:r w:rsidR="00F848A4" w:rsidRPr="00EC02CA">
        <w:t xml:space="preserve"> treatment order and the other </w:t>
      </w:r>
      <w:r w:rsidR="00F84E5A" w:rsidRPr="00EC02CA">
        <w:t>protective</w:t>
      </w:r>
      <w:r w:rsidR="00F848A4" w:rsidRPr="00EC02CA">
        <w:t xml:space="preserve"> dispositions for us</w:t>
      </w:r>
      <w:r w:rsidR="00F84E5A" w:rsidRPr="00EC02CA">
        <w:t>e</w:t>
      </w:r>
      <w:r w:rsidR="00F848A4" w:rsidRPr="00EC02CA">
        <w:t xml:space="preserve"> in managing young </w:t>
      </w:r>
      <w:r w:rsidR="00F84E5A" w:rsidRPr="00EC02CA">
        <w:t>people</w:t>
      </w:r>
      <w:r w:rsidR="00F848A4" w:rsidRPr="00EC02CA">
        <w:t xml:space="preserve"> involved in intra-familial sexual </w:t>
      </w:r>
      <w:r w:rsidR="00F84E5A" w:rsidRPr="00EC02CA">
        <w:t>offending</w:t>
      </w:r>
      <w:r w:rsidR="00F848A4" w:rsidRPr="00EC02CA">
        <w:t xml:space="preserve">, </w:t>
      </w:r>
      <w:r w:rsidR="00271116" w:rsidRPr="00EC02CA">
        <w:t>the VLRC</w:t>
      </w:r>
      <w:r w:rsidR="00F84E5A" w:rsidRPr="00EC02CA">
        <w:t xml:space="preserve"> </w:t>
      </w:r>
      <w:r w:rsidRPr="00EC02CA">
        <w:t>recommended that there</w:t>
      </w:r>
      <w:r w:rsidR="001452FA" w:rsidRPr="00EC02CA">
        <w:t xml:space="preserve"> should be </w:t>
      </w:r>
      <w:r w:rsidR="00271116" w:rsidRPr="00EC02CA">
        <w:t xml:space="preserve">a </w:t>
      </w:r>
      <w:r w:rsidRPr="00EC02CA">
        <w:t>presumption against</w:t>
      </w:r>
      <w:r w:rsidR="001452FA" w:rsidRPr="00EC02CA">
        <w:t xml:space="preserve"> the registration of children </w:t>
      </w:r>
      <w:r w:rsidR="003E3029" w:rsidRPr="00EC02CA">
        <w:t>(</w:t>
      </w:r>
      <w:r w:rsidRPr="00EC02CA">
        <w:t>people</w:t>
      </w:r>
      <w:r w:rsidR="003E3029" w:rsidRPr="00EC02CA">
        <w:t xml:space="preserve"> </w:t>
      </w:r>
      <w:r w:rsidR="00271116" w:rsidRPr="00EC02CA">
        <w:t xml:space="preserve">aged </w:t>
      </w:r>
      <w:r w:rsidR="003E3029" w:rsidRPr="00EC02CA">
        <w:t>under 18</w:t>
      </w:r>
      <w:r w:rsidR="00236232" w:rsidRPr="00EC02CA">
        <w:t xml:space="preserve"> at the time of sentencing</w:t>
      </w:r>
      <w:r w:rsidR="003E3029" w:rsidRPr="00EC02CA">
        <w:t>)</w:t>
      </w:r>
      <w:r w:rsidR="002F316A" w:rsidRPr="00EC02CA">
        <w:t xml:space="preserve"> </w:t>
      </w:r>
      <w:r w:rsidR="001452FA" w:rsidRPr="00EC02CA">
        <w:t>unless it would serve</w:t>
      </w:r>
      <w:r w:rsidR="009D4ABC" w:rsidRPr="00EC02CA">
        <w:t xml:space="preserve"> a useful </w:t>
      </w:r>
      <w:r w:rsidRPr="00EC02CA">
        <w:t>protective</w:t>
      </w:r>
      <w:r w:rsidR="009D4ABC" w:rsidRPr="00EC02CA">
        <w:t xml:space="preserve"> purpose</w:t>
      </w:r>
      <w:r w:rsidR="00271116" w:rsidRPr="00EC02CA">
        <w:t xml:space="preserve">, </w:t>
      </w:r>
      <w:r w:rsidR="009D4ABC" w:rsidRPr="00EC02CA">
        <w:t xml:space="preserve">based on an individualised </w:t>
      </w:r>
      <w:r w:rsidRPr="00EC02CA">
        <w:t>risk</w:t>
      </w:r>
      <w:r w:rsidR="009D4ABC" w:rsidRPr="00EC02CA">
        <w:t xml:space="preserve"> assessment.</w:t>
      </w:r>
      <w:r w:rsidR="009D4ABC" w:rsidRPr="00EC02CA">
        <w:rPr>
          <w:rStyle w:val="FootnoteReference"/>
        </w:rPr>
        <w:footnoteReference w:id="940"/>
      </w:r>
      <w:r w:rsidR="00F8618E" w:rsidRPr="00EC02CA">
        <w:t xml:space="preserve"> </w:t>
      </w:r>
      <w:r w:rsidR="00F84E5A" w:rsidRPr="00EC02CA">
        <w:t xml:space="preserve">This </w:t>
      </w:r>
      <w:r w:rsidR="00236232" w:rsidRPr="00EC02CA">
        <w:t>recommendation</w:t>
      </w:r>
      <w:r w:rsidR="00F84E5A" w:rsidRPr="00EC02CA">
        <w:t xml:space="preserve"> was </w:t>
      </w:r>
      <w:r w:rsidR="00236232" w:rsidRPr="00EC02CA">
        <w:t>reiterated</w:t>
      </w:r>
      <w:r w:rsidR="00F84E5A" w:rsidRPr="00EC02CA">
        <w:t xml:space="preserve"> in the </w:t>
      </w:r>
      <w:r w:rsidR="00A254DE" w:rsidRPr="00EC02CA">
        <w:t>2021 VLRC</w:t>
      </w:r>
      <w:r w:rsidR="00F84E5A" w:rsidRPr="00EC02CA">
        <w:t xml:space="preserve"> </w:t>
      </w:r>
      <w:r w:rsidR="00D924A5" w:rsidRPr="00EC02CA">
        <w:t>R</w:t>
      </w:r>
      <w:r w:rsidR="00F84E5A" w:rsidRPr="00EC02CA">
        <w:t>eport.</w:t>
      </w:r>
      <w:r w:rsidR="00D924A5" w:rsidRPr="00EC02CA">
        <w:rPr>
          <w:rStyle w:val="FootnoteReference"/>
        </w:rPr>
        <w:footnoteReference w:id="941"/>
      </w:r>
    </w:p>
    <w:p w14:paraId="3C8C3C38" w14:textId="660B1F93" w:rsidR="00D518F4" w:rsidRPr="00EC02CA" w:rsidRDefault="00F56931" w:rsidP="002F0007">
      <w:pPr>
        <w:pStyle w:val="NormalNumberedTextTLRI"/>
      </w:pPr>
      <w:r w:rsidRPr="00EC02CA">
        <w:t>However, the TLRI</w:t>
      </w:r>
      <w:r w:rsidR="006A194D" w:rsidRPr="00EC02CA">
        <w:t>’s view</w:t>
      </w:r>
      <w:r w:rsidRPr="00EC02CA">
        <w:t xml:space="preserve"> </w:t>
      </w:r>
      <w:r w:rsidR="006A194D" w:rsidRPr="00EC02CA">
        <w:t>is</w:t>
      </w:r>
      <w:r w:rsidRPr="00EC02CA">
        <w:t xml:space="preserve"> </w:t>
      </w:r>
      <w:r w:rsidR="006A194D" w:rsidRPr="00EC02CA">
        <w:t xml:space="preserve">that a </w:t>
      </w:r>
      <w:r w:rsidRPr="00EC02CA">
        <w:t xml:space="preserve">review of the operation of the offender reporting scheme </w:t>
      </w:r>
      <w:r w:rsidR="00702AAD" w:rsidRPr="00EC02CA">
        <w:t xml:space="preserve">under the </w:t>
      </w:r>
      <w:r w:rsidR="00702AAD" w:rsidRPr="00EC02CA">
        <w:rPr>
          <w:i/>
          <w:iCs/>
        </w:rPr>
        <w:t xml:space="preserve">Community Protection (Offender Reporting) Act 2005 </w:t>
      </w:r>
      <w:r w:rsidR="00702AAD" w:rsidRPr="00EC02CA">
        <w:t xml:space="preserve">(Tas) </w:t>
      </w:r>
      <w:r w:rsidR="00271116" w:rsidRPr="00EC02CA">
        <w:t xml:space="preserve">as it applies to young people, </w:t>
      </w:r>
      <w:r w:rsidR="001F76FF" w:rsidRPr="00EC02CA">
        <w:t xml:space="preserve">should be </w:t>
      </w:r>
      <w:r w:rsidR="00271116" w:rsidRPr="00EC02CA">
        <w:t xml:space="preserve">undertaken </w:t>
      </w:r>
      <w:r w:rsidRPr="00EC02CA">
        <w:t>as part of the implement</w:t>
      </w:r>
      <w:r w:rsidR="00271116" w:rsidRPr="00EC02CA">
        <w:t xml:space="preserve">ation </w:t>
      </w:r>
      <w:r w:rsidR="006A194D" w:rsidRPr="00EC02CA">
        <w:t>review of the</w:t>
      </w:r>
      <w:r w:rsidR="008A5F19" w:rsidRPr="00EC02CA">
        <w:rPr>
          <w:i/>
          <w:iCs/>
        </w:rPr>
        <w:t xml:space="preserve"> Youth Justice Act 1997 </w:t>
      </w:r>
      <w:r w:rsidR="008A5F19" w:rsidRPr="00EC02CA">
        <w:t>(Tas)</w:t>
      </w:r>
      <w:r w:rsidRPr="00EC02CA">
        <w:t>.</w:t>
      </w:r>
    </w:p>
    <w:p w14:paraId="042D1794" w14:textId="5BE1CF00" w:rsidR="00092C8A" w:rsidRPr="00EC02CA" w:rsidRDefault="001425F9" w:rsidP="00A920EC">
      <w:pPr>
        <w:pStyle w:val="TLRISubheading"/>
        <w:rPr>
          <w:b w:val="0"/>
          <w:bCs w:val="0"/>
        </w:rPr>
      </w:pPr>
      <w:bookmarkStart w:id="479" w:name="_Toc218157376"/>
      <w:r w:rsidRPr="00EC02CA">
        <w:t>Recommendations</w:t>
      </w:r>
      <w:bookmarkEnd w:id="479"/>
    </w:p>
    <w:p w14:paraId="6A968B63" w14:textId="4AE7A712" w:rsidR="00214532" w:rsidRPr="00EC02CA" w:rsidRDefault="00DC7AC6" w:rsidP="002F0007">
      <w:pPr>
        <w:pStyle w:val="NormalNumberedTextTLRI"/>
        <w:numPr>
          <w:ilvl w:val="0"/>
          <w:numId w:val="0"/>
        </w:numPr>
      </w:pPr>
      <w:r w:rsidRPr="00EC02CA">
        <w:rPr>
          <w:b/>
          <w:bCs/>
        </w:rPr>
        <w:t xml:space="preserve">Recommendation </w:t>
      </w:r>
      <w:r w:rsidR="00143A81" w:rsidRPr="00EC02CA">
        <w:rPr>
          <w:b/>
          <w:bCs/>
        </w:rPr>
        <w:t>10</w:t>
      </w:r>
      <w:r w:rsidRPr="00EC02CA">
        <w:t>:</w:t>
      </w:r>
      <w:r w:rsidR="00034E78" w:rsidRPr="00EC02CA">
        <w:t xml:space="preserve"> </w:t>
      </w:r>
      <w:r w:rsidR="000532E3" w:rsidRPr="00EC02CA">
        <w:t xml:space="preserve">The Supreme Court should consider how to fast-track, so far as possible, matters involving young offenders in sexual offence cases. In this regard, the </w:t>
      </w:r>
      <w:r w:rsidR="00DF3A48" w:rsidRPr="00EC02CA">
        <w:t xml:space="preserve">case management approach set out in the </w:t>
      </w:r>
      <w:r w:rsidR="000532E3" w:rsidRPr="00EC02CA">
        <w:t>Supreme Court Practice Direction</w:t>
      </w:r>
      <w:r w:rsidRPr="00EC02CA">
        <w:t xml:space="preserve"> No 1 of 2025</w:t>
      </w:r>
      <w:r w:rsidR="000532E3" w:rsidRPr="00EC02CA">
        <w:t xml:space="preserve"> (dated 7 July 2025)</w:t>
      </w:r>
      <w:r w:rsidRPr="00EC02CA">
        <w:t>,</w:t>
      </w:r>
      <w:r w:rsidR="000532E3" w:rsidRPr="00EC02CA">
        <w:t xml:space="preserve"> </w:t>
      </w:r>
      <w:r w:rsidRPr="00EC02CA">
        <w:t xml:space="preserve">which </w:t>
      </w:r>
      <w:r w:rsidR="00DF3A48" w:rsidRPr="00EC02CA">
        <w:t xml:space="preserve">applies to sexual offence cases with </w:t>
      </w:r>
      <w:r w:rsidR="000532E3" w:rsidRPr="00EC02CA">
        <w:t>child complainants</w:t>
      </w:r>
      <w:r w:rsidRPr="00EC02CA">
        <w:t>,</w:t>
      </w:r>
      <w:r w:rsidR="000532E3" w:rsidRPr="00EC02CA">
        <w:t xml:space="preserve"> </w:t>
      </w:r>
      <w:r w:rsidR="00DF3A48" w:rsidRPr="00EC02CA">
        <w:t xml:space="preserve">should be </w:t>
      </w:r>
      <w:r w:rsidR="00214532" w:rsidRPr="00EC02CA">
        <w:t>monitored</w:t>
      </w:r>
      <w:r w:rsidR="00DF3A48" w:rsidRPr="00EC02CA">
        <w:t xml:space="preserve"> to evaluate its effectiveness as </w:t>
      </w:r>
      <w:r w:rsidR="00214532" w:rsidRPr="00EC02CA">
        <w:t xml:space="preserve">way of reducing delay. Further, </w:t>
      </w:r>
      <w:r w:rsidR="000532E3" w:rsidRPr="00EC02CA">
        <w:t xml:space="preserve">consideration </w:t>
      </w:r>
      <w:r w:rsidR="00994FB0" w:rsidRPr="00EC02CA">
        <w:t>c</w:t>
      </w:r>
      <w:r w:rsidR="000532E3" w:rsidRPr="00EC02CA">
        <w:t>ould be given to extending th</w:t>
      </w:r>
      <w:r w:rsidRPr="00EC02CA">
        <w:t>at</w:t>
      </w:r>
      <w:r w:rsidR="000532E3" w:rsidRPr="00EC02CA">
        <w:t xml:space="preserve"> Practice Direction to include sexual offence cases where the accused is a youth. </w:t>
      </w:r>
    </w:p>
    <w:p w14:paraId="1874C1F8" w14:textId="3401450E" w:rsidR="00162A1C" w:rsidRPr="00EC02CA" w:rsidRDefault="00DC7AC6" w:rsidP="002F0007">
      <w:pPr>
        <w:pStyle w:val="NormalNumberedTextTLRI"/>
        <w:numPr>
          <w:ilvl w:val="0"/>
          <w:numId w:val="0"/>
        </w:numPr>
      </w:pPr>
      <w:r w:rsidRPr="00EC02CA">
        <w:rPr>
          <w:b/>
          <w:bCs/>
        </w:rPr>
        <w:t xml:space="preserve">Recommendation </w:t>
      </w:r>
      <w:r w:rsidR="00143A81" w:rsidRPr="00EC02CA">
        <w:rPr>
          <w:b/>
          <w:bCs/>
        </w:rPr>
        <w:t>11</w:t>
      </w:r>
      <w:r w:rsidRPr="00EC02CA">
        <w:t>:</w:t>
      </w:r>
      <w:r w:rsidR="00214532" w:rsidRPr="00EC02CA">
        <w:t xml:space="preserve"> </w:t>
      </w:r>
      <w:r w:rsidR="006743AA" w:rsidRPr="00EC02CA">
        <w:t xml:space="preserve">The </w:t>
      </w:r>
      <w:r w:rsidR="00162A1C" w:rsidRPr="00EC02CA">
        <w:t xml:space="preserve">pathways for the court to refer a young person to a community </w:t>
      </w:r>
      <w:r w:rsidR="00405578" w:rsidRPr="00EC02CA">
        <w:t>conf</w:t>
      </w:r>
      <w:r w:rsidR="0015659F" w:rsidRPr="00EC02CA">
        <w:t xml:space="preserve">erence </w:t>
      </w:r>
      <w:r w:rsidR="00162A1C" w:rsidRPr="00EC02CA">
        <w:t>for sexual offending s</w:t>
      </w:r>
      <w:r w:rsidR="004C6920" w:rsidRPr="00EC02CA">
        <w:t xml:space="preserve">hould be </w:t>
      </w:r>
      <w:r w:rsidR="0015659F" w:rsidRPr="00EC02CA">
        <w:t>reviewed to identify barriers to use.</w:t>
      </w:r>
    </w:p>
    <w:p w14:paraId="6B2EB388" w14:textId="2FC2EE46" w:rsidR="009B2F45" w:rsidRPr="00EC02CA" w:rsidRDefault="00DC7AC6" w:rsidP="002F0007">
      <w:pPr>
        <w:pStyle w:val="NormalNumberedTextTLRI"/>
        <w:numPr>
          <w:ilvl w:val="0"/>
          <w:numId w:val="0"/>
        </w:numPr>
      </w:pPr>
      <w:r w:rsidRPr="00EC02CA">
        <w:rPr>
          <w:b/>
          <w:bCs/>
        </w:rPr>
        <w:t xml:space="preserve">Recommendation </w:t>
      </w:r>
      <w:r w:rsidR="00143A81" w:rsidRPr="00EC02CA">
        <w:rPr>
          <w:b/>
          <w:bCs/>
        </w:rPr>
        <w:t>12</w:t>
      </w:r>
      <w:r w:rsidRPr="00EC02CA">
        <w:t>:</w:t>
      </w:r>
      <w:r w:rsidR="004F7FC9" w:rsidRPr="00EC02CA">
        <w:t xml:space="preserve"> </w:t>
      </w:r>
      <w:r w:rsidR="009B2F45" w:rsidRPr="00EC02CA">
        <w:t xml:space="preserve">The power of a sentencing court to refer young people to </w:t>
      </w:r>
      <w:r w:rsidR="0015659F" w:rsidRPr="00EC02CA">
        <w:t>a community conference/</w:t>
      </w:r>
      <w:r w:rsidR="009B2F45" w:rsidRPr="00EC02CA">
        <w:t xml:space="preserve">restorative justice </w:t>
      </w:r>
      <w:r w:rsidR="0015659F" w:rsidRPr="00EC02CA">
        <w:t xml:space="preserve">process </w:t>
      </w:r>
      <w:r w:rsidR="009B2F45" w:rsidRPr="00EC02CA">
        <w:t xml:space="preserve">as part of </w:t>
      </w:r>
      <w:r w:rsidR="00CE533C" w:rsidRPr="00EC02CA">
        <w:t xml:space="preserve">their </w:t>
      </w:r>
      <w:r w:rsidR="009B2F45" w:rsidRPr="00EC02CA">
        <w:t xml:space="preserve">sentence </w:t>
      </w:r>
      <w:r w:rsidR="007351E6" w:rsidRPr="00EC02CA">
        <w:t>should be considered as part of a review</w:t>
      </w:r>
      <w:r w:rsidR="009B2F45" w:rsidRPr="00EC02CA">
        <w:t xml:space="preserve"> of </w:t>
      </w:r>
      <w:r w:rsidR="0015659F" w:rsidRPr="00EC02CA">
        <w:t>the use of community conference powers</w:t>
      </w:r>
      <w:r w:rsidR="009B2F45" w:rsidRPr="00EC02CA">
        <w:t xml:space="preserve"> as a response to sexual offending by young people in Tasmania</w:t>
      </w:r>
      <w:r w:rsidR="007351E6" w:rsidRPr="00EC02CA">
        <w:t>.</w:t>
      </w:r>
    </w:p>
    <w:p w14:paraId="4D0BF697" w14:textId="643BB225" w:rsidR="00230C7F" w:rsidRPr="00EC02CA" w:rsidRDefault="00DC7AC6" w:rsidP="002F0007">
      <w:pPr>
        <w:pStyle w:val="NormalNumberedTextTLRI"/>
        <w:numPr>
          <w:ilvl w:val="0"/>
          <w:numId w:val="0"/>
        </w:numPr>
      </w:pPr>
      <w:r w:rsidRPr="00EC02CA">
        <w:rPr>
          <w:b/>
          <w:bCs/>
        </w:rPr>
        <w:t xml:space="preserve">Recommendation </w:t>
      </w:r>
      <w:r w:rsidR="00143A81" w:rsidRPr="00EC02CA">
        <w:rPr>
          <w:b/>
          <w:bCs/>
        </w:rPr>
        <w:t>13</w:t>
      </w:r>
      <w:r w:rsidRPr="00EC02CA">
        <w:t>:</w:t>
      </w:r>
      <w:r w:rsidR="00230C7F" w:rsidRPr="00EC02CA">
        <w:t xml:space="preserve"> There should be provision for witness intermediaries for young people under investigation or who have been charged with sexual offences, including during police interview, formal cautions, conferences and court proceedings in the Magistrates Court and </w:t>
      </w:r>
      <w:r w:rsidR="00CE533C" w:rsidRPr="00EC02CA">
        <w:t xml:space="preserve">the </w:t>
      </w:r>
      <w:r w:rsidR="00230C7F" w:rsidRPr="00EC02CA">
        <w:t>Supreme Cour</w:t>
      </w:r>
      <w:r w:rsidR="00702AAD" w:rsidRPr="00EC02CA">
        <w:t>t</w:t>
      </w:r>
      <w:r w:rsidR="00230C7F" w:rsidRPr="00EC02CA">
        <w:t>.</w:t>
      </w:r>
    </w:p>
    <w:p w14:paraId="08F625ED" w14:textId="45ABBC8C" w:rsidR="00493B5A" w:rsidRPr="00EC02CA" w:rsidRDefault="00DC7AC6" w:rsidP="002F0007">
      <w:pPr>
        <w:pStyle w:val="NormalNumberedTextTLRI"/>
        <w:numPr>
          <w:ilvl w:val="0"/>
          <w:numId w:val="0"/>
        </w:numPr>
      </w:pPr>
      <w:r w:rsidRPr="00EC02CA">
        <w:rPr>
          <w:b/>
          <w:bCs/>
        </w:rPr>
        <w:t xml:space="preserve">Recommendation </w:t>
      </w:r>
      <w:r w:rsidR="00143A81" w:rsidRPr="00EC02CA">
        <w:rPr>
          <w:b/>
          <w:bCs/>
        </w:rPr>
        <w:t>14</w:t>
      </w:r>
      <w:r w:rsidRPr="00EC02CA">
        <w:t>:</w:t>
      </w:r>
      <w:r w:rsidR="00702AAD" w:rsidRPr="00EC02CA">
        <w:t xml:space="preserve"> A review of the operation of the offender reporting scheme under the </w:t>
      </w:r>
      <w:r w:rsidR="00702AAD" w:rsidRPr="00EC02CA">
        <w:rPr>
          <w:i/>
          <w:iCs/>
        </w:rPr>
        <w:t xml:space="preserve">Community Protection (Offender Reporting) Act 2005 </w:t>
      </w:r>
      <w:r w:rsidR="00702AAD" w:rsidRPr="00EC02CA">
        <w:t>(Tas)</w:t>
      </w:r>
      <w:r w:rsidR="00CE533C" w:rsidRPr="00EC02CA">
        <w:t>,</w:t>
      </w:r>
      <w:r w:rsidR="002F7F78" w:rsidRPr="00EC02CA">
        <w:t xml:space="preserve"> </w:t>
      </w:r>
      <w:r w:rsidR="00CE533C" w:rsidRPr="00EC02CA">
        <w:t xml:space="preserve">as it applies to young people, </w:t>
      </w:r>
      <w:r w:rsidR="00702AAD" w:rsidRPr="00EC02CA">
        <w:t xml:space="preserve">should be </w:t>
      </w:r>
      <w:r w:rsidR="00271116" w:rsidRPr="00EC02CA">
        <w:t xml:space="preserve">undertaken </w:t>
      </w:r>
      <w:r w:rsidR="00702AAD" w:rsidRPr="00EC02CA">
        <w:t>as part of the implement</w:t>
      </w:r>
      <w:r w:rsidR="00271116" w:rsidRPr="00EC02CA">
        <w:t>ation</w:t>
      </w:r>
      <w:r w:rsidR="00702AAD" w:rsidRPr="00EC02CA">
        <w:t xml:space="preserve"> review of the </w:t>
      </w:r>
      <w:r w:rsidR="00702AAD" w:rsidRPr="00EC02CA">
        <w:rPr>
          <w:i/>
          <w:iCs/>
        </w:rPr>
        <w:t>Youth Justice Act</w:t>
      </w:r>
      <w:r w:rsidR="008A5F19" w:rsidRPr="00EC02CA">
        <w:rPr>
          <w:i/>
          <w:iCs/>
        </w:rPr>
        <w:t xml:space="preserve"> 1997 </w:t>
      </w:r>
      <w:r w:rsidR="008A5F19" w:rsidRPr="00EC02CA">
        <w:t xml:space="preserve">(Tas) </w:t>
      </w:r>
      <w:r w:rsidR="00702AAD" w:rsidRPr="00EC02CA">
        <w:t xml:space="preserve">to ensure that </w:t>
      </w:r>
      <w:r w:rsidR="009539FE" w:rsidRPr="00EC02CA">
        <w:t>the registration scheme</w:t>
      </w:r>
      <w:r w:rsidR="00702AAD" w:rsidRPr="00EC02CA">
        <w:t xml:space="preserve"> is appropriate</w:t>
      </w:r>
      <w:r w:rsidR="00CE533C" w:rsidRPr="00EC02CA">
        <w:t xml:space="preserve"> for young offenders</w:t>
      </w:r>
      <w:r w:rsidR="002F7F78" w:rsidRPr="00EC02CA">
        <w:t>.</w:t>
      </w:r>
    </w:p>
    <w:p w14:paraId="19CAC473" w14:textId="77777777" w:rsidR="008444FB" w:rsidRPr="00EC02CA" w:rsidRDefault="008444FB" w:rsidP="008444FB"/>
    <w:p w14:paraId="42CD5B93" w14:textId="16721390" w:rsidR="003B4ABF" w:rsidRPr="00EC02CA" w:rsidRDefault="003B4ABF" w:rsidP="003B4ABF">
      <w:pPr>
        <w:spacing w:after="200" w:line="276" w:lineRule="auto"/>
        <w:jc w:val="left"/>
        <w:sectPr w:rsidR="003B4ABF" w:rsidRPr="00EC02CA" w:rsidSect="0037247A">
          <w:headerReference w:type="default" r:id="rId51"/>
          <w:pgSz w:w="11906" w:h="16838"/>
          <w:pgMar w:top="1440" w:right="1440" w:bottom="1440" w:left="1440" w:header="708" w:footer="708" w:gutter="0"/>
          <w:cols w:space="708"/>
          <w:docGrid w:linePitch="360"/>
        </w:sectPr>
      </w:pPr>
    </w:p>
    <w:p w14:paraId="406EFC5D" w14:textId="1AED26DD" w:rsidR="00194C0D" w:rsidRPr="00EC02CA" w:rsidRDefault="001C09C6" w:rsidP="003B4ABF">
      <w:pPr>
        <w:pStyle w:val="ExecSummaryandAppendixHeading"/>
      </w:pPr>
      <w:bookmarkStart w:id="480" w:name="_Toc211849472"/>
      <w:bookmarkStart w:id="481" w:name="_Toc218157377"/>
      <w:r w:rsidRPr="00EC02CA">
        <w:t>Appendix A</w:t>
      </w:r>
      <w:r w:rsidR="00144E45" w:rsidRPr="00EC02CA">
        <w:t xml:space="preserve">: </w:t>
      </w:r>
      <w:r w:rsidR="00194C0D" w:rsidRPr="00EC02CA">
        <w:t>Method</w:t>
      </w:r>
      <w:bookmarkEnd w:id="480"/>
      <w:bookmarkEnd w:id="481"/>
    </w:p>
    <w:p w14:paraId="5C8B8630" w14:textId="77777777" w:rsidR="001A7A89" w:rsidRPr="00EC02CA" w:rsidRDefault="001A7A89" w:rsidP="001A7A89">
      <w:pPr>
        <w:rPr>
          <w:b/>
          <w:i/>
        </w:rPr>
      </w:pPr>
      <w:bookmarkStart w:id="482" w:name="_Toc207792361"/>
      <w:r w:rsidRPr="00EC02CA">
        <w:rPr>
          <w:b/>
          <w:i/>
        </w:rPr>
        <w:t>Ethics approval and quantitative and qualitative data components</w:t>
      </w:r>
      <w:bookmarkEnd w:id="482"/>
    </w:p>
    <w:p w14:paraId="6FA7D7B2" w14:textId="427CEF9C" w:rsidR="001A7A89" w:rsidRPr="00EC02CA" w:rsidRDefault="001A7A89" w:rsidP="001A7A89">
      <w:r w:rsidRPr="00EC02CA">
        <w:t>The method devised for conducting the study comprised quantitative and qualitative data components</w:t>
      </w:r>
      <w:r w:rsidR="000926E8" w:rsidRPr="00EC02CA">
        <w:t>,</w:t>
      </w:r>
      <w:r w:rsidRPr="00EC02CA">
        <w:t xml:space="preserve"> and was approved by the University of Tasmania’s Social Sciences Human Research Ethics Committee. </w:t>
      </w:r>
    </w:p>
    <w:p w14:paraId="150AB5F6" w14:textId="47F6B629" w:rsidR="001A7A89" w:rsidRPr="00EC02CA" w:rsidRDefault="001A7A89" w:rsidP="001A7A89">
      <w:r w:rsidRPr="00EC02CA">
        <w:t>The quantitative data component comprised:</w:t>
      </w:r>
    </w:p>
    <w:p w14:paraId="72951C4F" w14:textId="7516548E" w:rsidR="004A366B" w:rsidRPr="00EC02CA" w:rsidRDefault="004A366B" w:rsidP="001A7A89">
      <w:pPr>
        <w:pStyle w:val="DotPointTLRI"/>
      </w:pPr>
      <w:r w:rsidRPr="00EC02CA">
        <w:t>data provided on the Supreme Court and Magistrates Court by the Department of Justice</w:t>
      </w:r>
      <w:r w:rsidR="001A7A89" w:rsidRPr="00EC02CA">
        <w:t xml:space="preserve"> </w:t>
      </w:r>
      <w:r w:rsidRPr="00EC02CA">
        <w:t>on charges finalised in each court and sentences imposed</w:t>
      </w:r>
      <w:r w:rsidR="000926E8" w:rsidRPr="00EC02CA">
        <w:t>;</w:t>
      </w:r>
    </w:p>
    <w:p w14:paraId="51BF844F" w14:textId="3A844244" w:rsidR="001A7A89" w:rsidRPr="00EC02CA" w:rsidRDefault="004A366B" w:rsidP="001A7A89">
      <w:pPr>
        <w:pStyle w:val="DotPointTLRI"/>
      </w:pPr>
      <w:r w:rsidRPr="00EC02CA">
        <w:t xml:space="preserve">data provided by Tasmania Police on the use of cautions and </w:t>
      </w:r>
      <w:r w:rsidR="000926E8" w:rsidRPr="00EC02CA">
        <w:t xml:space="preserve">community </w:t>
      </w:r>
      <w:r w:rsidRPr="00EC02CA">
        <w:t>conferences</w:t>
      </w:r>
      <w:r w:rsidR="000926E8" w:rsidRPr="00EC02CA">
        <w:t>;</w:t>
      </w:r>
    </w:p>
    <w:p w14:paraId="24F0EF1B" w14:textId="4AE5A3CF" w:rsidR="004A366B" w:rsidRPr="00EC02CA" w:rsidRDefault="004A366B" w:rsidP="001A7A89">
      <w:pPr>
        <w:pStyle w:val="DotPointTLRI"/>
      </w:pPr>
      <w:r w:rsidRPr="00EC02CA">
        <w:t>dat</w:t>
      </w:r>
      <w:r w:rsidR="00727981" w:rsidRPr="00EC02CA">
        <w:t>a</w:t>
      </w:r>
      <w:r w:rsidRPr="00EC02CA">
        <w:t xml:space="preserve"> prov</w:t>
      </w:r>
      <w:r w:rsidR="00695634" w:rsidRPr="00EC02CA">
        <w:t xml:space="preserve">ided by </w:t>
      </w:r>
      <w:r w:rsidR="003C6874" w:rsidRPr="00EC02CA">
        <w:t>DECYP</w:t>
      </w:r>
      <w:r w:rsidR="00727981" w:rsidRPr="00EC02CA">
        <w:t xml:space="preserve"> on </w:t>
      </w:r>
      <w:r w:rsidR="00216D85" w:rsidRPr="00EC02CA">
        <w:t xml:space="preserve">reports made </w:t>
      </w:r>
      <w:r w:rsidR="00742142" w:rsidRPr="00EC02CA">
        <w:t xml:space="preserve">to the Strong Families, </w:t>
      </w:r>
      <w:r w:rsidR="003E6FC7" w:rsidRPr="00EC02CA">
        <w:t>S</w:t>
      </w:r>
      <w:r w:rsidR="00742142" w:rsidRPr="00EC02CA">
        <w:t>afe Kids</w:t>
      </w:r>
      <w:r w:rsidR="00216D85" w:rsidRPr="00EC02CA">
        <w:t xml:space="preserve"> Advice and </w:t>
      </w:r>
      <w:r w:rsidR="003E6FC7" w:rsidRPr="00EC02CA">
        <w:t>R</w:t>
      </w:r>
      <w:r w:rsidR="00216D85" w:rsidRPr="00EC02CA">
        <w:t>eferral Line</w:t>
      </w:r>
      <w:r w:rsidR="000926E8" w:rsidRPr="00EC02CA">
        <w:t>;</w:t>
      </w:r>
    </w:p>
    <w:p w14:paraId="1EB95B43" w14:textId="7A3C7AEE" w:rsidR="005B1F61" w:rsidRPr="00EC02CA" w:rsidRDefault="005B1F61" w:rsidP="001A7A89">
      <w:pPr>
        <w:pStyle w:val="DotPointTLRI"/>
      </w:pPr>
      <w:r w:rsidRPr="00EC02CA">
        <w:t xml:space="preserve">data provided by </w:t>
      </w:r>
      <w:r w:rsidR="003C6874" w:rsidRPr="00EC02CA">
        <w:t>DECYP</w:t>
      </w:r>
      <w:r w:rsidR="00722823" w:rsidRPr="00EC02CA">
        <w:t xml:space="preserve"> on young people involved with youth justice</w:t>
      </w:r>
      <w:r w:rsidR="000926E8" w:rsidRPr="00EC02CA">
        <w:t>;</w:t>
      </w:r>
      <w:r w:rsidR="00722823" w:rsidRPr="00EC02CA">
        <w:t xml:space="preserve"> a</w:t>
      </w:r>
      <w:r w:rsidR="00D62447" w:rsidRPr="00EC02CA">
        <w:t>n</w:t>
      </w:r>
      <w:r w:rsidR="00722823" w:rsidRPr="00EC02CA">
        <w:t>d</w:t>
      </w:r>
    </w:p>
    <w:p w14:paraId="6004C290" w14:textId="77777777" w:rsidR="00FE32DF" w:rsidRPr="00EC02CA" w:rsidRDefault="001A7A89" w:rsidP="001A7A89">
      <w:pPr>
        <w:pStyle w:val="DotPointTLRI"/>
      </w:pPr>
      <w:r w:rsidRPr="00EC02CA">
        <w:t>publicly available quantitative data collected from a range of sources.</w:t>
      </w:r>
    </w:p>
    <w:p w14:paraId="1DE4DF21" w14:textId="21F36C13" w:rsidR="00FE32DF" w:rsidRPr="00EC02CA" w:rsidRDefault="00FE32DF" w:rsidP="002F0007">
      <w:pPr>
        <w:pStyle w:val="NormalNumberedTextTLRI"/>
        <w:numPr>
          <w:ilvl w:val="0"/>
          <w:numId w:val="0"/>
        </w:numPr>
      </w:pPr>
      <w:r w:rsidRPr="00EC02CA">
        <w:t>The qualitative research component</w:t>
      </w:r>
      <w:r w:rsidR="005C1F9D" w:rsidRPr="00EC02CA">
        <w:t xml:space="preserve"> </w:t>
      </w:r>
      <w:r w:rsidRPr="00EC02CA">
        <w:t xml:space="preserve">comprised </w:t>
      </w:r>
      <w:r w:rsidR="005C1F9D" w:rsidRPr="00EC02CA">
        <w:t>36</w:t>
      </w:r>
      <w:r w:rsidRPr="00EC02CA">
        <w:t xml:space="preserve"> interviews with </w:t>
      </w:r>
      <w:r w:rsidR="005C1F9D" w:rsidRPr="00EC02CA">
        <w:t xml:space="preserve">39 </w:t>
      </w:r>
      <w:r w:rsidRPr="00EC02CA">
        <w:t>representatives of key Tasmanian agencies and experts</w:t>
      </w:r>
      <w:r w:rsidR="000926E8" w:rsidRPr="00EC02CA">
        <w:t>,</w:t>
      </w:r>
      <w:r w:rsidRPr="00EC02CA">
        <w:t xml:space="preserve"> with knowledge and expertise </w:t>
      </w:r>
      <w:r w:rsidR="008F1C3F" w:rsidRPr="00EC02CA">
        <w:t xml:space="preserve">across police, </w:t>
      </w:r>
      <w:r w:rsidR="00E611AD" w:rsidRPr="00EC02CA">
        <w:t>education</w:t>
      </w:r>
      <w:r w:rsidR="008F1C3F" w:rsidRPr="00EC02CA">
        <w:t>, youth suppor</w:t>
      </w:r>
      <w:r w:rsidR="00E611AD" w:rsidRPr="00EC02CA">
        <w:t>t, legal and government youth</w:t>
      </w:r>
      <w:r w:rsidR="000926E8" w:rsidRPr="00EC02CA">
        <w:t>-</w:t>
      </w:r>
      <w:r w:rsidR="00E611AD" w:rsidRPr="00EC02CA">
        <w:t>focussed agencies</w:t>
      </w:r>
      <w:r w:rsidR="00E14F6E" w:rsidRPr="00EC02CA">
        <w:t>.</w:t>
      </w:r>
    </w:p>
    <w:p w14:paraId="6D0AE1F9" w14:textId="77777777" w:rsidR="00E14F6E" w:rsidRPr="00EC02CA" w:rsidRDefault="00E14F6E" w:rsidP="00A920EC">
      <w:pPr>
        <w:rPr>
          <w:b/>
          <w:i/>
        </w:rPr>
      </w:pPr>
      <w:bookmarkStart w:id="483" w:name="_Toc207792362"/>
      <w:r w:rsidRPr="00EC02CA">
        <w:rPr>
          <w:b/>
          <w:i/>
        </w:rPr>
        <w:t>Semi-structured interviews with stakeholder participants</w:t>
      </w:r>
      <w:bookmarkEnd w:id="483"/>
    </w:p>
    <w:p w14:paraId="295A7DAE" w14:textId="27D66EFA" w:rsidR="00E14F6E" w:rsidRPr="00EC02CA" w:rsidRDefault="00596CEC" w:rsidP="002F0007">
      <w:pPr>
        <w:pStyle w:val="NormalNumberedTextTLRI"/>
        <w:numPr>
          <w:ilvl w:val="0"/>
          <w:numId w:val="0"/>
        </w:numPr>
        <w:rPr>
          <w:lang w:eastAsia="en-AU"/>
        </w:rPr>
      </w:pPr>
      <w:r w:rsidRPr="00EC02CA">
        <w:rPr>
          <w:lang w:eastAsia="en-AU"/>
        </w:rPr>
        <w:t xml:space="preserve">As </w:t>
      </w:r>
      <w:r w:rsidR="00522936" w:rsidRPr="00EC02CA">
        <w:rPr>
          <w:lang w:eastAsia="en-AU"/>
        </w:rPr>
        <w:t>noted, t</w:t>
      </w:r>
      <w:r w:rsidR="00B056FF" w:rsidRPr="00EC02CA">
        <w:rPr>
          <w:lang w:eastAsia="en-AU"/>
        </w:rPr>
        <w:t xml:space="preserve">he TLRI conducted a total of </w:t>
      </w:r>
      <w:r w:rsidR="00522936" w:rsidRPr="00EC02CA">
        <w:rPr>
          <w:lang w:eastAsia="en-AU"/>
        </w:rPr>
        <w:t>36</w:t>
      </w:r>
      <w:r w:rsidR="00B056FF" w:rsidRPr="00EC02CA">
        <w:rPr>
          <w:lang w:eastAsia="en-AU"/>
        </w:rPr>
        <w:t xml:space="preserve"> interviews with agency representatives and experts, which included group and individual interviews</w:t>
      </w:r>
      <w:r w:rsidR="00EC4C1F" w:rsidRPr="00EC02CA">
        <w:rPr>
          <w:lang w:eastAsia="en-AU"/>
        </w:rPr>
        <w:t>. There were 39</w:t>
      </w:r>
      <w:r w:rsidR="00B056FF" w:rsidRPr="00EC02CA">
        <w:rPr>
          <w:lang w:eastAsia="en-AU"/>
        </w:rPr>
        <w:t xml:space="preserve"> individuals </w:t>
      </w:r>
      <w:r w:rsidR="00EC4C1F" w:rsidRPr="00EC02CA">
        <w:rPr>
          <w:lang w:eastAsia="en-AU"/>
        </w:rPr>
        <w:t xml:space="preserve">who </w:t>
      </w:r>
      <w:r w:rsidR="00B056FF" w:rsidRPr="00EC02CA">
        <w:rPr>
          <w:lang w:eastAsia="en-AU"/>
        </w:rPr>
        <w:t>participated.</w:t>
      </w:r>
    </w:p>
    <w:p w14:paraId="7B551C8B" w14:textId="77777777" w:rsidR="00425076" w:rsidRPr="00EC02CA" w:rsidRDefault="00425076" w:rsidP="00A920EC">
      <w:pPr>
        <w:rPr>
          <w:b/>
          <w:i/>
        </w:rPr>
      </w:pPr>
      <w:r w:rsidRPr="00EC02CA">
        <w:rPr>
          <w:b/>
          <w:i/>
        </w:rPr>
        <w:t xml:space="preserve">Questions and prompts for interviews </w:t>
      </w:r>
    </w:p>
    <w:p w14:paraId="331B84F2" w14:textId="686C28B0"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Given your professional experience, please could you share your views about sexual offending by young people in Tasmania?</w:t>
      </w:r>
    </w:p>
    <w:p w14:paraId="41C80DB5" w14:textId="77777777" w:rsidR="00D62447" w:rsidRPr="00EC02CA" w:rsidRDefault="00D62447" w:rsidP="00D62447">
      <w:pPr>
        <w:pStyle w:val="ListParagraph"/>
        <w:rPr>
          <w:rFonts w:cs="Times New Roman"/>
        </w:rPr>
      </w:pPr>
    </w:p>
    <w:p w14:paraId="32C2B1C5" w14:textId="77777777"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Are sexual offences by young people appropriately reported to Tasmania Police? If not, why?</w:t>
      </w:r>
    </w:p>
    <w:p w14:paraId="722AA44F" w14:textId="77777777" w:rsidR="00D62447" w:rsidRPr="00EC02CA" w:rsidRDefault="00D62447" w:rsidP="00D62447">
      <w:pPr>
        <w:pStyle w:val="ListParagraph"/>
        <w:rPr>
          <w:rFonts w:cs="Times New Roman"/>
        </w:rPr>
      </w:pPr>
    </w:p>
    <w:p w14:paraId="68EE716B" w14:textId="77777777"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What are the challenges Tasmania Police face when determining how to respond to allegations of youth sex offending?</w:t>
      </w:r>
    </w:p>
    <w:p w14:paraId="1E82067E" w14:textId="77777777" w:rsidR="00D62447" w:rsidRPr="00EC02CA" w:rsidRDefault="00D62447" w:rsidP="00D62447">
      <w:pPr>
        <w:pStyle w:val="ListParagraph"/>
        <w:rPr>
          <w:rFonts w:cs="Times New Roman"/>
        </w:rPr>
      </w:pPr>
    </w:p>
    <w:p w14:paraId="7D3FC378" w14:textId="77777777"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In your experience, are diversionary practices (i.e. formal cautions and community conferences) used to respond to sexual offences by young people? If yes,</w:t>
      </w:r>
    </w:p>
    <w:p w14:paraId="123ADF89" w14:textId="77777777" w:rsidR="00D62447" w:rsidRPr="00EC02CA" w:rsidRDefault="00D62447" w:rsidP="00F86C38">
      <w:pPr>
        <w:pStyle w:val="ListParagraph"/>
        <w:numPr>
          <w:ilvl w:val="1"/>
          <w:numId w:val="25"/>
        </w:numPr>
        <w:spacing w:after="160" w:line="259" w:lineRule="auto"/>
        <w:jc w:val="left"/>
        <w:rPr>
          <w:rFonts w:cs="Times New Roman"/>
        </w:rPr>
      </w:pPr>
      <w:r w:rsidRPr="00EC02CA">
        <w:rPr>
          <w:rFonts w:cs="Times New Roman"/>
        </w:rPr>
        <w:t>Do victim/survivors ever attend diversionary practices?</w:t>
      </w:r>
    </w:p>
    <w:p w14:paraId="779E57DE" w14:textId="77777777" w:rsidR="00D62447" w:rsidRPr="00EC02CA" w:rsidRDefault="00D62447" w:rsidP="00F86C38">
      <w:pPr>
        <w:pStyle w:val="ListParagraph"/>
        <w:numPr>
          <w:ilvl w:val="1"/>
          <w:numId w:val="25"/>
        </w:numPr>
        <w:spacing w:after="160" w:line="259" w:lineRule="auto"/>
        <w:jc w:val="left"/>
        <w:rPr>
          <w:rFonts w:cs="Times New Roman"/>
        </w:rPr>
      </w:pPr>
      <w:r w:rsidRPr="00EC02CA">
        <w:rPr>
          <w:rFonts w:cs="Times New Roman"/>
        </w:rPr>
        <w:t>How well do diversionary practices function?</w:t>
      </w:r>
    </w:p>
    <w:p w14:paraId="109DDC55" w14:textId="77777777" w:rsidR="00D62447" w:rsidRPr="00EC02CA" w:rsidRDefault="00D62447" w:rsidP="00D62447">
      <w:pPr>
        <w:pStyle w:val="ListParagraph"/>
        <w:ind w:left="1440"/>
        <w:rPr>
          <w:rFonts w:cs="Times New Roman"/>
        </w:rPr>
      </w:pPr>
    </w:p>
    <w:p w14:paraId="131A65F3" w14:textId="77777777"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How well does the court system function when responding to sexual offences committed by young people?</w:t>
      </w:r>
    </w:p>
    <w:p w14:paraId="76C5D02C" w14:textId="77777777" w:rsidR="00D62447" w:rsidRPr="00EC02CA" w:rsidRDefault="00D62447" w:rsidP="00D62447">
      <w:pPr>
        <w:pStyle w:val="ListParagraph"/>
        <w:rPr>
          <w:rFonts w:cs="Times New Roman"/>
        </w:rPr>
      </w:pPr>
    </w:p>
    <w:p w14:paraId="1DD03155" w14:textId="77777777"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Are young people who commit sexual offences able to access therapeutic services if necessary?</w:t>
      </w:r>
    </w:p>
    <w:p w14:paraId="57013B68" w14:textId="77777777" w:rsidR="00D62447" w:rsidRPr="00EC02CA" w:rsidRDefault="00D62447" w:rsidP="00D62447">
      <w:pPr>
        <w:pStyle w:val="ListParagraph"/>
        <w:rPr>
          <w:rFonts w:cs="Times New Roman"/>
        </w:rPr>
      </w:pPr>
    </w:p>
    <w:p w14:paraId="617DD32E" w14:textId="2DC8490B" w:rsidR="00D62447" w:rsidRPr="00EC02CA" w:rsidRDefault="00D62447" w:rsidP="00F86C38">
      <w:pPr>
        <w:pStyle w:val="ListParagraph"/>
        <w:numPr>
          <w:ilvl w:val="0"/>
          <w:numId w:val="25"/>
        </w:numPr>
        <w:spacing w:after="160" w:line="259" w:lineRule="auto"/>
        <w:jc w:val="left"/>
        <w:rPr>
          <w:rFonts w:cs="Times New Roman"/>
        </w:rPr>
      </w:pPr>
      <w:r w:rsidRPr="00EC02CA">
        <w:rPr>
          <w:rFonts w:cs="Times New Roman"/>
        </w:rPr>
        <w:t>Is there anything we haven’t talked about, that you would like to let us know?</w:t>
      </w:r>
    </w:p>
    <w:p w14:paraId="01D94358" w14:textId="77777777" w:rsidR="00425076" w:rsidRPr="00EC02CA" w:rsidRDefault="00425076" w:rsidP="002F0007">
      <w:pPr>
        <w:pStyle w:val="NormalNumberedTextTLRI"/>
        <w:numPr>
          <w:ilvl w:val="0"/>
          <w:numId w:val="0"/>
        </w:numPr>
        <w:rPr>
          <w:lang w:eastAsia="en-AU"/>
        </w:rPr>
      </w:pPr>
    </w:p>
    <w:p w14:paraId="2075C531" w14:textId="720A3092" w:rsidR="001A7A89" w:rsidRPr="00EC02CA" w:rsidRDefault="001A7A89" w:rsidP="00D62447">
      <w:pPr>
        <w:pStyle w:val="DotPointTLRI"/>
        <w:numPr>
          <w:ilvl w:val="0"/>
          <w:numId w:val="0"/>
        </w:numPr>
        <w:sectPr w:rsidR="001A7A89" w:rsidRPr="00EC02CA" w:rsidSect="0037247A">
          <w:headerReference w:type="default" r:id="rId52"/>
          <w:pgSz w:w="11906" w:h="16838"/>
          <w:pgMar w:top="1440" w:right="1440" w:bottom="1440" w:left="1440" w:header="708" w:footer="708" w:gutter="0"/>
          <w:cols w:space="708"/>
          <w:docGrid w:linePitch="360"/>
        </w:sectPr>
      </w:pPr>
    </w:p>
    <w:p w14:paraId="5B3EE78C" w14:textId="22FEFDF9" w:rsidR="00653747" w:rsidRPr="00EC02CA" w:rsidRDefault="00CD31E6" w:rsidP="003B4ABF">
      <w:pPr>
        <w:pStyle w:val="ExecSummaryandAppendixHeading"/>
      </w:pPr>
      <w:bookmarkStart w:id="484" w:name="_Toc211849473"/>
      <w:bookmarkStart w:id="485" w:name="_Toc218157378"/>
      <w:r w:rsidRPr="00EC02CA">
        <w:t xml:space="preserve">Appendix B: </w:t>
      </w:r>
      <w:r w:rsidR="00144E45" w:rsidRPr="00EC02CA">
        <w:t>Criminal offences in Tasmania</w:t>
      </w:r>
      <w:bookmarkEnd w:id="484"/>
      <w:bookmarkEnd w:id="485"/>
    </w:p>
    <w:p w14:paraId="4433901F" w14:textId="6E6052EA" w:rsidR="00144E45" w:rsidRPr="00EC02CA" w:rsidRDefault="00144E45" w:rsidP="00A920EC">
      <w:r w:rsidRPr="00EC02CA">
        <w:rPr>
          <w:b/>
          <w:bCs/>
        </w:rPr>
        <w:t xml:space="preserve">Table </w:t>
      </w:r>
      <w:r w:rsidR="00E13A82" w:rsidRPr="00EC02CA">
        <w:rPr>
          <w:b/>
          <w:bCs/>
        </w:rPr>
        <w:t>B</w:t>
      </w:r>
      <w:r w:rsidRPr="00EC02CA">
        <w:rPr>
          <w:b/>
          <w:bCs/>
        </w:rPr>
        <w:t>.</w:t>
      </w:r>
      <w:r w:rsidR="00E13A82" w:rsidRPr="00EC02CA">
        <w:rPr>
          <w:b/>
          <w:bCs/>
        </w:rPr>
        <w:t>1</w:t>
      </w:r>
      <w:r w:rsidRPr="00EC02CA">
        <w:t xml:space="preserve">: Physical sexual offences in the </w:t>
      </w:r>
      <w:r w:rsidRPr="00EC02CA">
        <w:rPr>
          <w:i/>
          <w:iCs/>
        </w:rPr>
        <w:t xml:space="preserve">Criminal Code </w:t>
      </w:r>
      <w:r w:rsidRPr="00EC02CA">
        <w:t>(Tas)</w:t>
      </w:r>
      <w:r w:rsidR="002708EC" w:rsidRPr="00EC02CA">
        <w:rPr>
          <w:rStyle w:val="FootnoteReference"/>
        </w:rPr>
        <w:footnoteReference w:id="942"/>
      </w:r>
    </w:p>
    <w:tbl>
      <w:tblPr>
        <w:tblStyle w:val="TableGrid"/>
        <w:tblW w:w="9498" w:type="dxa"/>
        <w:tblInd w:w="-5" w:type="dxa"/>
        <w:tblLayout w:type="fixed"/>
        <w:tblLook w:val="04A0" w:firstRow="1" w:lastRow="0" w:firstColumn="1" w:lastColumn="0" w:noHBand="0" w:noVBand="1"/>
      </w:tblPr>
      <w:tblGrid>
        <w:gridCol w:w="2552"/>
        <w:gridCol w:w="1559"/>
        <w:gridCol w:w="2268"/>
        <w:gridCol w:w="1985"/>
        <w:gridCol w:w="1134"/>
      </w:tblGrid>
      <w:tr w:rsidR="00144E45" w:rsidRPr="00EC02CA" w14:paraId="77F96AD5" w14:textId="77777777" w:rsidTr="00A920EC">
        <w:trPr>
          <w:tblHeader/>
        </w:trPr>
        <w:tc>
          <w:tcPr>
            <w:tcW w:w="2552" w:type="dxa"/>
          </w:tcPr>
          <w:p w14:paraId="092CD34D" w14:textId="77777777" w:rsidR="00144E45" w:rsidRPr="00EC02CA" w:rsidRDefault="00144E45" w:rsidP="00A920EC">
            <w:pPr>
              <w:spacing w:before="60" w:after="60"/>
              <w:jc w:val="left"/>
              <w:rPr>
                <w:rFonts w:cs="Times New Roman"/>
                <w:b/>
                <w:bCs/>
                <w:sz w:val="20"/>
                <w:szCs w:val="20"/>
              </w:rPr>
            </w:pPr>
            <w:r w:rsidRPr="00EC02CA">
              <w:rPr>
                <w:rFonts w:cs="Times New Roman"/>
                <w:b/>
                <w:bCs/>
                <w:sz w:val="20"/>
                <w:szCs w:val="20"/>
              </w:rPr>
              <w:t>Offence</w:t>
            </w:r>
          </w:p>
        </w:tc>
        <w:tc>
          <w:tcPr>
            <w:tcW w:w="1559" w:type="dxa"/>
          </w:tcPr>
          <w:p w14:paraId="17B2E2E1" w14:textId="7A14584C" w:rsidR="00144E45" w:rsidRPr="00EC02CA" w:rsidRDefault="00144E45" w:rsidP="00A920EC">
            <w:pPr>
              <w:spacing w:before="60" w:after="60"/>
              <w:jc w:val="left"/>
              <w:rPr>
                <w:rFonts w:cs="Times New Roman"/>
                <w:b/>
                <w:bCs/>
                <w:sz w:val="20"/>
                <w:szCs w:val="20"/>
              </w:rPr>
            </w:pPr>
            <w:r w:rsidRPr="00EC02CA">
              <w:rPr>
                <w:rFonts w:cs="Times New Roman"/>
                <w:b/>
                <w:bCs/>
                <w:sz w:val="20"/>
                <w:szCs w:val="20"/>
              </w:rPr>
              <w:t>Age of complainant</w:t>
            </w:r>
            <w:r w:rsidR="007E4650" w:rsidRPr="00EC02CA">
              <w:rPr>
                <w:rFonts w:cs="Times New Roman"/>
                <w:b/>
                <w:bCs/>
                <w:sz w:val="20"/>
                <w:szCs w:val="20"/>
              </w:rPr>
              <w:t xml:space="preserve"> </w:t>
            </w:r>
            <w:r w:rsidR="00D019AA" w:rsidRPr="00EC02CA">
              <w:rPr>
                <w:rFonts w:cs="Times New Roman"/>
                <w:b/>
                <w:bCs/>
                <w:sz w:val="20"/>
                <w:szCs w:val="20"/>
              </w:rPr>
              <w:t>i</w:t>
            </w:r>
            <w:r w:rsidRPr="00EC02CA">
              <w:rPr>
                <w:rFonts w:cs="Times New Roman"/>
                <w:b/>
                <w:bCs/>
                <w:sz w:val="20"/>
                <w:szCs w:val="20"/>
              </w:rPr>
              <w:t xml:space="preserve">s element of </w:t>
            </w:r>
            <w:r w:rsidR="00AB5177" w:rsidRPr="00EC02CA">
              <w:rPr>
                <w:rFonts w:cs="Times New Roman"/>
                <w:b/>
                <w:bCs/>
                <w:sz w:val="20"/>
                <w:szCs w:val="20"/>
              </w:rPr>
              <w:t xml:space="preserve">the </w:t>
            </w:r>
            <w:r w:rsidRPr="00EC02CA">
              <w:rPr>
                <w:rFonts w:cs="Times New Roman"/>
                <w:b/>
                <w:bCs/>
                <w:sz w:val="20"/>
                <w:szCs w:val="20"/>
              </w:rPr>
              <w:t>offence</w:t>
            </w:r>
          </w:p>
        </w:tc>
        <w:tc>
          <w:tcPr>
            <w:tcW w:w="2268" w:type="dxa"/>
          </w:tcPr>
          <w:p w14:paraId="44B6842A" w14:textId="29834B5D" w:rsidR="00144E45" w:rsidRPr="00EC02CA" w:rsidRDefault="00144E45" w:rsidP="00A920EC">
            <w:pPr>
              <w:spacing w:before="60" w:after="60"/>
              <w:jc w:val="left"/>
              <w:rPr>
                <w:rFonts w:cs="Times New Roman"/>
                <w:b/>
                <w:bCs/>
                <w:sz w:val="20"/>
                <w:szCs w:val="20"/>
              </w:rPr>
            </w:pPr>
            <w:r w:rsidRPr="00EC02CA">
              <w:rPr>
                <w:rFonts w:cs="Times New Roman"/>
                <w:b/>
                <w:bCs/>
                <w:sz w:val="20"/>
                <w:szCs w:val="20"/>
              </w:rPr>
              <w:t>Other age-related factors</w:t>
            </w:r>
            <w:r w:rsidR="007E4650" w:rsidRPr="00EC02CA">
              <w:rPr>
                <w:rFonts w:cs="Times New Roman"/>
                <w:b/>
                <w:bCs/>
                <w:sz w:val="20"/>
                <w:szCs w:val="20"/>
              </w:rPr>
              <w:t xml:space="preserve"> </w:t>
            </w:r>
          </w:p>
        </w:tc>
        <w:tc>
          <w:tcPr>
            <w:tcW w:w="1985" w:type="dxa"/>
          </w:tcPr>
          <w:p w14:paraId="28F92277" w14:textId="798C53CB" w:rsidR="00144E45" w:rsidRPr="00EC02CA" w:rsidRDefault="00144E45" w:rsidP="00A920EC">
            <w:pPr>
              <w:spacing w:before="60" w:after="60"/>
              <w:jc w:val="left"/>
              <w:rPr>
                <w:rFonts w:cs="Times New Roman"/>
                <w:b/>
                <w:bCs/>
                <w:sz w:val="20"/>
                <w:szCs w:val="20"/>
              </w:rPr>
            </w:pPr>
            <w:r w:rsidRPr="00EC02CA">
              <w:rPr>
                <w:rFonts w:cs="Times New Roman"/>
                <w:b/>
                <w:bCs/>
                <w:sz w:val="20"/>
                <w:szCs w:val="20"/>
              </w:rPr>
              <w:t>Prescribed offence (</w:t>
            </w:r>
            <w:r w:rsidRPr="00EC02CA">
              <w:rPr>
                <w:rFonts w:cs="Times New Roman"/>
                <w:b/>
                <w:bCs/>
                <w:i/>
                <w:iCs/>
                <w:sz w:val="20"/>
                <w:szCs w:val="20"/>
              </w:rPr>
              <w:t>Y</w:t>
            </w:r>
            <w:r w:rsidR="002B2AB2" w:rsidRPr="00EC02CA">
              <w:rPr>
                <w:rFonts w:cs="Times New Roman"/>
                <w:b/>
                <w:bCs/>
                <w:i/>
                <w:iCs/>
                <w:sz w:val="20"/>
                <w:szCs w:val="20"/>
              </w:rPr>
              <w:t xml:space="preserve">outh </w:t>
            </w:r>
            <w:r w:rsidRPr="00EC02CA">
              <w:rPr>
                <w:rFonts w:cs="Times New Roman"/>
                <w:b/>
                <w:bCs/>
                <w:i/>
                <w:iCs/>
                <w:sz w:val="20"/>
                <w:szCs w:val="20"/>
              </w:rPr>
              <w:t>J</w:t>
            </w:r>
            <w:r w:rsidR="002B2AB2" w:rsidRPr="00EC02CA">
              <w:rPr>
                <w:rFonts w:cs="Times New Roman"/>
                <w:b/>
                <w:bCs/>
                <w:i/>
                <w:iCs/>
                <w:sz w:val="20"/>
                <w:szCs w:val="20"/>
              </w:rPr>
              <w:t xml:space="preserve">ustice </w:t>
            </w:r>
            <w:r w:rsidRPr="00EC02CA">
              <w:rPr>
                <w:rFonts w:cs="Times New Roman"/>
                <w:b/>
                <w:bCs/>
                <w:i/>
                <w:iCs/>
                <w:sz w:val="20"/>
                <w:szCs w:val="20"/>
              </w:rPr>
              <w:t>A</w:t>
            </w:r>
            <w:r w:rsidR="002B2AB2" w:rsidRPr="00EC02CA">
              <w:rPr>
                <w:rFonts w:cs="Times New Roman"/>
                <w:b/>
                <w:bCs/>
                <w:i/>
                <w:iCs/>
                <w:sz w:val="20"/>
                <w:szCs w:val="20"/>
              </w:rPr>
              <w:t>ct</w:t>
            </w:r>
            <w:r w:rsidR="002B2AB2" w:rsidRPr="00EC02CA">
              <w:rPr>
                <w:rFonts w:cs="Times New Roman"/>
                <w:b/>
                <w:bCs/>
                <w:sz w:val="20"/>
                <w:szCs w:val="20"/>
              </w:rPr>
              <w:t xml:space="preserve"> </w:t>
            </w:r>
            <w:r w:rsidRPr="00EC02CA">
              <w:rPr>
                <w:rFonts w:cs="Times New Roman"/>
                <w:b/>
                <w:bCs/>
                <w:sz w:val="20"/>
                <w:szCs w:val="20"/>
              </w:rPr>
              <w:t>s 161)</w:t>
            </w:r>
          </w:p>
        </w:tc>
        <w:tc>
          <w:tcPr>
            <w:tcW w:w="1134" w:type="dxa"/>
          </w:tcPr>
          <w:p w14:paraId="78ABF596" w14:textId="17777A13" w:rsidR="00144E45" w:rsidRPr="00EC02CA" w:rsidRDefault="002B2AB2" w:rsidP="00A920EC">
            <w:pPr>
              <w:spacing w:before="60" w:after="60"/>
              <w:jc w:val="left"/>
              <w:rPr>
                <w:rFonts w:cs="Times New Roman"/>
                <w:b/>
                <w:bCs/>
                <w:sz w:val="20"/>
                <w:szCs w:val="20"/>
              </w:rPr>
            </w:pPr>
            <w:r w:rsidRPr="00EC02CA">
              <w:rPr>
                <w:rFonts w:cs="Times New Roman"/>
                <w:b/>
                <w:bCs/>
                <w:i/>
                <w:iCs/>
                <w:sz w:val="20"/>
                <w:szCs w:val="20"/>
              </w:rPr>
              <w:t xml:space="preserve">Criminal </w:t>
            </w:r>
            <w:r w:rsidR="00144E45" w:rsidRPr="00EC02CA">
              <w:rPr>
                <w:rFonts w:cs="Times New Roman"/>
                <w:b/>
                <w:bCs/>
                <w:i/>
                <w:iCs/>
                <w:sz w:val="20"/>
                <w:szCs w:val="20"/>
              </w:rPr>
              <w:t>Code</w:t>
            </w:r>
            <w:r w:rsidR="00144E45" w:rsidRPr="00EC02CA">
              <w:rPr>
                <w:rFonts w:cs="Times New Roman"/>
                <w:b/>
                <w:bCs/>
                <w:sz w:val="20"/>
                <w:szCs w:val="20"/>
              </w:rPr>
              <w:t xml:space="preserve"> </w:t>
            </w:r>
            <w:r w:rsidR="006A6E79" w:rsidRPr="00EC02CA">
              <w:rPr>
                <w:rFonts w:cs="Times New Roman"/>
                <w:b/>
                <w:bCs/>
                <w:sz w:val="20"/>
                <w:szCs w:val="20"/>
              </w:rPr>
              <w:t xml:space="preserve">s 105A </w:t>
            </w:r>
            <w:r w:rsidR="00144E45" w:rsidRPr="00EC02CA">
              <w:rPr>
                <w:rFonts w:cs="Times New Roman"/>
                <w:b/>
                <w:bCs/>
                <w:sz w:val="20"/>
                <w:szCs w:val="20"/>
              </w:rPr>
              <w:t>applies</w:t>
            </w:r>
          </w:p>
        </w:tc>
      </w:tr>
      <w:tr w:rsidR="00144E45" w:rsidRPr="00EC02CA" w14:paraId="1D5B370F" w14:textId="77777777" w:rsidTr="00A920EC">
        <w:trPr>
          <w:trHeight w:val="559"/>
        </w:trPr>
        <w:tc>
          <w:tcPr>
            <w:tcW w:w="2552" w:type="dxa"/>
          </w:tcPr>
          <w:p w14:paraId="36846A96"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Bestiality (s 122)</w:t>
            </w:r>
          </w:p>
        </w:tc>
        <w:tc>
          <w:tcPr>
            <w:tcW w:w="1559" w:type="dxa"/>
          </w:tcPr>
          <w:p w14:paraId="10F9C40D"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n/a</w:t>
            </w:r>
          </w:p>
        </w:tc>
        <w:tc>
          <w:tcPr>
            <w:tcW w:w="2268" w:type="dxa"/>
          </w:tcPr>
          <w:p w14:paraId="58E2EC1B"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n/a</w:t>
            </w:r>
          </w:p>
        </w:tc>
        <w:tc>
          <w:tcPr>
            <w:tcW w:w="1985" w:type="dxa"/>
          </w:tcPr>
          <w:p w14:paraId="1488A94B" w14:textId="40329D31"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59D361C9" w14:textId="25BEE47A"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r>
      <w:tr w:rsidR="00144E45" w:rsidRPr="00EC02CA" w14:paraId="19B07455" w14:textId="77777777" w:rsidTr="00A920EC">
        <w:tc>
          <w:tcPr>
            <w:tcW w:w="2552" w:type="dxa"/>
          </w:tcPr>
          <w:p w14:paraId="4F5C0886"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Penetrative sexual abuse of child or young person (s 124)</w:t>
            </w:r>
          </w:p>
        </w:tc>
        <w:tc>
          <w:tcPr>
            <w:tcW w:w="1559" w:type="dxa"/>
          </w:tcPr>
          <w:p w14:paraId="18BFE0DD" w14:textId="5D92F0F5"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14222C25"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Consent is a defence if the complainant was:</w:t>
            </w:r>
          </w:p>
          <w:p w14:paraId="7E044135" w14:textId="6932E0D6"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 xml:space="preserve">15 or older and accused person not more than 5 years older (eg </w:t>
            </w:r>
            <w:r w:rsidR="006A6E79" w:rsidRPr="00EC02CA">
              <w:rPr>
                <w:rFonts w:cs="Times New Roman"/>
                <w:sz w:val="20"/>
                <w:szCs w:val="20"/>
              </w:rPr>
              <w:t xml:space="preserve">C </w:t>
            </w:r>
            <w:r w:rsidRPr="00EC02CA">
              <w:rPr>
                <w:rFonts w:cs="Times New Roman"/>
                <w:sz w:val="20"/>
                <w:szCs w:val="20"/>
              </w:rPr>
              <w:t xml:space="preserve">is 16 and </w:t>
            </w:r>
            <w:r w:rsidR="00DA5204" w:rsidRPr="00EC02CA">
              <w:rPr>
                <w:rFonts w:cs="Times New Roman"/>
                <w:sz w:val="20"/>
                <w:szCs w:val="20"/>
              </w:rPr>
              <w:t>A</w:t>
            </w:r>
            <w:r w:rsidRPr="00EC02CA">
              <w:rPr>
                <w:rFonts w:cs="Times New Roman"/>
                <w:sz w:val="20"/>
                <w:szCs w:val="20"/>
              </w:rPr>
              <w:t xml:space="preserve"> is 20)</w:t>
            </w:r>
            <w:r w:rsidR="00A54CC9" w:rsidRPr="00EC02CA">
              <w:rPr>
                <w:rFonts w:cs="Times New Roman"/>
                <w:sz w:val="20"/>
                <w:szCs w:val="20"/>
              </w:rPr>
              <w:t>; or</w:t>
            </w:r>
          </w:p>
          <w:p w14:paraId="0446902F" w14:textId="77777777" w:rsidR="00144E45" w:rsidRPr="00EC02CA" w:rsidRDefault="00144E45" w:rsidP="00A920EC">
            <w:pPr>
              <w:pStyle w:val="ListParagraph"/>
              <w:numPr>
                <w:ilvl w:val="0"/>
                <w:numId w:val="239"/>
              </w:numPr>
              <w:spacing w:before="60" w:after="60"/>
              <w:jc w:val="left"/>
              <w:rPr>
                <w:rFonts w:cs="Times New Roman"/>
                <w:sz w:val="20"/>
                <w:szCs w:val="20"/>
              </w:rPr>
            </w:pPr>
            <w:bookmarkStart w:id="486" w:name="_Hlk202262877"/>
            <w:r w:rsidRPr="00EC02CA">
              <w:rPr>
                <w:rFonts w:cs="Times New Roman"/>
                <w:sz w:val="20"/>
                <w:szCs w:val="20"/>
              </w:rPr>
              <w:t>13 or older and the accused person not more than 3 years older (eg C is 14 and A is 16)</w:t>
            </w:r>
            <w:bookmarkEnd w:id="486"/>
          </w:p>
        </w:tc>
        <w:tc>
          <w:tcPr>
            <w:tcW w:w="1985" w:type="dxa"/>
          </w:tcPr>
          <w:p w14:paraId="22160D5A" w14:textId="5D67A531"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430B0AF7" w14:textId="51129920"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16678656" w14:textId="77777777" w:rsidTr="00A920EC">
        <w:tc>
          <w:tcPr>
            <w:tcW w:w="2552" w:type="dxa"/>
          </w:tcPr>
          <w:p w14:paraId="216BA91D"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Penetrative sexual abuse of child or young person by person in position of authority (s 124A)</w:t>
            </w:r>
          </w:p>
        </w:tc>
        <w:tc>
          <w:tcPr>
            <w:tcW w:w="1559" w:type="dxa"/>
          </w:tcPr>
          <w:p w14:paraId="3A4374E8" w14:textId="5FE858EB"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48E8CB09"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A person in authority is defined to be a person 18 or older (s 124A(1))</w:t>
            </w:r>
          </w:p>
        </w:tc>
        <w:tc>
          <w:tcPr>
            <w:tcW w:w="1985" w:type="dxa"/>
          </w:tcPr>
          <w:p w14:paraId="25C2018C"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n/a</w:t>
            </w:r>
          </w:p>
        </w:tc>
        <w:tc>
          <w:tcPr>
            <w:tcW w:w="1134" w:type="dxa"/>
          </w:tcPr>
          <w:p w14:paraId="1EC21334" w14:textId="23AC28DA"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r>
      <w:tr w:rsidR="00144E45" w:rsidRPr="00EC02CA" w14:paraId="7BC89262" w14:textId="77777777" w:rsidTr="00A920EC">
        <w:tc>
          <w:tcPr>
            <w:tcW w:w="2552" w:type="dxa"/>
          </w:tcPr>
          <w:p w14:paraId="1C995FEB"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Person permitting penetrative sexual abuse of child or young person on premises (s 125)</w:t>
            </w:r>
          </w:p>
        </w:tc>
        <w:tc>
          <w:tcPr>
            <w:tcW w:w="1559" w:type="dxa"/>
          </w:tcPr>
          <w:p w14:paraId="43018992" w14:textId="6FA80DC7"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2D077FA8"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w:t>
            </w:r>
          </w:p>
        </w:tc>
        <w:tc>
          <w:tcPr>
            <w:tcW w:w="1985" w:type="dxa"/>
          </w:tcPr>
          <w:p w14:paraId="13B90CCD" w14:textId="67B624A2"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3D2CD3DD" w14:textId="20D38DEB"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338FD80F" w14:textId="77777777" w:rsidTr="00A920EC">
        <w:tc>
          <w:tcPr>
            <w:tcW w:w="2552" w:type="dxa"/>
          </w:tcPr>
          <w:p w14:paraId="58A4B648"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Persistent sexual abuse of a child or young person (s 125A)</w:t>
            </w:r>
          </w:p>
        </w:tc>
        <w:tc>
          <w:tcPr>
            <w:tcW w:w="1559" w:type="dxa"/>
          </w:tcPr>
          <w:p w14:paraId="41F1CB96" w14:textId="1D258667"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741C14C1" w14:textId="43A1E1AE" w:rsidR="00144E45" w:rsidRPr="00EC02CA" w:rsidRDefault="00144E45" w:rsidP="00A920EC">
            <w:pPr>
              <w:spacing w:before="60" w:after="60"/>
              <w:jc w:val="left"/>
              <w:rPr>
                <w:rFonts w:cs="Times New Roman"/>
                <w:sz w:val="20"/>
                <w:szCs w:val="20"/>
              </w:rPr>
            </w:pPr>
            <w:r w:rsidRPr="00EC02CA">
              <w:rPr>
                <w:rFonts w:cs="Times New Roman"/>
                <w:sz w:val="20"/>
                <w:szCs w:val="20"/>
              </w:rPr>
              <w:t>Age</w:t>
            </w:r>
            <w:r w:rsidR="00740E89" w:rsidRPr="00EC02CA">
              <w:rPr>
                <w:rFonts w:cs="Times New Roman"/>
                <w:sz w:val="20"/>
                <w:szCs w:val="20"/>
              </w:rPr>
              <w:t>-</w:t>
            </w:r>
            <w:r w:rsidRPr="00EC02CA">
              <w:rPr>
                <w:rFonts w:cs="Times New Roman"/>
                <w:sz w:val="20"/>
                <w:szCs w:val="20"/>
              </w:rPr>
              <w:t>related defences for particular offences apply</w:t>
            </w:r>
          </w:p>
        </w:tc>
        <w:tc>
          <w:tcPr>
            <w:tcW w:w="1985" w:type="dxa"/>
          </w:tcPr>
          <w:p w14:paraId="74551317" w14:textId="345B95E5"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r w:rsidRPr="00EC02CA">
              <w:rPr>
                <w:rFonts w:cs="Times New Roman"/>
                <w:sz w:val="20"/>
                <w:szCs w:val="20"/>
              </w:rPr>
              <w:t xml:space="preserve"> (</w:t>
            </w:r>
            <w:r w:rsidR="00DA5204" w:rsidRPr="00EC02CA">
              <w:rPr>
                <w:rFonts w:cs="Times New Roman"/>
                <w:sz w:val="20"/>
                <w:szCs w:val="20"/>
              </w:rPr>
              <w:t>A</w:t>
            </w:r>
            <w:r w:rsidRPr="00EC02CA">
              <w:rPr>
                <w:rFonts w:cs="Times New Roman"/>
                <w:sz w:val="20"/>
                <w:szCs w:val="20"/>
              </w:rPr>
              <w:t xml:space="preserve"> aged 14 to 17)</w:t>
            </w:r>
          </w:p>
        </w:tc>
        <w:tc>
          <w:tcPr>
            <w:tcW w:w="1134" w:type="dxa"/>
          </w:tcPr>
          <w:p w14:paraId="7ECA579B" w14:textId="1F754715"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5697C5DC" w14:textId="77777777" w:rsidTr="00A920EC">
        <w:tc>
          <w:tcPr>
            <w:tcW w:w="2552" w:type="dxa"/>
          </w:tcPr>
          <w:p w14:paraId="30608FF1"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Indecent act with child or young person (s 125B)</w:t>
            </w:r>
          </w:p>
        </w:tc>
        <w:tc>
          <w:tcPr>
            <w:tcW w:w="1559" w:type="dxa"/>
          </w:tcPr>
          <w:p w14:paraId="037ED7E3" w14:textId="3892492F"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342CCFF2"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Consent is a defence if the complainant was:</w:t>
            </w:r>
          </w:p>
          <w:p w14:paraId="36323E66" w14:textId="5F0E657E"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 xml:space="preserve">15 or older and accused person not more than 5 years older (eg </w:t>
            </w:r>
            <w:r w:rsidR="00DA5204" w:rsidRPr="00EC02CA">
              <w:rPr>
                <w:rFonts w:cs="Times New Roman"/>
                <w:sz w:val="20"/>
                <w:szCs w:val="20"/>
              </w:rPr>
              <w:t xml:space="preserve">C </w:t>
            </w:r>
            <w:r w:rsidRPr="00EC02CA">
              <w:rPr>
                <w:rFonts w:cs="Times New Roman"/>
                <w:sz w:val="20"/>
                <w:szCs w:val="20"/>
              </w:rPr>
              <w:t xml:space="preserve">is 16 and </w:t>
            </w:r>
            <w:r w:rsidR="00DA5204" w:rsidRPr="00EC02CA">
              <w:rPr>
                <w:rFonts w:cs="Times New Roman"/>
                <w:sz w:val="20"/>
                <w:szCs w:val="20"/>
              </w:rPr>
              <w:t>A</w:t>
            </w:r>
            <w:r w:rsidRPr="00EC02CA">
              <w:rPr>
                <w:rFonts w:cs="Times New Roman"/>
                <w:sz w:val="20"/>
                <w:szCs w:val="20"/>
              </w:rPr>
              <w:t xml:space="preserve"> is 20)</w:t>
            </w:r>
            <w:r w:rsidR="00A54CC9" w:rsidRPr="00EC02CA">
              <w:rPr>
                <w:rFonts w:cs="Times New Roman"/>
                <w:sz w:val="20"/>
                <w:szCs w:val="20"/>
              </w:rPr>
              <w:t>; or</w:t>
            </w:r>
          </w:p>
          <w:p w14:paraId="40908D78" w14:textId="77777777"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13 or older and the accused person not more than 3 years older (eg C is 14 and A is 16)</w:t>
            </w:r>
          </w:p>
        </w:tc>
        <w:tc>
          <w:tcPr>
            <w:tcW w:w="1985" w:type="dxa"/>
          </w:tcPr>
          <w:p w14:paraId="04901A33" w14:textId="32A2546B"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2749D5B2" w14:textId="2148937E"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6ED22953" w14:textId="77777777" w:rsidTr="00A920EC">
        <w:tc>
          <w:tcPr>
            <w:tcW w:w="2552" w:type="dxa"/>
          </w:tcPr>
          <w:p w14:paraId="178E6B9B"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Procuring a child or young person for sexual abuse (s 125C)</w:t>
            </w:r>
          </w:p>
        </w:tc>
        <w:tc>
          <w:tcPr>
            <w:tcW w:w="1559" w:type="dxa"/>
          </w:tcPr>
          <w:p w14:paraId="4DC2D540" w14:textId="46586F4F"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467BDE14"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Consent is a defence if the complainant was:</w:t>
            </w:r>
          </w:p>
          <w:p w14:paraId="19037956" w14:textId="49B3100D"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 xml:space="preserve">15 or older and accused person not more than 5 years older (eg </w:t>
            </w:r>
            <w:r w:rsidR="00DA5204" w:rsidRPr="00EC02CA">
              <w:rPr>
                <w:rFonts w:cs="Times New Roman"/>
                <w:sz w:val="20"/>
                <w:szCs w:val="20"/>
              </w:rPr>
              <w:t xml:space="preserve">C </w:t>
            </w:r>
            <w:r w:rsidRPr="00EC02CA">
              <w:rPr>
                <w:rFonts w:cs="Times New Roman"/>
                <w:sz w:val="20"/>
                <w:szCs w:val="20"/>
              </w:rPr>
              <w:t xml:space="preserve">is 16 and </w:t>
            </w:r>
            <w:r w:rsidR="00DA5204" w:rsidRPr="00EC02CA">
              <w:rPr>
                <w:rFonts w:cs="Times New Roman"/>
                <w:sz w:val="20"/>
                <w:szCs w:val="20"/>
              </w:rPr>
              <w:t>A</w:t>
            </w:r>
            <w:r w:rsidRPr="00EC02CA">
              <w:rPr>
                <w:rFonts w:cs="Times New Roman"/>
                <w:sz w:val="20"/>
                <w:szCs w:val="20"/>
              </w:rPr>
              <w:t xml:space="preserve"> is 20)</w:t>
            </w:r>
            <w:r w:rsidR="00A54CC9" w:rsidRPr="00EC02CA">
              <w:rPr>
                <w:rFonts w:cs="Times New Roman"/>
                <w:sz w:val="20"/>
                <w:szCs w:val="20"/>
              </w:rPr>
              <w:t>; or</w:t>
            </w:r>
          </w:p>
          <w:p w14:paraId="3552AA71" w14:textId="77777777"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13 or older and the accused person not more than 3 years older (eg C is 14 and A is 16)</w:t>
            </w:r>
          </w:p>
        </w:tc>
        <w:tc>
          <w:tcPr>
            <w:tcW w:w="1985" w:type="dxa"/>
          </w:tcPr>
          <w:p w14:paraId="3F616E7E" w14:textId="180C04F2"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17D8AF84" w14:textId="4314DBB1"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57EE8920" w14:textId="77777777" w:rsidTr="00A920EC">
        <w:tc>
          <w:tcPr>
            <w:tcW w:w="2552" w:type="dxa"/>
          </w:tcPr>
          <w:p w14:paraId="0F885535"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Communicating with intent to procure child or young person (s 125D)</w:t>
            </w:r>
          </w:p>
        </w:tc>
        <w:tc>
          <w:tcPr>
            <w:tcW w:w="1559" w:type="dxa"/>
          </w:tcPr>
          <w:p w14:paraId="7C399610" w14:textId="757BA134" w:rsidR="00144E45" w:rsidRPr="00EC02CA" w:rsidRDefault="00D37D3B" w:rsidP="00A920EC">
            <w:pPr>
              <w:spacing w:before="60" w:after="60"/>
              <w:jc w:val="left"/>
              <w:rPr>
                <w:rFonts w:cs="Times New Roman"/>
                <w:sz w:val="20"/>
                <w:szCs w:val="20"/>
              </w:rPr>
            </w:pPr>
            <w:r w:rsidRPr="00EC02CA">
              <w:rPr>
                <w:rFonts w:cs="Times New Roman"/>
                <w:sz w:val="20"/>
                <w:szCs w:val="20"/>
              </w:rPr>
              <w:t>Y</w:t>
            </w:r>
            <w:r w:rsidR="00144E45" w:rsidRPr="00EC02CA">
              <w:rPr>
                <w:rFonts w:cs="Times New Roman"/>
                <w:sz w:val="20"/>
                <w:szCs w:val="20"/>
              </w:rPr>
              <w:t>es (only applies if C is under 17)</w:t>
            </w:r>
          </w:p>
        </w:tc>
        <w:tc>
          <w:tcPr>
            <w:tcW w:w="2268" w:type="dxa"/>
          </w:tcPr>
          <w:p w14:paraId="483ECC6A"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Consent is a defence if the complainant was:</w:t>
            </w:r>
          </w:p>
          <w:p w14:paraId="2C34C7DD" w14:textId="22E449F8"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 xml:space="preserve">15 or older and accused person not more than 5 years older (eg is 16 and </w:t>
            </w:r>
            <w:r w:rsidR="00A54CC9" w:rsidRPr="00EC02CA">
              <w:rPr>
                <w:rFonts w:cs="Times New Roman"/>
                <w:sz w:val="20"/>
                <w:szCs w:val="20"/>
              </w:rPr>
              <w:t>A</w:t>
            </w:r>
            <w:r w:rsidRPr="00EC02CA">
              <w:rPr>
                <w:rFonts w:cs="Times New Roman"/>
                <w:sz w:val="20"/>
                <w:szCs w:val="20"/>
              </w:rPr>
              <w:t xml:space="preserve"> is 20)</w:t>
            </w:r>
            <w:r w:rsidR="00A54CC9" w:rsidRPr="00EC02CA">
              <w:rPr>
                <w:rFonts w:cs="Times New Roman"/>
                <w:sz w:val="20"/>
                <w:szCs w:val="20"/>
              </w:rPr>
              <w:t>; or</w:t>
            </w:r>
          </w:p>
          <w:p w14:paraId="7FE43C74" w14:textId="77777777"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13 or older and the accused person not more than 3 years older (eg C is 14 and A is 16)</w:t>
            </w:r>
          </w:p>
        </w:tc>
        <w:tc>
          <w:tcPr>
            <w:tcW w:w="1985" w:type="dxa"/>
          </w:tcPr>
          <w:p w14:paraId="71F01FCE" w14:textId="25DFB79E"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240110CF" w14:textId="4305D9E7"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54D4C245" w14:textId="77777777" w:rsidTr="00A920EC">
        <w:tc>
          <w:tcPr>
            <w:tcW w:w="2552" w:type="dxa"/>
          </w:tcPr>
          <w:p w14:paraId="750F65BE"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Penetrative sexual abuse of person with mental impairment (s 126)</w:t>
            </w:r>
          </w:p>
        </w:tc>
        <w:tc>
          <w:tcPr>
            <w:tcW w:w="1559" w:type="dxa"/>
          </w:tcPr>
          <w:p w14:paraId="6ABF110C" w14:textId="2AF66F29" w:rsidR="00144E45" w:rsidRPr="00EC02CA" w:rsidRDefault="00D37D3B" w:rsidP="00A920EC">
            <w:pPr>
              <w:spacing w:before="60" w:after="60"/>
              <w:jc w:val="left"/>
              <w:rPr>
                <w:rFonts w:cs="Times New Roman"/>
                <w:sz w:val="20"/>
                <w:szCs w:val="20"/>
              </w:rPr>
            </w:pPr>
            <w:r w:rsidRPr="00EC02CA">
              <w:rPr>
                <w:rFonts w:cs="Times New Roman"/>
                <w:sz w:val="20"/>
                <w:szCs w:val="20"/>
              </w:rPr>
              <w:t>N</w:t>
            </w:r>
            <w:r w:rsidR="00144E45" w:rsidRPr="00EC02CA">
              <w:rPr>
                <w:rFonts w:cs="Times New Roman"/>
                <w:sz w:val="20"/>
                <w:szCs w:val="20"/>
              </w:rPr>
              <w:t>o</w:t>
            </w:r>
          </w:p>
        </w:tc>
        <w:tc>
          <w:tcPr>
            <w:tcW w:w="2268" w:type="dxa"/>
          </w:tcPr>
          <w:p w14:paraId="3EFDF045"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 xml:space="preserve">- </w:t>
            </w:r>
          </w:p>
        </w:tc>
        <w:tc>
          <w:tcPr>
            <w:tcW w:w="1985" w:type="dxa"/>
          </w:tcPr>
          <w:p w14:paraId="2EF76B06" w14:textId="6267B80E"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64D1847E" w14:textId="25CECADF"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7857397A" w14:textId="77777777" w:rsidTr="00A920EC">
        <w:tc>
          <w:tcPr>
            <w:tcW w:w="2552" w:type="dxa"/>
          </w:tcPr>
          <w:p w14:paraId="012DAB82"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Indecent assault (s 127)</w:t>
            </w:r>
          </w:p>
        </w:tc>
        <w:tc>
          <w:tcPr>
            <w:tcW w:w="1559" w:type="dxa"/>
          </w:tcPr>
          <w:p w14:paraId="501956EB" w14:textId="4B1336FC" w:rsidR="00144E45" w:rsidRPr="00EC02CA" w:rsidRDefault="00D37D3B" w:rsidP="00A920EC">
            <w:pPr>
              <w:spacing w:before="60" w:after="60"/>
              <w:jc w:val="left"/>
              <w:rPr>
                <w:rFonts w:cs="Times New Roman"/>
                <w:sz w:val="20"/>
                <w:szCs w:val="20"/>
              </w:rPr>
            </w:pPr>
            <w:r w:rsidRPr="00EC02CA">
              <w:rPr>
                <w:rFonts w:cs="Times New Roman"/>
                <w:sz w:val="20"/>
                <w:szCs w:val="20"/>
              </w:rPr>
              <w:t>N</w:t>
            </w:r>
            <w:r w:rsidR="00144E45" w:rsidRPr="00EC02CA">
              <w:rPr>
                <w:rFonts w:cs="Times New Roman"/>
                <w:sz w:val="20"/>
                <w:szCs w:val="20"/>
              </w:rPr>
              <w:t>o</w:t>
            </w:r>
          </w:p>
        </w:tc>
        <w:tc>
          <w:tcPr>
            <w:tcW w:w="2268" w:type="dxa"/>
          </w:tcPr>
          <w:p w14:paraId="77285427"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Consent is a defence if the complainant was:</w:t>
            </w:r>
          </w:p>
          <w:p w14:paraId="61315F37" w14:textId="3B313923"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 xml:space="preserve">15 or older and accused person not more than 5 years older (eg C is 16 and </w:t>
            </w:r>
            <w:r w:rsidR="00A54CC9" w:rsidRPr="00EC02CA">
              <w:rPr>
                <w:rFonts w:cs="Times New Roman"/>
                <w:sz w:val="20"/>
                <w:szCs w:val="20"/>
              </w:rPr>
              <w:t>A</w:t>
            </w:r>
            <w:r w:rsidRPr="00EC02CA">
              <w:rPr>
                <w:rFonts w:cs="Times New Roman"/>
                <w:sz w:val="20"/>
                <w:szCs w:val="20"/>
              </w:rPr>
              <w:t xml:space="preserve"> is 20)</w:t>
            </w:r>
            <w:r w:rsidR="00A54CC9" w:rsidRPr="00EC02CA">
              <w:rPr>
                <w:rFonts w:cs="Times New Roman"/>
                <w:sz w:val="20"/>
                <w:szCs w:val="20"/>
              </w:rPr>
              <w:t>; or</w:t>
            </w:r>
          </w:p>
          <w:p w14:paraId="3E1EB558" w14:textId="77777777" w:rsidR="00144E45" w:rsidRPr="00EC02CA" w:rsidRDefault="00144E45" w:rsidP="00A920EC">
            <w:pPr>
              <w:pStyle w:val="ListParagraph"/>
              <w:numPr>
                <w:ilvl w:val="0"/>
                <w:numId w:val="239"/>
              </w:numPr>
              <w:spacing w:before="60" w:after="60"/>
              <w:jc w:val="left"/>
              <w:rPr>
                <w:rFonts w:cs="Times New Roman"/>
                <w:sz w:val="20"/>
                <w:szCs w:val="20"/>
              </w:rPr>
            </w:pPr>
            <w:r w:rsidRPr="00EC02CA">
              <w:rPr>
                <w:rFonts w:cs="Times New Roman"/>
                <w:sz w:val="20"/>
                <w:szCs w:val="20"/>
              </w:rPr>
              <w:t>13 or older and the accused person not more than 3 years older (eg C is 14 and A is 16)</w:t>
            </w:r>
          </w:p>
        </w:tc>
        <w:tc>
          <w:tcPr>
            <w:tcW w:w="1985" w:type="dxa"/>
          </w:tcPr>
          <w:p w14:paraId="3B1FCE2E" w14:textId="7863BF53"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4E35930D" w14:textId="47F8A944"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521434E1" w14:textId="77777777" w:rsidTr="00A920EC">
        <w:tc>
          <w:tcPr>
            <w:tcW w:w="2552" w:type="dxa"/>
          </w:tcPr>
          <w:p w14:paraId="454502C5"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Procuring a person for penetrative sexual abuse by threats and fraud (s 129)</w:t>
            </w:r>
          </w:p>
        </w:tc>
        <w:tc>
          <w:tcPr>
            <w:tcW w:w="1559" w:type="dxa"/>
          </w:tcPr>
          <w:p w14:paraId="03880661" w14:textId="6A69DA84" w:rsidR="00144E45" w:rsidRPr="00EC02CA" w:rsidRDefault="00D37D3B" w:rsidP="00A920EC">
            <w:pPr>
              <w:spacing w:before="60" w:after="60"/>
              <w:jc w:val="left"/>
              <w:rPr>
                <w:rFonts w:cs="Times New Roman"/>
                <w:sz w:val="20"/>
                <w:szCs w:val="20"/>
              </w:rPr>
            </w:pPr>
            <w:r w:rsidRPr="00EC02CA">
              <w:rPr>
                <w:rFonts w:cs="Times New Roman"/>
                <w:sz w:val="20"/>
                <w:szCs w:val="20"/>
              </w:rPr>
              <w:t>N</w:t>
            </w:r>
            <w:r w:rsidR="00144E45" w:rsidRPr="00EC02CA">
              <w:rPr>
                <w:rFonts w:cs="Times New Roman"/>
                <w:sz w:val="20"/>
                <w:szCs w:val="20"/>
              </w:rPr>
              <w:t>o</w:t>
            </w:r>
          </w:p>
        </w:tc>
        <w:tc>
          <w:tcPr>
            <w:tcW w:w="2268" w:type="dxa"/>
          </w:tcPr>
          <w:p w14:paraId="14695D4E"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 xml:space="preserve">- </w:t>
            </w:r>
          </w:p>
        </w:tc>
        <w:tc>
          <w:tcPr>
            <w:tcW w:w="1985" w:type="dxa"/>
          </w:tcPr>
          <w:p w14:paraId="292D374E" w14:textId="0FC6DBB0"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46AF6721" w14:textId="3A9504B2"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0BAD6F24" w14:textId="77777777" w:rsidTr="00A920EC">
        <w:tc>
          <w:tcPr>
            <w:tcW w:w="2552" w:type="dxa"/>
          </w:tcPr>
          <w:p w14:paraId="6C3D780C"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Incest (s 133)</w:t>
            </w:r>
            <w:r w:rsidRPr="00EC02CA">
              <w:rPr>
                <w:rFonts w:cs="Times New Roman"/>
                <w:sz w:val="20"/>
                <w:szCs w:val="20"/>
              </w:rPr>
              <w:tab/>
            </w:r>
          </w:p>
        </w:tc>
        <w:tc>
          <w:tcPr>
            <w:tcW w:w="1559" w:type="dxa"/>
          </w:tcPr>
          <w:p w14:paraId="0D335C2C" w14:textId="79F0DBE2" w:rsidR="00144E45" w:rsidRPr="00EC02CA" w:rsidRDefault="00D37D3B" w:rsidP="00A920EC">
            <w:pPr>
              <w:spacing w:before="60" w:after="60"/>
              <w:jc w:val="left"/>
              <w:rPr>
                <w:rFonts w:cs="Times New Roman"/>
                <w:sz w:val="20"/>
                <w:szCs w:val="20"/>
              </w:rPr>
            </w:pPr>
            <w:r w:rsidRPr="00EC02CA">
              <w:rPr>
                <w:rFonts w:cs="Times New Roman"/>
                <w:sz w:val="20"/>
                <w:szCs w:val="20"/>
              </w:rPr>
              <w:t>N</w:t>
            </w:r>
            <w:r w:rsidR="00144E45" w:rsidRPr="00EC02CA">
              <w:rPr>
                <w:rFonts w:cs="Times New Roman"/>
                <w:sz w:val="20"/>
                <w:szCs w:val="20"/>
              </w:rPr>
              <w:t>o</w:t>
            </w:r>
          </w:p>
        </w:tc>
        <w:tc>
          <w:tcPr>
            <w:tcW w:w="2268" w:type="dxa"/>
          </w:tcPr>
          <w:p w14:paraId="0663C88C"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w:t>
            </w:r>
          </w:p>
        </w:tc>
        <w:tc>
          <w:tcPr>
            <w:tcW w:w="1985" w:type="dxa"/>
          </w:tcPr>
          <w:p w14:paraId="3D115E0E" w14:textId="58DB3F76"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5E520598" w14:textId="3EB54A90"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p>
        </w:tc>
      </w:tr>
      <w:tr w:rsidR="00144E45" w:rsidRPr="00EC02CA" w14:paraId="321115B0" w14:textId="77777777" w:rsidTr="00A920EC">
        <w:tc>
          <w:tcPr>
            <w:tcW w:w="2552" w:type="dxa"/>
          </w:tcPr>
          <w:p w14:paraId="178D602B"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Indecency (s 137)</w:t>
            </w:r>
            <w:r w:rsidRPr="00EC02CA">
              <w:rPr>
                <w:rFonts w:cs="Times New Roman"/>
                <w:sz w:val="20"/>
                <w:szCs w:val="20"/>
              </w:rPr>
              <w:tab/>
            </w:r>
          </w:p>
        </w:tc>
        <w:tc>
          <w:tcPr>
            <w:tcW w:w="1559" w:type="dxa"/>
          </w:tcPr>
          <w:p w14:paraId="25AF0BEB" w14:textId="28305674" w:rsidR="00144E45" w:rsidRPr="00EC02CA" w:rsidRDefault="00D37D3B" w:rsidP="00A920EC">
            <w:pPr>
              <w:spacing w:before="60" w:after="60"/>
              <w:jc w:val="left"/>
              <w:rPr>
                <w:rFonts w:cs="Times New Roman"/>
                <w:sz w:val="20"/>
                <w:szCs w:val="20"/>
              </w:rPr>
            </w:pPr>
            <w:r w:rsidRPr="00EC02CA">
              <w:rPr>
                <w:rFonts w:cs="Times New Roman"/>
                <w:sz w:val="20"/>
                <w:szCs w:val="20"/>
              </w:rPr>
              <w:t>N</w:t>
            </w:r>
            <w:r w:rsidR="00144E45" w:rsidRPr="00EC02CA">
              <w:rPr>
                <w:rFonts w:cs="Times New Roman"/>
                <w:sz w:val="20"/>
                <w:szCs w:val="20"/>
              </w:rPr>
              <w:t>o</w:t>
            </w:r>
          </w:p>
        </w:tc>
        <w:tc>
          <w:tcPr>
            <w:tcW w:w="2268" w:type="dxa"/>
          </w:tcPr>
          <w:p w14:paraId="4768F5FC"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w:t>
            </w:r>
          </w:p>
        </w:tc>
        <w:tc>
          <w:tcPr>
            <w:tcW w:w="1985" w:type="dxa"/>
          </w:tcPr>
          <w:p w14:paraId="20B1A68E" w14:textId="267E57A0"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c>
          <w:tcPr>
            <w:tcW w:w="1134" w:type="dxa"/>
          </w:tcPr>
          <w:p w14:paraId="5A4F5F8A" w14:textId="16AEA9D4"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r>
      <w:tr w:rsidR="00144E45" w:rsidRPr="00EC02CA" w14:paraId="485BC0A6" w14:textId="77777777" w:rsidTr="00A920EC">
        <w:tc>
          <w:tcPr>
            <w:tcW w:w="2552" w:type="dxa"/>
          </w:tcPr>
          <w:p w14:paraId="5479D1A2" w14:textId="1B8501BA" w:rsidR="00144E45" w:rsidRPr="00EC02CA" w:rsidRDefault="00144E45" w:rsidP="00A920EC">
            <w:pPr>
              <w:spacing w:before="60" w:after="60"/>
              <w:jc w:val="left"/>
              <w:rPr>
                <w:rFonts w:cs="Times New Roman"/>
                <w:sz w:val="20"/>
                <w:szCs w:val="20"/>
              </w:rPr>
            </w:pPr>
            <w:r w:rsidRPr="00EC02CA">
              <w:rPr>
                <w:rFonts w:cs="Times New Roman"/>
                <w:sz w:val="20"/>
                <w:szCs w:val="20"/>
              </w:rPr>
              <w:t>Rape (s 185)</w:t>
            </w:r>
            <w:r w:rsidR="002E104E" w:rsidRPr="00EC02CA">
              <w:rPr>
                <w:rStyle w:val="FootnoteReference"/>
                <w:rFonts w:cs="Times New Roman"/>
                <w:sz w:val="20"/>
                <w:szCs w:val="20"/>
              </w:rPr>
              <w:footnoteReference w:id="943"/>
            </w:r>
          </w:p>
        </w:tc>
        <w:tc>
          <w:tcPr>
            <w:tcW w:w="1559" w:type="dxa"/>
          </w:tcPr>
          <w:p w14:paraId="606C25BE" w14:textId="6171629A" w:rsidR="00144E45" w:rsidRPr="00EC02CA" w:rsidRDefault="00D37D3B" w:rsidP="00A920EC">
            <w:pPr>
              <w:spacing w:before="60" w:after="60"/>
              <w:jc w:val="left"/>
              <w:rPr>
                <w:rFonts w:cs="Times New Roman"/>
                <w:sz w:val="20"/>
                <w:szCs w:val="20"/>
              </w:rPr>
            </w:pPr>
            <w:r w:rsidRPr="00EC02CA">
              <w:rPr>
                <w:rFonts w:cs="Times New Roman"/>
                <w:sz w:val="20"/>
                <w:szCs w:val="20"/>
              </w:rPr>
              <w:t>N</w:t>
            </w:r>
            <w:r w:rsidR="00144E45" w:rsidRPr="00EC02CA">
              <w:rPr>
                <w:rFonts w:cs="Times New Roman"/>
                <w:sz w:val="20"/>
                <w:szCs w:val="20"/>
              </w:rPr>
              <w:t>o</w:t>
            </w:r>
          </w:p>
        </w:tc>
        <w:tc>
          <w:tcPr>
            <w:tcW w:w="2268" w:type="dxa"/>
          </w:tcPr>
          <w:p w14:paraId="2FF0C776" w14:textId="77777777" w:rsidR="00144E45" w:rsidRPr="00EC02CA" w:rsidRDefault="00144E45" w:rsidP="00A920EC">
            <w:pPr>
              <w:spacing w:before="60" w:after="60"/>
              <w:jc w:val="left"/>
              <w:rPr>
                <w:rFonts w:cs="Times New Roman"/>
                <w:sz w:val="20"/>
                <w:szCs w:val="20"/>
              </w:rPr>
            </w:pPr>
            <w:r w:rsidRPr="00EC02CA">
              <w:rPr>
                <w:rFonts w:cs="Times New Roman"/>
                <w:sz w:val="20"/>
                <w:szCs w:val="20"/>
              </w:rPr>
              <w:t>-</w:t>
            </w:r>
          </w:p>
        </w:tc>
        <w:tc>
          <w:tcPr>
            <w:tcW w:w="1985" w:type="dxa"/>
          </w:tcPr>
          <w:p w14:paraId="4320C0C0" w14:textId="55E08C34" w:rsidR="00144E45" w:rsidRPr="00EC02CA" w:rsidRDefault="00144E45" w:rsidP="00A920EC">
            <w:pPr>
              <w:spacing w:before="60" w:after="60"/>
              <w:jc w:val="left"/>
              <w:rPr>
                <w:rFonts w:cs="Times New Roman"/>
                <w:sz w:val="20"/>
                <w:szCs w:val="20"/>
              </w:rPr>
            </w:pPr>
            <w:r w:rsidRPr="00EC02CA">
              <w:rPr>
                <w:rFonts w:cs="Times New Roman"/>
                <w:sz w:val="20"/>
                <w:szCs w:val="20"/>
              </w:rPr>
              <w:t>Y</w:t>
            </w:r>
            <w:r w:rsidR="00D37D3B" w:rsidRPr="00EC02CA">
              <w:rPr>
                <w:rFonts w:cs="Times New Roman"/>
                <w:sz w:val="20"/>
                <w:szCs w:val="20"/>
              </w:rPr>
              <w:t>es</w:t>
            </w:r>
            <w:r w:rsidRPr="00EC02CA">
              <w:rPr>
                <w:rFonts w:cs="Times New Roman"/>
                <w:sz w:val="20"/>
                <w:szCs w:val="20"/>
              </w:rPr>
              <w:t xml:space="preserve"> (</w:t>
            </w:r>
            <w:r w:rsidR="00DA5204" w:rsidRPr="00EC02CA">
              <w:rPr>
                <w:rFonts w:cs="Times New Roman"/>
                <w:sz w:val="20"/>
                <w:szCs w:val="20"/>
              </w:rPr>
              <w:t>A</w:t>
            </w:r>
            <w:r w:rsidRPr="00EC02CA">
              <w:rPr>
                <w:rFonts w:cs="Times New Roman"/>
                <w:sz w:val="20"/>
                <w:szCs w:val="20"/>
              </w:rPr>
              <w:t xml:space="preserve"> aged 14 to 17)</w:t>
            </w:r>
          </w:p>
        </w:tc>
        <w:tc>
          <w:tcPr>
            <w:tcW w:w="1134" w:type="dxa"/>
          </w:tcPr>
          <w:p w14:paraId="5A8F5925" w14:textId="5B6B2129" w:rsidR="00144E45" w:rsidRPr="00EC02CA" w:rsidRDefault="00144E45" w:rsidP="00A920EC">
            <w:pPr>
              <w:spacing w:before="60" w:after="60"/>
              <w:jc w:val="left"/>
              <w:rPr>
                <w:rFonts w:cs="Times New Roman"/>
                <w:sz w:val="20"/>
                <w:szCs w:val="20"/>
              </w:rPr>
            </w:pPr>
            <w:r w:rsidRPr="00EC02CA">
              <w:rPr>
                <w:rFonts w:cs="Times New Roman"/>
                <w:sz w:val="20"/>
                <w:szCs w:val="20"/>
              </w:rPr>
              <w:t>N</w:t>
            </w:r>
            <w:r w:rsidR="00D37D3B" w:rsidRPr="00EC02CA">
              <w:rPr>
                <w:rFonts w:cs="Times New Roman"/>
                <w:sz w:val="20"/>
                <w:szCs w:val="20"/>
              </w:rPr>
              <w:t>o</w:t>
            </w:r>
          </w:p>
        </w:tc>
      </w:tr>
    </w:tbl>
    <w:p w14:paraId="02FA82D7" w14:textId="77777777" w:rsidR="00144E45" w:rsidRPr="00EC02CA" w:rsidRDefault="00144E45" w:rsidP="00A920EC"/>
    <w:p w14:paraId="7BA88E02" w14:textId="77777777" w:rsidR="00F57E54" w:rsidRPr="00EC02CA" w:rsidRDefault="00F57E54">
      <w:pPr>
        <w:spacing w:after="200" w:line="276" w:lineRule="auto"/>
        <w:jc w:val="left"/>
        <w:rPr>
          <w:b/>
          <w:bCs/>
        </w:rPr>
      </w:pPr>
      <w:r w:rsidRPr="00EC02CA">
        <w:rPr>
          <w:b/>
          <w:bCs/>
        </w:rPr>
        <w:br w:type="page"/>
      </w:r>
    </w:p>
    <w:p w14:paraId="7C177CC5" w14:textId="5C6A78C9" w:rsidR="00716F6A" w:rsidRPr="00EC02CA" w:rsidRDefault="00716F6A" w:rsidP="00A920EC">
      <w:pPr>
        <w:keepNext/>
        <w:keepLines/>
      </w:pPr>
      <w:r w:rsidRPr="00EC02CA">
        <w:rPr>
          <w:b/>
          <w:bCs/>
        </w:rPr>
        <w:t xml:space="preserve">Table </w:t>
      </w:r>
      <w:r w:rsidR="00E13A82" w:rsidRPr="00EC02CA">
        <w:rPr>
          <w:b/>
          <w:bCs/>
        </w:rPr>
        <w:t>B</w:t>
      </w:r>
      <w:r w:rsidRPr="00EC02CA">
        <w:rPr>
          <w:b/>
          <w:bCs/>
        </w:rPr>
        <w:t>.</w:t>
      </w:r>
      <w:r w:rsidR="00E13A82" w:rsidRPr="00EC02CA">
        <w:rPr>
          <w:b/>
          <w:bCs/>
        </w:rPr>
        <w:t>2</w:t>
      </w:r>
      <w:r w:rsidRPr="00EC02CA">
        <w:t xml:space="preserve">: </w:t>
      </w:r>
      <w:r w:rsidR="00C0487D" w:rsidRPr="00EC02CA">
        <w:t xml:space="preserve">Online sexual offences in Tasmania </w:t>
      </w:r>
    </w:p>
    <w:tbl>
      <w:tblPr>
        <w:tblStyle w:val="TableGrid"/>
        <w:tblW w:w="9498" w:type="dxa"/>
        <w:tblInd w:w="-5" w:type="dxa"/>
        <w:tblLayout w:type="fixed"/>
        <w:tblLook w:val="04A0" w:firstRow="1" w:lastRow="0" w:firstColumn="1" w:lastColumn="0" w:noHBand="0" w:noVBand="1"/>
      </w:tblPr>
      <w:tblGrid>
        <w:gridCol w:w="1985"/>
        <w:gridCol w:w="2410"/>
        <w:gridCol w:w="1984"/>
        <w:gridCol w:w="1985"/>
        <w:gridCol w:w="1134"/>
      </w:tblGrid>
      <w:tr w:rsidR="00716F6A" w:rsidRPr="00EC02CA" w14:paraId="7445DCDE" w14:textId="77777777" w:rsidTr="00A920EC">
        <w:trPr>
          <w:tblHeader/>
        </w:trPr>
        <w:tc>
          <w:tcPr>
            <w:tcW w:w="1985" w:type="dxa"/>
          </w:tcPr>
          <w:p w14:paraId="2C1A9DFC" w14:textId="77777777" w:rsidR="00716F6A" w:rsidRPr="00EC02CA" w:rsidRDefault="00716F6A" w:rsidP="00A920EC">
            <w:pPr>
              <w:keepNext/>
              <w:keepLines/>
              <w:spacing w:before="60" w:after="60"/>
              <w:jc w:val="left"/>
              <w:rPr>
                <w:b/>
                <w:bCs/>
                <w:sz w:val="20"/>
                <w:szCs w:val="20"/>
              </w:rPr>
            </w:pPr>
            <w:r w:rsidRPr="00EC02CA">
              <w:rPr>
                <w:b/>
                <w:bCs/>
                <w:sz w:val="20"/>
                <w:szCs w:val="20"/>
              </w:rPr>
              <w:t>Legislation</w:t>
            </w:r>
          </w:p>
        </w:tc>
        <w:tc>
          <w:tcPr>
            <w:tcW w:w="2410" w:type="dxa"/>
          </w:tcPr>
          <w:p w14:paraId="142B8F50" w14:textId="77777777" w:rsidR="00716F6A" w:rsidRPr="00EC02CA" w:rsidRDefault="00716F6A" w:rsidP="00A920EC">
            <w:pPr>
              <w:keepNext/>
              <w:keepLines/>
              <w:spacing w:before="60" w:after="60"/>
              <w:jc w:val="left"/>
              <w:rPr>
                <w:b/>
                <w:bCs/>
                <w:sz w:val="20"/>
                <w:szCs w:val="20"/>
              </w:rPr>
            </w:pPr>
            <w:r w:rsidRPr="00EC02CA">
              <w:rPr>
                <w:b/>
                <w:bCs/>
                <w:sz w:val="20"/>
                <w:szCs w:val="20"/>
              </w:rPr>
              <w:t>Offence</w:t>
            </w:r>
          </w:p>
        </w:tc>
        <w:tc>
          <w:tcPr>
            <w:tcW w:w="1984" w:type="dxa"/>
          </w:tcPr>
          <w:p w14:paraId="66259D78" w14:textId="226F9410" w:rsidR="00716F6A" w:rsidRPr="00EC02CA" w:rsidRDefault="00716F6A" w:rsidP="00A920EC">
            <w:pPr>
              <w:keepNext/>
              <w:keepLines/>
              <w:spacing w:before="60" w:after="60"/>
              <w:jc w:val="left"/>
              <w:rPr>
                <w:b/>
                <w:bCs/>
                <w:sz w:val="20"/>
                <w:szCs w:val="20"/>
              </w:rPr>
            </w:pPr>
            <w:r w:rsidRPr="00EC02CA">
              <w:rPr>
                <w:b/>
                <w:bCs/>
                <w:sz w:val="20"/>
                <w:szCs w:val="20"/>
              </w:rPr>
              <w:t>Age of complainant</w:t>
            </w:r>
            <w:r w:rsidR="00D37D3B" w:rsidRPr="00EC02CA">
              <w:rPr>
                <w:b/>
                <w:bCs/>
                <w:sz w:val="20"/>
                <w:szCs w:val="20"/>
              </w:rPr>
              <w:t xml:space="preserve"> </w:t>
            </w:r>
            <w:r w:rsidR="00AB5177" w:rsidRPr="00EC02CA">
              <w:rPr>
                <w:b/>
                <w:bCs/>
                <w:sz w:val="20"/>
                <w:szCs w:val="20"/>
              </w:rPr>
              <w:t>i</w:t>
            </w:r>
            <w:r w:rsidRPr="00EC02CA">
              <w:rPr>
                <w:b/>
                <w:bCs/>
                <w:sz w:val="20"/>
                <w:szCs w:val="20"/>
              </w:rPr>
              <w:t xml:space="preserve">s element of </w:t>
            </w:r>
            <w:r w:rsidR="00AB5177" w:rsidRPr="00EC02CA">
              <w:rPr>
                <w:b/>
                <w:bCs/>
                <w:sz w:val="20"/>
                <w:szCs w:val="20"/>
              </w:rPr>
              <w:t xml:space="preserve">the </w:t>
            </w:r>
            <w:r w:rsidRPr="00EC02CA">
              <w:rPr>
                <w:b/>
                <w:bCs/>
                <w:sz w:val="20"/>
                <w:szCs w:val="20"/>
              </w:rPr>
              <w:t>offence</w:t>
            </w:r>
          </w:p>
        </w:tc>
        <w:tc>
          <w:tcPr>
            <w:tcW w:w="1985" w:type="dxa"/>
          </w:tcPr>
          <w:p w14:paraId="4C16E148" w14:textId="77777777" w:rsidR="00716F6A" w:rsidRPr="00EC02CA" w:rsidRDefault="00716F6A" w:rsidP="00A920EC">
            <w:pPr>
              <w:keepNext/>
              <w:keepLines/>
              <w:spacing w:before="60" w:after="60"/>
              <w:jc w:val="left"/>
              <w:rPr>
                <w:b/>
                <w:bCs/>
                <w:sz w:val="20"/>
                <w:szCs w:val="20"/>
              </w:rPr>
            </w:pPr>
            <w:r w:rsidRPr="00EC02CA">
              <w:rPr>
                <w:b/>
                <w:bCs/>
                <w:sz w:val="20"/>
                <w:szCs w:val="20"/>
              </w:rPr>
              <w:t>Other age-related factors</w:t>
            </w:r>
          </w:p>
        </w:tc>
        <w:tc>
          <w:tcPr>
            <w:tcW w:w="1134" w:type="dxa"/>
          </w:tcPr>
          <w:p w14:paraId="24CD5515" w14:textId="06E6667E" w:rsidR="00716F6A" w:rsidRPr="00EC02CA" w:rsidRDefault="00A31EFC" w:rsidP="00A920EC">
            <w:pPr>
              <w:keepNext/>
              <w:keepLines/>
              <w:spacing w:before="60" w:after="60"/>
              <w:jc w:val="left"/>
              <w:rPr>
                <w:b/>
                <w:bCs/>
                <w:sz w:val="20"/>
                <w:szCs w:val="20"/>
              </w:rPr>
            </w:pPr>
            <w:r w:rsidRPr="00EC02CA">
              <w:rPr>
                <w:b/>
                <w:bCs/>
                <w:i/>
                <w:iCs/>
                <w:sz w:val="20"/>
                <w:szCs w:val="20"/>
              </w:rPr>
              <w:t>Criminal Code</w:t>
            </w:r>
            <w:r w:rsidRPr="00EC02CA">
              <w:rPr>
                <w:b/>
                <w:bCs/>
                <w:sz w:val="20"/>
                <w:szCs w:val="20"/>
              </w:rPr>
              <w:t xml:space="preserve"> s </w:t>
            </w:r>
            <w:r w:rsidR="00716F6A" w:rsidRPr="00EC02CA">
              <w:rPr>
                <w:b/>
                <w:bCs/>
                <w:sz w:val="20"/>
                <w:szCs w:val="20"/>
              </w:rPr>
              <w:t>105A applies</w:t>
            </w:r>
          </w:p>
        </w:tc>
      </w:tr>
      <w:tr w:rsidR="00716F6A" w:rsidRPr="00EC02CA" w14:paraId="65CCB8C0" w14:textId="77777777" w:rsidTr="00A920EC">
        <w:trPr>
          <w:trHeight w:val="559"/>
        </w:trPr>
        <w:tc>
          <w:tcPr>
            <w:tcW w:w="1985" w:type="dxa"/>
            <w:vMerge w:val="restart"/>
          </w:tcPr>
          <w:p w14:paraId="37373379" w14:textId="77777777" w:rsidR="00716F6A" w:rsidRPr="00EC02CA" w:rsidRDefault="00716F6A" w:rsidP="00A920EC">
            <w:pPr>
              <w:spacing w:before="60" w:after="60"/>
              <w:jc w:val="left"/>
              <w:rPr>
                <w:b/>
                <w:bCs/>
                <w:sz w:val="20"/>
                <w:szCs w:val="20"/>
              </w:rPr>
            </w:pPr>
            <w:r w:rsidRPr="00EC02CA">
              <w:rPr>
                <w:b/>
                <w:bCs/>
                <w:i/>
                <w:iCs/>
                <w:sz w:val="20"/>
                <w:szCs w:val="20"/>
              </w:rPr>
              <w:t>Criminal Code</w:t>
            </w:r>
            <w:r w:rsidRPr="00EC02CA">
              <w:rPr>
                <w:b/>
                <w:bCs/>
                <w:sz w:val="20"/>
                <w:szCs w:val="20"/>
              </w:rPr>
              <w:t xml:space="preserve"> (Tas)</w:t>
            </w:r>
          </w:p>
          <w:p w14:paraId="5BBE887D" w14:textId="4FF6AB91" w:rsidR="00716F6A" w:rsidRPr="00EC02CA" w:rsidRDefault="00716F6A" w:rsidP="00A920EC">
            <w:pPr>
              <w:spacing w:before="60" w:after="60"/>
              <w:jc w:val="left"/>
              <w:rPr>
                <w:sz w:val="20"/>
                <w:szCs w:val="20"/>
              </w:rPr>
            </w:pPr>
            <w:r w:rsidRPr="00EC02CA">
              <w:rPr>
                <w:sz w:val="20"/>
                <w:szCs w:val="20"/>
              </w:rPr>
              <w:t>Indictable offences: maximum penalty is a fine o</w:t>
            </w:r>
            <w:r w:rsidR="00A31EFC" w:rsidRPr="00EC02CA">
              <w:rPr>
                <w:sz w:val="20"/>
                <w:szCs w:val="20"/>
              </w:rPr>
              <w:t>r</w:t>
            </w:r>
            <w:r w:rsidRPr="00EC02CA">
              <w:rPr>
                <w:sz w:val="20"/>
                <w:szCs w:val="20"/>
              </w:rPr>
              <w:t xml:space="preserve"> imprisonment for a term not exceeding 21 years</w:t>
            </w:r>
          </w:p>
        </w:tc>
        <w:tc>
          <w:tcPr>
            <w:tcW w:w="2410" w:type="dxa"/>
          </w:tcPr>
          <w:p w14:paraId="378713F4" w14:textId="77777777" w:rsidR="00716F6A" w:rsidRPr="00EC02CA" w:rsidRDefault="00716F6A" w:rsidP="00A920EC">
            <w:pPr>
              <w:spacing w:before="60" w:after="60"/>
              <w:jc w:val="left"/>
              <w:rPr>
                <w:sz w:val="20"/>
                <w:szCs w:val="20"/>
              </w:rPr>
            </w:pPr>
            <w:r w:rsidRPr="00EC02CA">
              <w:rPr>
                <w:sz w:val="20"/>
                <w:szCs w:val="20"/>
              </w:rPr>
              <w:t>Involving a person in the production of child exploitation material (s 130)</w:t>
            </w:r>
          </w:p>
        </w:tc>
        <w:tc>
          <w:tcPr>
            <w:tcW w:w="1984" w:type="dxa"/>
          </w:tcPr>
          <w:p w14:paraId="54154ABC" w14:textId="4520B191"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4FE0F8FE" w14:textId="1248E3FE"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130E(2))</w:t>
            </w:r>
          </w:p>
        </w:tc>
        <w:tc>
          <w:tcPr>
            <w:tcW w:w="1134" w:type="dxa"/>
          </w:tcPr>
          <w:p w14:paraId="04BD1B4B" w14:textId="6565AA65" w:rsidR="00716F6A" w:rsidRPr="00EC02CA" w:rsidRDefault="00716F6A" w:rsidP="00A920EC">
            <w:pPr>
              <w:spacing w:before="60" w:after="60"/>
              <w:jc w:val="left"/>
              <w:rPr>
                <w:sz w:val="20"/>
                <w:szCs w:val="20"/>
              </w:rPr>
            </w:pPr>
            <w:r w:rsidRPr="00EC02CA">
              <w:rPr>
                <w:sz w:val="20"/>
                <w:szCs w:val="20"/>
              </w:rPr>
              <w:t>Y</w:t>
            </w:r>
            <w:r w:rsidR="00D37D3B" w:rsidRPr="00EC02CA">
              <w:rPr>
                <w:sz w:val="20"/>
                <w:szCs w:val="20"/>
              </w:rPr>
              <w:t>es</w:t>
            </w:r>
          </w:p>
        </w:tc>
      </w:tr>
      <w:tr w:rsidR="00716F6A" w:rsidRPr="00EC02CA" w14:paraId="492B42F2" w14:textId="77777777" w:rsidTr="00A920EC">
        <w:tc>
          <w:tcPr>
            <w:tcW w:w="1985" w:type="dxa"/>
            <w:vMerge/>
          </w:tcPr>
          <w:p w14:paraId="79D899E7" w14:textId="77777777" w:rsidR="00716F6A" w:rsidRPr="00EC02CA" w:rsidRDefault="00716F6A" w:rsidP="00A920EC">
            <w:pPr>
              <w:spacing w:before="60" w:after="60"/>
              <w:jc w:val="left"/>
              <w:rPr>
                <w:sz w:val="20"/>
                <w:szCs w:val="20"/>
              </w:rPr>
            </w:pPr>
          </w:p>
        </w:tc>
        <w:tc>
          <w:tcPr>
            <w:tcW w:w="2410" w:type="dxa"/>
          </w:tcPr>
          <w:p w14:paraId="0595324D" w14:textId="77777777" w:rsidR="00716F6A" w:rsidRPr="00EC02CA" w:rsidRDefault="00716F6A" w:rsidP="00A920EC">
            <w:pPr>
              <w:spacing w:before="60" w:after="60"/>
              <w:jc w:val="left"/>
              <w:rPr>
                <w:sz w:val="20"/>
                <w:szCs w:val="20"/>
              </w:rPr>
            </w:pPr>
            <w:r w:rsidRPr="00EC02CA">
              <w:rPr>
                <w:sz w:val="20"/>
                <w:szCs w:val="20"/>
              </w:rPr>
              <w:t>Production of child exploitation material (s 130A)</w:t>
            </w:r>
          </w:p>
        </w:tc>
        <w:tc>
          <w:tcPr>
            <w:tcW w:w="1984" w:type="dxa"/>
          </w:tcPr>
          <w:p w14:paraId="47B75F5B" w14:textId="115F325C"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60D2066A" w14:textId="0C1BB7E9"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130E(2))</w:t>
            </w:r>
          </w:p>
        </w:tc>
        <w:tc>
          <w:tcPr>
            <w:tcW w:w="1134" w:type="dxa"/>
          </w:tcPr>
          <w:p w14:paraId="744D00F9" w14:textId="1A51AE0C" w:rsidR="00716F6A" w:rsidRPr="00EC02CA" w:rsidRDefault="00716F6A" w:rsidP="00A920EC">
            <w:pPr>
              <w:spacing w:before="60" w:after="60"/>
              <w:jc w:val="left"/>
              <w:rPr>
                <w:sz w:val="20"/>
                <w:szCs w:val="20"/>
              </w:rPr>
            </w:pPr>
            <w:r w:rsidRPr="00EC02CA">
              <w:rPr>
                <w:sz w:val="20"/>
                <w:szCs w:val="20"/>
              </w:rPr>
              <w:t>Y</w:t>
            </w:r>
            <w:r w:rsidR="00D37D3B" w:rsidRPr="00EC02CA">
              <w:rPr>
                <w:sz w:val="20"/>
                <w:szCs w:val="20"/>
              </w:rPr>
              <w:t>es</w:t>
            </w:r>
          </w:p>
        </w:tc>
      </w:tr>
      <w:tr w:rsidR="00716F6A" w:rsidRPr="00EC02CA" w14:paraId="1A8EDC7D" w14:textId="77777777" w:rsidTr="00A920EC">
        <w:tc>
          <w:tcPr>
            <w:tcW w:w="1985" w:type="dxa"/>
            <w:vMerge/>
          </w:tcPr>
          <w:p w14:paraId="1BB42CBC" w14:textId="77777777" w:rsidR="00716F6A" w:rsidRPr="00EC02CA" w:rsidRDefault="00716F6A" w:rsidP="00A920EC">
            <w:pPr>
              <w:spacing w:before="60" w:after="60"/>
              <w:jc w:val="left"/>
              <w:rPr>
                <w:sz w:val="20"/>
                <w:szCs w:val="20"/>
              </w:rPr>
            </w:pPr>
          </w:p>
        </w:tc>
        <w:tc>
          <w:tcPr>
            <w:tcW w:w="2410" w:type="dxa"/>
          </w:tcPr>
          <w:p w14:paraId="6A24F492" w14:textId="77777777" w:rsidR="00716F6A" w:rsidRPr="00EC02CA" w:rsidRDefault="00716F6A" w:rsidP="00A920EC">
            <w:pPr>
              <w:spacing w:before="60" w:after="60"/>
              <w:jc w:val="left"/>
              <w:rPr>
                <w:sz w:val="20"/>
                <w:szCs w:val="20"/>
              </w:rPr>
            </w:pPr>
            <w:r w:rsidRPr="00EC02CA">
              <w:rPr>
                <w:sz w:val="20"/>
                <w:szCs w:val="20"/>
              </w:rPr>
              <w:t>Distribution of child exploitation material (s 130B)</w:t>
            </w:r>
          </w:p>
        </w:tc>
        <w:tc>
          <w:tcPr>
            <w:tcW w:w="1984" w:type="dxa"/>
          </w:tcPr>
          <w:p w14:paraId="26C781CC" w14:textId="1E6B19DF"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4ECB3325" w14:textId="0DCC4AA5"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130E(2))</w:t>
            </w:r>
          </w:p>
        </w:tc>
        <w:tc>
          <w:tcPr>
            <w:tcW w:w="1134" w:type="dxa"/>
          </w:tcPr>
          <w:p w14:paraId="6475E995" w14:textId="3D41C84D"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19527615" w14:textId="77777777" w:rsidTr="00A920EC">
        <w:tc>
          <w:tcPr>
            <w:tcW w:w="1985" w:type="dxa"/>
            <w:vMerge/>
          </w:tcPr>
          <w:p w14:paraId="75AD5557" w14:textId="77777777" w:rsidR="00716F6A" w:rsidRPr="00EC02CA" w:rsidRDefault="00716F6A" w:rsidP="00A920EC">
            <w:pPr>
              <w:spacing w:before="60" w:after="60"/>
              <w:jc w:val="left"/>
              <w:rPr>
                <w:sz w:val="20"/>
                <w:szCs w:val="20"/>
              </w:rPr>
            </w:pPr>
          </w:p>
        </w:tc>
        <w:tc>
          <w:tcPr>
            <w:tcW w:w="2410" w:type="dxa"/>
          </w:tcPr>
          <w:p w14:paraId="15AFD1B6" w14:textId="77777777" w:rsidR="00716F6A" w:rsidRPr="00EC02CA" w:rsidRDefault="00716F6A" w:rsidP="00A920EC">
            <w:pPr>
              <w:spacing w:before="60" w:after="60"/>
              <w:jc w:val="left"/>
              <w:rPr>
                <w:sz w:val="20"/>
                <w:szCs w:val="20"/>
              </w:rPr>
            </w:pPr>
            <w:r w:rsidRPr="00EC02CA">
              <w:rPr>
                <w:sz w:val="20"/>
                <w:szCs w:val="20"/>
              </w:rPr>
              <w:t>Possession of child exploitation material (s 130C)</w:t>
            </w:r>
          </w:p>
        </w:tc>
        <w:tc>
          <w:tcPr>
            <w:tcW w:w="1984" w:type="dxa"/>
          </w:tcPr>
          <w:p w14:paraId="150CE433" w14:textId="71584C1E"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2A9B2B08" w14:textId="636D133B"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130E(2))</w:t>
            </w:r>
          </w:p>
        </w:tc>
        <w:tc>
          <w:tcPr>
            <w:tcW w:w="1134" w:type="dxa"/>
          </w:tcPr>
          <w:p w14:paraId="1DCE95B8" w14:textId="7546E5B6"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55639DAE" w14:textId="77777777" w:rsidTr="00A920EC">
        <w:tc>
          <w:tcPr>
            <w:tcW w:w="1985" w:type="dxa"/>
            <w:vMerge/>
          </w:tcPr>
          <w:p w14:paraId="0B88CCFD" w14:textId="77777777" w:rsidR="00716F6A" w:rsidRPr="00EC02CA" w:rsidRDefault="00716F6A" w:rsidP="00A920EC">
            <w:pPr>
              <w:spacing w:before="60" w:after="60"/>
              <w:jc w:val="left"/>
              <w:rPr>
                <w:sz w:val="20"/>
                <w:szCs w:val="20"/>
              </w:rPr>
            </w:pPr>
          </w:p>
        </w:tc>
        <w:tc>
          <w:tcPr>
            <w:tcW w:w="2410" w:type="dxa"/>
          </w:tcPr>
          <w:p w14:paraId="1A2CB2B8" w14:textId="77777777" w:rsidR="00716F6A" w:rsidRPr="00EC02CA" w:rsidRDefault="00716F6A" w:rsidP="00A920EC">
            <w:pPr>
              <w:spacing w:before="60" w:after="60"/>
              <w:jc w:val="left"/>
              <w:rPr>
                <w:sz w:val="20"/>
                <w:szCs w:val="20"/>
              </w:rPr>
            </w:pPr>
            <w:r w:rsidRPr="00EC02CA">
              <w:rPr>
                <w:sz w:val="20"/>
                <w:szCs w:val="20"/>
              </w:rPr>
              <w:t>Accessing of child exploitation material (s 130D)</w:t>
            </w:r>
          </w:p>
        </w:tc>
        <w:tc>
          <w:tcPr>
            <w:tcW w:w="1984" w:type="dxa"/>
          </w:tcPr>
          <w:p w14:paraId="3FD10826" w14:textId="6A87B3D8"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51326256" w14:textId="730B5782"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130E(2))</w:t>
            </w:r>
          </w:p>
        </w:tc>
        <w:tc>
          <w:tcPr>
            <w:tcW w:w="1134" w:type="dxa"/>
          </w:tcPr>
          <w:p w14:paraId="14F3507E" w14:textId="2593D3E9"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525DDF76" w14:textId="77777777" w:rsidTr="00A920EC">
        <w:tc>
          <w:tcPr>
            <w:tcW w:w="1985" w:type="dxa"/>
            <w:vMerge w:val="restart"/>
          </w:tcPr>
          <w:p w14:paraId="69A506FB" w14:textId="77777777" w:rsidR="00716F6A" w:rsidRPr="00EC02CA" w:rsidRDefault="00716F6A" w:rsidP="00A920EC">
            <w:pPr>
              <w:spacing w:before="60" w:after="60"/>
              <w:jc w:val="left"/>
              <w:rPr>
                <w:b/>
                <w:bCs/>
                <w:i/>
                <w:iCs/>
                <w:sz w:val="20"/>
                <w:szCs w:val="20"/>
              </w:rPr>
            </w:pPr>
            <w:r w:rsidRPr="00EC02CA">
              <w:rPr>
                <w:b/>
                <w:bCs/>
                <w:i/>
                <w:iCs/>
                <w:sz w:val="20"/>
                <w:szCs w:val="20"/>
              </w:rPr>
              <w:t xml:space="preserve">Classification (Publications, Films and Computer Games) Enforcement Act 1995 </w:t>
            </w:r>
            <w:r w:rsidRPr="00EC02CA">
              <w:rPr>
                <w:b/>
                <w:bCs/>
                <w:sz w:val="20"/>
                <w:szCs w:val="20"/>
              </w:rPr>
              <w:t>(Tas)</w:t>
            </w:r>
          </w:p>
          <w:p w14:paraId="7B09C52A" w14:textId="77777777" w:rsidR="00716F6A" w:rsidRPr="00EC02CA" w:rsidRDefault="00716F6A" w:rsidP="00A920EC">
            <w:pPr>
              <w:spacing w:before="60" w:after="60"/>
              <w:jc w:val="left"/>
              <w:rPr>
                <w:sz w:val="20"/>
                <w:szCs w:val="20"/>
              </w:rPr>
            </w:pPr>
            <w:r w:rsidRPr="00EC02CA">
              <w:rPr>
                <w:sz w:val="20"/>
                <w:szCs w:val="20"/>
              </w:rPr>
              <w:t>Summary offences with maximum penalty as indicated</w:t>
            </w:r>
          </w:p>
        </w:tc>
        <w:tc>
          <w:tcPr>
            <w:tcW w:w="2410" w:type="dxa"/>
          </w:tcPr>
          <w:p w14:paraId="40DDD15F" w14:textId="1529019A" w:rsidR="00716F6A" w:rsidRPr="00EC02CA" w:rsidRDefault="00716F6A" w:rsidP="00A920EC">
            <w:pPr>
              <w:spacing w:before="60" w:after="60"/>
              <w:jc w:val="left"/>
              <w:rPr>
                <w:sz w:val="20"/>
                <w:szCs w:val="20"/>
              </w:rPr>
            </w:pPr>
            <w:r w:rsidRPr="00EC02CA">
              <w:rPr>
                <w:sz w:val="20"/>
                <w:szCs w:val="20"/>
              </w:rPr>
              <w:t>Make or reproduce child exploitation material (s 72A)</w:t>
            </w:r>
          </w:p>
          <w:p w14:paraId="18B5FFC2" w14:textId="77777777" w:rsidR="00716F6A" w:rsidRPr="00EC02CA" w:rsidRDefault="00716F6A" w:rsidP="00A920EC">
            <w:pPr>
              <w:spacing w:before="60" w:after="60"/>
              <w:jc w:val="left"/>
              <w:rPr>
                <w:sz w:val="20"/>
                <w:szCs w:val="20"/>
              </w:rPr>
            </w:pPr>
            <w:r w:rsidRPr="00EC02CA">
              <w:rPr>
                <w:sz w:val="20"/>
                <w:szCs w:val="20"/>
              </w:rPr>
              <w:t>Maximum penalty: Fine not exceeding 300 penalty units or imprisonment not exceeding 3 years or both</w:t>
            </w:r>
          </w:p>
        </w:tc>
        <w:tc>
          <w:tcPr>
            <w:tcW w:w="1984" w:type="dxa"/>
          </w:tcPr>
          <w:p w14:paraId="19216B94" w14:textId="612F2FA9"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3228C5CA" w14:textId="6A444181"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74B(2), (4))</w:t>
            </w:r>
          </w:p>
        </w:tc>
        <w:tc>
          <w:tcPr>
            <w:tcW w:w="1134" w:type="dxa"/>
          </w:tcPr>
          <w:p w14:paraId="613892A0" w14:textId="1EC5D910"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017CF581" w14:textId="77777777" w:rsidTr="00A920EC">
        <w:tc>
          <w:tcPr>
            <w:tcW w:w="1985" w:type="dxa"/>
            <w:vMerge/>
          </w:tcPr>
          <w:p w14:paraId="76529BD0" w14:textId="77777777" w:rsidR="00716F6A" w:rsidRPr="00EC02CA" w:rsidRDefault="00716F6A" w:rsidP="00A920EC">
            <w:pPr>
              <w:spacing w:before="60" w:after="60"/>
              <w:jc w:val="left"/>
              <w:rPr>
                <w:sz w:val="20"/>
                <w:szCs w:val="20"/>
              </w:rPr>
            </w:pPr>
          </w:p>
        </w:tc>
        <w:tc>
          <w:tcPr>
            <w:tcW w:w="2410" w:type="dxa"/>
          </w:tcPr>
          <w:p w14:paraId="5A30749F" w14:textId="77777777" w:rsidR="00716F6A" w:rsidRPr="00EC02CA" w:rsidRDefault="00716F6A" w:rsidP="00A920EC">
            <w:pPr>
              <w:spacing w:before="60" w:after="60"/>
              <w:jc w:val="left"/>
              <w:rPr>
                <w:sz w:val="20"/>
                <w:szCs w:val="20"/>
              </w:rPr>
            </w:pPr>
            <w:r w:rsidRPr="00EC02CA">
              <w:rPr>
                <w:sz w:val="20"/>
                <w:szCs w:val="20"/>
              </w:rPr>
              <w:t>Procure a child to be involved in making child exploitation material (s 73)</w:t>
            </w:r>
          </w:p>
          <w:p w14:paraId="0FF6CD8F" w14:textId="77777777" w:rsidR="00716F6A" w:rsidRPr="00EC02CA" w:rsidRDefault="00716F6A" w:rsidP="00A920EC">
            <w:pPr>
              <w:spacing w:before="60" w:after="60"/>
              <w:jc w:val="left"/>
              <w:rPr>
                <w:sz w:val="20"/>
                <w:szCs w:val="20"/>
              </w:rPr>
            </w:pPr>
            <w:r w:rsidRPr="00EC02CA">
              <w:rPr>
                <w:sz w:val="20"/>
                <w:szCs w:val="20"/>
              </w:rPr>
              <w:t>Maximum penalty: Fine not exceeding 300 penalty units or imprisonment not exceeding 3 years or both</w:t>
            </w:r>
          </w:p>
        </w:tc>
        <w:tc>
          <w:tcPr>
            <w:tcW w:w="1984" w:type="dxa"/>
          </w:tcPr>
          <w:p w14:paraId="0A38999B" w14:textId="5791ED45"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38697AB1" w14:textId="14485021"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74B(2), (4))</w:t>
            </w:r>
          </w:p>
        </w:tc>
        <w:tc>
          <w:tcPr>
            <w:tcW w:w="1134" w:type="dxa"/>
          </w:tcPr>
          <w:p w14:paraId="4194B8A9" w14:textId="1E0818D8"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5E50FA9B" w14:textId="77777777" w:rsidTr="00A920EC">
        <w:tc>
          <w:tcPr>
            <w:tcW w:w="1985" w:type="dxa"/>
            <w:vMerge/>
          </w:tcPr>
          <w:p w14:paraId="31E2FBA1" w14:textId="77777777" w:rsidR="00716F6A" w:rsidRPr="00EC02CA" w:rsidRDefault="00716F6A" w:rsidP="00A920EC">
            <w:pPr>
              <w:spacing w:before="60" w:after="60"/>
              <w:jc w:val="left"/>
              <w:rPr>
                <w:sz w:val="20"/>
                <w:szCs w:val="20"/>
              </w:rPr>
            </w:pPr>
          </w:p>
        </w:tc>
        <w:tc>
          <w:tcPr>
            <w:tcW w:w="2410" w:type="dxa"/>
          </w:tcPr>
          <w:p w14:paraId="6BDC17F1" w14:textId="77777777" w:rsidR="00716F6A" w:rsidRPr="00EC02CA" w:rsidRDefault="00716F6A" w:rsidP="00A920EC">
            <w:pPr>
              <w:spacing w:before="60" w:after="60"/>
              <w:jc w:val="left"/>
              <w:rPr>
                <w:sz w:val="20"/>
                <w:szCs w:val="20"/>
              </w:rPr>
            </w:pPr>
            <w:r w:rsidRPr="00EC02CA">
              <w:rPr>
                <w:sz w:val="20"/>
                <w:szCs w:val="20"/>
              </w:rPr>
              <w:t>Distribute child exploitation material ( s 73A)</w:t>
            </w:r>
          </w:p>
          <w:p w14:paraId="758F76B1" w14:textId="77777777" w:rsidR="00716F6A" w:rsidRPr="00EC02CA" w:rsidRDefault="00716F6A" w:rsidP="00A920EC">
            <w:pPr>
              <w:spacing w:before="60" w:after="60"/>
              <w:jc w:val="left"/>
              <w:rPr>
                <w:sz w:val="20"/>
                <w:szCs w:val="20"/>
              </w:rPr>
            </w:pPr>
            <w:r w:rsidRPr="00EC02CA">
              <w:rPr>
                <w:sz w:val="20"/>
                <w:szCs w:val="20"/>
              </w:rPr>
              <w:t>Maximum penalty: Fine not exceeding 300 penalty units or imprisonment not exceeding 3 years or both</w:t>
            </w:r>
          </w:p>
        </w:tc>
        <w:tc>
          <w:tcPr>
            <w:tcW w:w="1984" w:type="dxa"/>
          </w:tcPr>
          <w:p w14:paraId="1BC94962" w14:textId="3536B038"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1410E96E" w14:textId="0E1330F5"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74B(2), (4))</w:t>
            </w:r>
          </w:p>
        </w:tc>
        <w:tc>
          <w:tcPr>
            <w:tcW w:w="1134" w:type="dxa"/>
          </w:tcPr>
          <w:p w14:paraId="67D7D69C" w14:textId="38A2D610"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057BE701" w14:textId="77777777" w:rsidTr="00A920EC">
        <w:tc>
          <w:tcPr>
            <w:tcW w:w="1985" w:type="dxa"/>
            <w:vMerge/>
          </w:tcPr>
          <w:p w14:paraId="63AB07A4" w14:textId="77777777" w:rsidR="00716F6A" w:rsidRPr="00EC02CA" w:rsidRDefault="00716F6A" w:rsidP="00A920EC">
            <w:pPr>
              <w:spacing w:before="60" w:after="60"/>
              <w:jc w:val="left"/>
              <w:rPr>
                <w:sz w:val="20"/>
                <w:szCs w:val="20"/>
              </w:rPr>
            </w:pPr>
          </w:p>
        </w:tc>
        <w:tc>
          <w:tcPr>
            <w:tcW w:w="2410" w:type="dxa"/>
          </w:tcPr>
          <w:p w14:paraId="3350F7AB" w14:textId="77777777" w:rsidR="00716F6A" w:rsidRPr="00EC02CA" w:rsidRDefault="00716F6A" w:rsidP="00A920EC">
            <w:pPr>
              <w:spacing w:before="60" w:after="60"/>
              <w:jc w:val="left"/>
              <w:rPr>
                <w:sz w:val="20"/>
                <w:szCs w:val="20"/>
              </w:rPr>
            </w:pPr>
            <w:r w:rsidRPr="00EC02CA">
              <w:rPr>
                <w:sz w:val="20"/>
                <w:szCs w:val="20"/>
              </w:rPr>
              <w:t>Possession of child exploitation material ( s 74B)</w:t>
            </w:r>
          </w:p>
          <w:p w14:paraId="443A33D6" w14:textId="77777777" w:rsidR="00716F6A" w:rsidRPr="00EC02CA" w:rsidRDefault="00716F6A" w:rsidP="00A920EC">
            <w:pPr>
              <w:spacing w:before="60" w:after="60"/>
              <w:jc w:val="left"/>
              <w:rPr>
                <w:sz w:val="20"/>
                <w:szCs w:val="20"/>
              </w:rPr>
            </w:pPr>
            <w:r w:rsidRPr="00EC02CA">
              <w:rPr>
                <w:sz w:val="20"/>
                <w:szCs w:val="20"/>
              </w:rPr>
              <w:t>Maximum penalty: Fine not exceeding 200 penalty units or imprisonment not exceeding 2 years or both</w:t>
            </w:r>
          </w:p>
        </w:tc>
        <w:tc>
          <w:tcPr>
            <w:tcW w:w="1984" w:type="dxa"/>
          </w:tcPr>
          <w:p w14:paraId="07E374FC" w14:textId="1149EDF7"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under 18)</w:t>
            </w:r>
          </w:p>
        </w:tc>
        <w:tc>
          <w:tcPr>
            <w:tcW w:w="1985" w:type="dxa"/>
          </w:tcPr>
          <w:p w14:paraId="3C0B8BAA" w14:textId="5C3AD0BB" w:rsidR="00716F6A" w:rsidRPr="00EC02CA" w:rsidRDefault="00716F6A" w:rsidP="00A920EC">
            <w:pPr>
              <w:spacing w:before="60" w:after="60"/>
              <w:jc w:val="left"/>
              <w:rPr>
                <w:sz w:val="20"/>
                <w:szCs w:val="20"/>
              </w:rPr>
            </w:pPr>
            <w:r w:rsidRPr="00EC02CA">
              <w:rPr>
                <w:sz w:val="20"/>
                <w:szCs w:val="20"/>
              </w:rPr>
              <w:t>It is a defence if the material to which the offence relates depicts sexual activity where the defendant and complainant have an age</w:t>
            </w:r>
            <w:r w:rsidR="00740E89" w:rsidRPr="00EC02CA">
              <w:rPr>
                <w:sz w:val="20"/>
                <w:szCs w:val="20"/>
              </w:rPr>
              <w:t>-</w:t>
            </w:r>
            <w:r w:rsidRPr="00EC02CA">
              <w:rPr>
                <w:sz w:val="20"/>
                <w:szCs w:val="20"/>
              </w:rPr>
              <w:t>related defence (s</w:t>
            </w:r>
            <w:r w:rsidR="00A54CC9" w:rsidRPr="00EC02CA">
              <w:rPr>
                <w:sz w:val="20"/>
                <w:szCs w:val="20"/>
              </w:rPr>
              <w:t xml:space="preserve"> </w:t>
            </w:r>
            <w:r w:rsidRPr="00EC02CA">
              <w:rPr>
                <w:sz w:val="20"/>
                <w:szCs w:val="20"/>
              </w:rPr>
              <w:t>74B(2), (4))</w:t>
            </w:r>
          </w:p>
        </w:tc>
        <w:tc>
          <w:tcPr>
            <w:tcW w:w="1134" w:type="dxa"/>
          </w:tcPr>
          <w:p w14:paraId="21F9C15E" w14:textId="2717E503"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0121D817" w14:textId="77777777" w:rsidTr="00A920EC">
        <w:tc>
          <w:tcPr>
            <w:tcW w:w="1985" w:type="dxa"/>
            <w:vMerge w:val="restart"/>
          </w:tcPr>
          <w:p w14:paraId="7D59B926" w14:textId="77777777" w:rsidR="00716F6A" w:rsidRPr="00EC02CA" w:rsidRDefault="00716F6A" w:rsidP="00A920EC">
            <w:pPr>
              <w:spacing w:before="60" w:after="60"/>
              <w:jc w:val="left"/>
              <w:rPr>
                <w:b/>
                <w:bCs/>
                <w:sz w:val="20"/>
                <w:szCs w:val="20"/>
              </w:rPr>
            </w:pPr>
            <w:r w:rsidRPr="00EC02CA">
              <w:rPr>
                <w:b/>
                <w:bCs/>
                <w:i/>
                <w:iCs/>
                <w:sz w:val="20"/>
                <w:szCs w:val="20"/>
              </w:rPr>
              <w:t xml:space="preserve">Police Offences Act 1935 </w:t>
            </w:r>
            <w:r w:rsidRPr="00EC02CA">
              <w:rPr>
                <w:b/>
                <w:bCs/>
                <w:sz w:val="20"/>
                <w:szCs w:val="20"/>
              </w:rPr>
              <w:t xml:space="preserve">(Tas) </w:t>
            </w:r>
          </w:p>
          <w:p w14:paraId="7620D1F3" w14:textId="77777777" w:rsidR="00716F6A" w:rsidRPr="00EC02CA" w:rsidRDefault="00716F6A" w:rsidP="00A920EC">
            <w:pPr>
              <w:spacing w:before="60" w:after="60"/>
              <w:jc w:val="left"/>
              <w:rPr>
                <w:b/>
                <w:bCs/>
                <w:sz w:val="20"/>
                <w:szCs w:val="20"/>
              </w:rPr>
            </w:pPr>
            <w:r w:rsidRPr="00EC02CA">
              <w:rPr>
                <w:sz w:val="20"/>
                <w:szCs w:val="20"/>
              </w:rPr>
              <w:t>Summary offences with maximum penalty: Fine not exceeding 50 penalty units or imprisonment for a term not exceeding 12 months or both</w:t>
            </w:r>
          </w:p>
        </w:tc>
        <w:tc>
          <w:tcPr>
            <w:tcW w:w="2410" w:type="dxa"/>
          </w:tcPr>
          <w:p w14:paraId="64234DE3" w14:textId="77777777" w:rsidR="00716F6A" w:rsidRPr="00EC02CA" w:rsidRDefault="00716F6A" w:rsidP="00A920EC">
            <w:pPr>
              <w:spacing w:before="60" w:after="60"/>
              <w:jc w:val="left"/>
              <w:rPr>
                <w:sz w:val="20"/>
                <w:szCs w:val="20"/>
              </w:rPr>
            </w:pPr>
            <w:r w:rsidRPr="00EC02CA">
              <w:rPr>
                <w:sz w:val="20"/>
                <w:szCs w:val="20"/>
              </w:rPr>
              <w:t>Observation or recording in breach of privacy (s 13A)</w:t>
            </w:r>
          </w:p>
        </w:tc>
        <w:tc>
          <w:tcPr>
            <w:tcW w:w="1984" w:type="dxa"/>
          </w:tcPr>
          <w:p w14:paraId="396FEBFC" w14:textId="77777777" w:rsidR="00716F6A" w:rsidRPr="00EC02CA" w:rsidRDefault="00716F6A" w:rsidP="00A920EC">
            <w:pPr>
              <w:spacing w:before="60" w:after="60"/>
              <w:jc w:val="left"/>
              <w:rPr>
                <w:sz w:val="20"/>
                <w:szCs w:val="20"/>
              </w:rPr>
            </w:pPr>
          </w:p>
        </w:tc>
        <w:tc>
          <w:tcPr>
            <w:tcW w:w="1985" w:type="dxa"/>
          </w:tcPr>
          <w:p w14:paraId="15BCF951" w14:textId="77777777" w:rsidR="00716F6A" w:rsidRPr="00EC02CA" w:rsidRDefault="00716F6A" w:rsidP="00A920EC">
            <w:pPr>
              <w:spacing w:before="60" w:after="60"/>
              <w:jc w:val="left"/>
              <w:rPr>
                <w:sz w:val="20"/>
                <w:szCs w:val="20"/>
              </w:rPr>
            </w:pPr>
          </w:p>
        </w:tc>
        <w:tc>
          <w:tcPr>
            <w:tcW w:w="1134" w:type="dxa"/>
          </w:tcPr>
          <w:p w14:paraId="0DB558F1" w14:textId="13092924"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54C8850B" w14:textId="77777777" w:rsidTr="00A920EC">
        <w:tc>
          <w:tcPr>
            <w:tcW w:w="1985" w:type="dxa"/>
            <w:vMerge/>
          </w:tcPr>
          <w:p w14:paraId="0A6BA939" w14:textId="77777777" w:rsidR="00716F6A" w:rsidRPr="00EC02CA" w:rsidRDefault="00716F6A" w:rsidP="00A920EC">
            <w:pPr>
              <w:spacing w:before="60" w:after="60"/>
              <w:jc w:val="left"/>
              <w:rPr>
                <w:sz w:val="20"/>
                <w:szCs w:val="20"/>
              </w:rPr>
            </w:pPr>
          </w:p>
        </w:tc>
        <w:tc>
          <w:tcPr>
            <w:tcW w:w="2410" w:type="dxa"/>
          </w:tcPr>
          <w:p w14:paraId="5F47B265" w14:textId="77777777" w:rsidR="00716F6A" w:rsidRPr="00EC02CA" w:rsidRDefault="00716F6A" w:rsidP="00A920EC">
            <w:pPr>
              <w:spacing w:before="60" w:after="60"/>
              <w:jc w:val="left"/>
              <w:rPr>
                <w:sz w:val="20"/>
                <w:szCs w:val="20"/>
              </w:rPr>
            </w:pPr>
            <w:r w:rsidRPr="00EC02CA">
              <w:rPr>
                <w:sz w:val="20"/>
                <w:szCs w:val="20"/>
              </w:rPr>
              <w:t>Publishing or distributing prohibited visual recording (s 13B)</w:t>
            </w:r>
          </w:p>
        </w:tc>
        <w:tc>
          <w:tcPr>
            <w:tcW w:w="1984" w:type="dxa"/>
          </w:tcPr>
          <w:p w14:paraId="5C93A4FE" w14:textId="77777777" w:rsidR="00716F6A" w:rsidRPr="00EC02CA" w:rsidRDefault="00716F6A" w:rsidP="00A920EC">
            <w:pPr>
              <w:spacing w:before="60" w:after="60"/>
              <w:jc w:val="left"/>
              <w:rPr>
                <w:sz w:val="20"/>
                <w:szCs w:val="20"/>
              </w:rPr>
            </w:pPr>
          </w:p>
        </w:tc>
        <w:tc>
          <w:tcPr>
            <w:tcW w:w="1985" w:type="dxa"/>
          </w:tcPr>
          <w:p w14:paraId="272D93C5" w14:textId="77777777" w:rsidR="00716F6A" w:rsidRPr="00EC02CA" w:rsidRDefault="00716F6A" w:rsidP="00A920EC">
            <w:pPr>
              <w:spacing w:before="60" w:after="60"/>
              <w:jc w:val="left"/>
              <w:rPr>
                <w:sz w:val="20"/>
                <w:szCs w:val="20"/>
              </w:rPr>
            </w:pPr>
          </w:p>
        </w:tc>
        <w:tc>
          <w:tcPr>
            <w:tcW w:w="1134" w:type="dxa"/>
          </w:tcPr>
          <w:p w14:paraId="1A8AAAD6" w14:textId="1F417210"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3E4A6220" w14:textId="77777777" w:rsidTr="00A920EC">
        <w:tc>
          <w:tcPr>
            <w:tcW w:w="1985" w:type="dxa"/>
            <w:vMerge/>
          </w:tcPr>
          <w:p w14:paraId="2BA4E4C5" w14:textId="77777777" w:rsidR="00716F6A" w:rsidRPr="00EC02CA" w:rsidRDefault="00716F6A" w:rsidP="00A920EC">
            <w:pPr>
              <w:spacing w:before="60" w:after="60"/>
              <w:jc w:val="left"/>
              <w:rPr>
                <w:sz w:val="20"/>
                <w:szCs w:val="20"/>
              </w:rPr>
            </w:pPr>
          </w:p>
        </w:tc>
        <w:tc>
          <w:tcPr>
            <w:tcW w:w="2410" w:type="dxa"/>
          </w:tcPr>
          <w:p w14:paraId="6FE91103" w14:textId="77777777" w:rsidR="00716F6A" w:rsidRPr="00EC02CA" w:rsidRDefault="00716F6A" w:rsidP="00A920EC">
            <w:pPr>
              <w:spacing w:before="60" w:after="60"/>
              <w:jc w:val="left"/>
              <w:rPr>
                <w:sz w:val="20"/>
                <w:szCs w:val="20"/>
              </w:rPr>
            </w:pPr>
            <w:r w:rsidRPr="00EC02CA">
              <w:rPr>
                <w:sz w:val="20"/>
                <w:szCs w:val="20"/>
              </w:rPr>
              <w:t>Possession of prohibited visual recording (s 13C)</w:t>
            </w:r>
          </w:p>
        </w:tc>
        <w:tc>
          <w:tcPr>
            <w:tcW w:w="1984" w:type="dxa"/>
          </w:tcPr>
          <w:p w14:paraId="5B3E89D0" w14:textId="77777777" w:rsidR="00716F6A" w:rsidRPr="00EC02CA" w:rsidRDefault="00716F6A" w:rsidP="00A920EC">
            <w:pPr>
              <w:spacing w:before="60" w:after="60"/>
              <w:jc w:val="left"/>
              <w:rPr>
                <w:sz w:val="20"/>
                <w:szCs w:val="20"/>
              </w:rPr>
            </w:pPr>
          </w:p>
        </w:tc>
        <w:tc>
          <w:tcPr>
            <w:tcW w:w="1985" w:type="dxa"/>
          </w:tcPr>
          <w:p w14:paraId="0939D5CB" w14:textId="77777777" w:rsidR="00716F6A" w:rsidRPr="00EC02CA" w:rsidRDefault="00716F6A" w:rsidP="00A920EC">
            <w:pPr>
              <w:spacing w:before="60" w:after="60"/>
              <w:jc w:val="left"/>
              <w:rPr>
                <w:sz w:val="20"/>
                <w:szCs w:val="20"/>
              </w:rPr>
            </w:pPr>
          </w:p>
        </w:tc>
        <w:tc>
          <w:tcPr>
            <w:tcW w:w="1134" w:type="dxa"/>
          </w:tcPr>
          <w:p w14:paraId="0ACB8F70" w14:textId="2874FF3B"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183ACF33" w14:textId="77777777" w:rsidTr="00A920EC">
        <w:tc>
          <w:tcPr>
            <w:tcW w:w="1985" w:type="dxa"/>
            <w:vMerge w:val="restart"/>
          </w:tcPr>
          <w:p w14:paraId="46A3466F" w14:textId="77777777" w:rsidR="00716F6A" w:rsidRPr="00EC02CA" w:rsidRDefault="00716F6A" w:rsidP="00A920EC">
            <w:pPr>
              <w:spacing w:before="60" w:after="60"/>
              <w:jc w:val="left"/>
              <w:rPr>
                <w:b/>
                <w:bCs/>
                <w:sz w:val="20"/>
                <w:szCs w:val="20"/>
              </w:rPr>
            </w:pPr>
            <w:r w:rsidRPr="00EC02CA">
              <w:rPr>
                <w:b/>
                <w:bCs/>
                <w:i/>
                <w:iCs/>
                <w:sz w:val="20"/>
                <w:szCs w:val="20"/>
              </w:rPr>
              <w:t xml:space="preserve">Criminal Code 1995 </w:t>
            </w:r>
            <w:r w:rsidRPr="00EC02CA">
              <w:rPr>
                <w:b/>
                <w:bCs/>
                <w:sz w:val="20"/>
                <w:szCs w:val="20"/>
              </w:rPr>
              <w:t>(Cth)</w:t>
            </w:r>
          </w:p>
          <w:p w14:paraId="00D1DDE1" w14:textId="77777777" w:rsidR="00716F6A" w:rsidRPr="00EC02CA" w:rsidRDefault="00716F6A" w:rsidP="00A920EC">
            <w:pPr>
              <w:spacing w:before="60" w:after="60"/>
              <w:jc w:val="left"/>
              <w:rPr>
                <w:sz w:val="20"/>
                <w:szCs w:val="20"/>
              </w:rPr>
            </w:pPr>
            <w:r w:rsidRPr="00EC02CA">
              <w:rPr>
                <w:sz w:val="20"/>
                <w:szCs w:val="20"/>
              </w:rPr>
              <w:t>Indictable offences with maximum penalty as indicated</w:t>
            </w:r>
          </w:p>
        </w:tc>
        <w:tc>
          <w:tcPr>
            <w:tcW w:w="2410" w:type="dxa"/>
          </w:tcPr>
          <w:p w14:paraId="0E39B424" w14:textId="77777777" w:rsidR="00716F6A" w:rsidRPr="00EC02CA" w:rsidRDefault="00716F6A" w:rsidP="00A920EC">
            <w:pPr>
              <w:spacing w:before="60" w:after="60"/>
              <w:jc w:val="left"/>
              <w:rPr>
                <w:sz w:val="20"/>
                <w:szCs w:val="20"/>
              </w:rPr>
            </w:pPr>
            <w:r w:rsidRPr="00EC02CA">
              <w:rPr>
                <w:sz w:val="20"/>
                <w:szCs w:val="20"/>
              </w:rPr>
              <w:t>Using a carriage service for child abuse material (s 474.22)</w:t>
            </w:r>
          </w:p>
          <w:p w14:paraId="56C093C8" w14:textId="5B6BFDFF" w:rsidR="00716F6A" w:rsidRPr="00EC02CA" w:rsidRDefault="00716F6A" w:rsidP="00A920EC">
            <w:pPr>
              <w:spacing w:before="60" w:after="60"/>
              <w:jc w:val="left"/>
              <w:rPr>
                <w:sz w:val="20"/>
                <w:szCs w:val="20"/>
              </w:rPr>
            </w:pPr>
            <w:r w:rsidRPr="00EC02CA">
              <w:rPr>
                <w:sz w:val="20"/>
                <w:szCs w:val="20"/>
              </w:rPr>
              <w:t>Maximum penalty: 15 years</w:t>
            </w:r>
            <w:r w:rsidR="00A46B49" w:rsidRPr="00EC02CA">
              <w:rPr>
                <w:sz w:val="20"/>
                <w:szCs w:val="20"/>
              </w:rPr>
              <w:t>’</w:t>
            </w:r>
            <w:r w:rsidRPr="00EC02CA">
              <w:rPr>
                <w:sz w:val="20"/>
                <w:szCs w:val="20"/>
              </w:rPr>
              <w:t xml:space="preserve"> imprisonment </w:t>
            </w:r>
          </w:p>
        </w:tc>
        <w:tc>
          <w:tcPr>
            <w:tcW w:w="1984" w:type="dxa"/>
          </w:tcPr>
          <w:p w14:paraId="34F248AB" w14:textId="57667205"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or appears to be under 18)</w:t>
            </w:r>
          </w:p>
        </w:tc>
        <w:tc>
          <w:tcPr>
            <w:tcW w:w="1985" w:type="dxa"/>
          </w:tcPr>
          <w:p w14:paraId="4DDAA495" w14:textId="77777777" w:rsidR="00716F6A" w:rsidRPr="00EC02CA" w:rsidRDefault="00716F6A" w:rsidP="00A920EC">
            <w:pPr>
              <w:spacing w:before="60" w:after="60"/>
              <w:jc w:val="left"/>
              <w:rPr>
                <w:sz w:val="20"/>
                <w:szCs w:val="20"/>
              </w:rPr>
            </w:pPr>
          </w:p>
        </w:tc>
        <w:tc>
          <w:tcPr>
            <w:tcW w:w="1134" w:type="dxa"/>
          </w:tcPr>
          <w:p w14:paraId="57E8C783" w14:textId="3B9CD271"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1D286E6F" w14:textId="77777777" w:rsidTr="00A920EC">
        <w:tc>
          <w:tcPr>
            <w:tcW w:w="1985" w:type="dxa"/>
            <w:vMerge/>
          </w:tcPr>
          <w:p w14:paraId="232B8C81" w14:textId="77777777" w:rsidR="00716F6A" w:rsidRPr="00EC02CA" w:rsidRDefault="00716F6A" w:rsidP="00A920EC">
            <w:pPr>
              <w:spacing w:before="60" w:after="60"/>
              <w:jc w:val="left"/>
              <w:rPr>
                <w:sz w:val="20"/>
                <w:szCs w:val="20"/>
              </w:rPr>
            </w:pPr>
          </w:p>
        </w:tc>
        <w:tc>
          <w:tcPr>
            <w:tcW w:w="2410" w:type="dxa"/>
          </w:tcPr>
          <w:p w14:paraId="58B9F473" w14:textId="10310CBA" w:rsidR="00716F6A" w:rsidRPr="00EC02CA" w:rsidRDefault="00716F6A" w:rsidP="00A920EC">
            <w:pPr>
              <w:spacing w:before="60" w:after="60"/>
              <w:jc w:val="left"/>
              <w:rPr>
                <w:sz w:val="20"/>
                <w:szCs w:val="20"/>
              </w:rPr>
            </w:pPr>
            <w:r w:rsidRPr="00EC02CA">
              <w:rPr>
                <w:sz w:val="20"/>
                <w:szCs w:val="20"/>
              </w:rPr>
              <w:t>Possessing or controlling child abuse material obtained or accessed using a carriage service (s 474.22A)</w:t>
            </w:r>
          </w:p>
          <w:p w14:paraId="70E3B378" w14:textId="4AB98C46" w:rsidR="00716F6A" w:rsidRPr="00EC02CA" w:rsidRDefault="00716F6A" w:rsidP="00A920EC">
            <w:pPr>
              <w:spacing w:before="60" w:after="60"/>
              <w:jc w:val="left"/>
              <w:rPr>
                <w:sz w:val="20"/>
                <w:szCs w:val="20"/>
              </w:rPr>
            </w:pPr>
            <w:r w:rsidRPr="00EC02CA">
              <w:rPr>
                <w:sz w:val="20"/>
                <w:szCs w:val="20"/>
              </w:rPr>
              <w:t>Maximum penalty: 15 years</w:t>
            </w:r>
            <w:r w:rsidR="00A46B49" w:rsidRPr="00EC02CA">
              <w:rPr>
                <w:sz w:val="20"/>
                <w:szCs w:val="20"/>
              </w:rPr>
              <w:t>’</w:t>
            </w:r>
            <w:r w:rsidRPr="00EC02CA">
              <w:rPr>
                <w:sz w:val="20"/>
                <w:szCs w:val="20"/>
              </w:rPr>
              <w:t xml:space="preserve"> imprisonment</w:t>
            </w:r>
          </w:p>
        </w:tc>
        <w:tc>
          <w:tcPr>
            <w:tcW w:w="1984" w:type="dxa"/>
          </w:tcPr>
          <w:p w14:paraId="6A68FEAC" w14:textId="44C1E60E"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or appears to under 18)</w:t>
            </w:r>
          </w:p>
        </w:tc>
        <w:tc>
          <w:tcPr>
            <w:tcW w:w="1985" w:type="dxa"/>
          </w:tcPr>
          <w:p w14:paraId="58FF04E5" w14:textId="77777777" w:rsidR="00716F6A" w:rsidRPr="00EC02CA" w:rsidRDefault="00716F6A" w:rsidP="00A920EC">
            <w:pPr>
              <w:spacing w:before="60" w:after="60"/>
              <w:jc w:val="left"/>
              <w:rPr>
                <w:sz w:val="20"/>
                <w:szCs w:val="20"/>
              </w:rPr>
            </w:pPr>
          </w:p>
        </w:tc>
        <w:tc>
          <w:tcPr>
            <w:tcW w:w="1134" w:type="dxa"/>
          </w:tcPr>
          <w:p w14:paraId="4A6B9B0F" w14:textId="48ECBF92"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2EBE3EEF" w14:textId="77777777" w:rsidTr="00A920EC">
        <w:tc>
          <w:tcPr>
            <w:tcW w:w="1985" w:type="dxa"/>
            <w:vMerge/>
          </w:tcPr>
          <w:p w14:paraId="332165F3" w14:textId="77777777" w:rsidR="00716F6A" w:rsidRPr="00EC02CA" w:rsidRDefault="00716F6A" w:rsidP="00A920EC">
            <w:pPr>
              <w:spacing w:before="60" w:after="60"/>
              <w:jc w:val="left"/>
              <w:rPr>
                <w:sz w:val="20"/>
                <w:szCs w:val="20"/>
              </w:rPr>
            </w:pPr>
          </w:p>
        </w:tc>
        <w:tc>
          <w:tcPr>
            <w:tcW w:w="2410" w:type="dxa"/>
          </w:tcPr>
          <w:p w14:paraId="2350FC03" w14:textId="77777777" w:rsidR="00716F6A" w:rsidRPr="00EC02CA" w:rsidRDefault="00716F6A" w:rsidP="00A920EC">
            <w:pPr>
              <w:spacing w:before="60" w:after="60"/>
              <w:jc w:val="left"/>
              <w:rPr>
                <w:sz w:val="20"/>
                <w:szCs w:val="20"/>
              </w:rPr>
            </w:pPr>
            <w:r w:rsidRPr="00EC02CA">
              <w:rPr>
                <w:sz w:val="20"/>
                <w:szCs w:val="20"/>
              </w:rPr>
              <w:t>Possessing, controlling, producing, supplying or obtaining  child abuse material using a carriage service (s 474.23)</w:t>
            </w:r>
          </w:p>
          <w:p w14:paraId="74E0C5AB" w14:textId="1F90DB33" w:rsidR="00716F6A" w:rsidRPr="00EC02CA" w:rsidRDefault="00716F6A" w:rsidP="00A920EC">
            <w:pPr>
              <w:spacing w:before="60" w:after="60"/>
              <w:jc w:val="left"/>
              <w:rPr>
                <w:sz w:val="20"/>
                <w:szCs w:val="20"/>
              </w:rPr>
            </w:pPr>
            <w:r w:rsidRPr="00EC02CA">
              <w:rPr>
                <w:sz w:val="20"/>
                <w:szCs w:val="20"/>
              </w:rPr>
              <w:t>Maximum penalty: 15 years</w:t>
            </w:r>
            <w:r w:rsidR="00A46B49" w:rsidRPr="00EC02CA">
              <w:rPr>
                <w:sz w:val="20"/>
                <w:szCs w:val="20"/>
              </w:rPr>
              <w:t>’</w:t>
            </w:r>
            <w:r w:rsidRPr="00EC02CA">
              <w:rPr>
                <w:sz w:val="20"/>
                <w:szCs w:val="20"/>
              </w:rPr>
              <w:t xml:space="preserve"> imprisonment</w:t>
            </w:r>
          </w:p>
        </w:tc>
        <w:tc>
          <w:tcPr>
            <w:tcW w:w="1984" w:type="dxa"/>
          </w:tcPr>
          <w:p w14:paraId="6E0C355E" w14:textId="5DA3808D"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or appears to under 18)</w:t>
            </w:r>
          </w:p>
        </w:tc>
        <w:tc>
          <w:tcPr>
            <w:tcW w:w="1985" w:type="dxa"/>
          </w:tcPr>
          <w:p w14:paraId="656847EA" w14:textId="77777777" w:rsidR="00716F6A" w:rsidRPr="00EC02CA" w:rsidRDefault="00716F6A" w:rsidP="00A920EC">
            <w:pPr>
              <w:spacing w:before="60" w:after="60"/>
              <w:jc w:val="left"/>
              <w:rPr>
                <w:sz w:val="20"/>
                <w:szCs w:val="20"/>
              </w:rPr>
            </w:pPr>
          </w:p>
        </w:tc>
        <w:tc>
          <w:tcPr>
            <w:tcW w:w="1134" w:type="dxa"/>
          </w:tcPr>
          <w:p w14:paraId="6C9BC415" w14:textId="53753C4B"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r w:rsidR="00716F6A" w:rsidRPr="00EC02CA" w14:paraId="31CAC77C" w14:textId="77777777" w:rsidTr="00A920EC">
        <w:tc>
          <w:tcPr>
            <w:tcW w:w="1985" w:type="dxa"/>
            <w:vMerge/>
          </w:tcPr>
          <w:p w14:paraId="5381207A" w14:textId="77777777" w:rsidR="00716F6A" w:rsidRPr="00EC02CA" w:rsidRDefault="00716F6A" w:rsidP="00A920EC">
            <w:pPr>
              <w:spacing w:before="60" w:after="60"/>
              <w:jc w:val="left"/>
              <w:rPr>
                <w:sz w:val="20"/>
                <w:szCs w:val="20"/>
              </w:rPr>
            </w:pPr>
          </w:p>
        </w:tc>
        <w:tc>
          <w:tcPr>
            <w:tcW w:w="2410" w:type="dxa"/>
          </w:tcPr>
          <w:p w14:paraId="1BC7D75E" w14:textId="77777777" w:rsidR="00716F6A" w:rsidRPr="00EC02CA" w:rsidRDefault="00716F6A" w:rsidP="00A920EC">
            <w:pPr>
              <w:spacing w:before="60" w:after="60"/>
              <w:jc w:val="left"/>
              <w:rPr>
                <w:sz w:val="20"/>
                <w:szCs w:val="20"/>
              </w:rPr>
            </w:pPr>
            <w:r w:rsidRPr="00EC02CA">
              <w:rPr>
                <w:sz w:val="20"/>
                <w:szCs w:val="20"/>
              </w:rPr>
              <w:t>Conduct  using a carriage service for purposes of electronic service used for child abuse material (s 474.23A)</w:t>
            </w:r>
          </w:p>
          <w:p w14:paraId="5C9DEBF7" w14:textId="4832970D" w:rsidR="00716F6A" w:rsidRPr="00EC02CA" w:rsidRDefault="00716F6A" w:rsidP="00A920EC">
            <w:pPr>
              <w:spacing w:before="60" w:after="60"/>
              <w:jc w:val="left"/>
              <w:rPr>
                <w:sz w:val="20"/>
                <w:szCs w:val="20"/>
              </w:rPr>
            </w:pPr>
            <w:r w:rsidRPr="00EC02CA">
              <w:rPr>
                <w:sz w:val="20"/>
                <w:szCs w:val="20"/>
              </w:rPr>
              <w:t>Maximum penalty: 20 years</w:t>
            </w:r>
            <w:r w:rsidR="00A46B49" w:rsidRPr="00EC02CA">
              <w:rPr>
                <w:sz w:val="20"/>
                <w:szCs w:val="20"/>
              </w:rPr>
              <w:t>’</w:t>
            </w:r>
            <w:r w:rsidRPr="00EC02CA">
              <w:rPr>
                <w:sz w:val="20"/>
                <w:szCs w:val="20"/>
              </w:rPr>
              <w:t xml:space="preserve"> imprisonment</w:t>
            </w:r>
          </w:p>
        </w:tc>
        <w:tc>
          <w:tcPr>
            <w:tcW w:w="1984" w:type="dxa"/>
          </w:tcPr>
          <w:p w14:paraId="31725320" w14:textId="6487766A" w:rsidR="00716F6A" w:rsidRPr="00EC02CA" w:rsidRDefault="00D37D3B" w:rsidP="00A920EC">
            <w:pPr>
              <w:spacing w:before="60" w:after="60"/>
              <w:jc w:val="left"/>
              <w:rPr>
                <w:sz w:val="20"/>
                <w:szCs w:val="20"/>
              </w:rPr>
            </w:pPr>
            <w:r w:rsidRPr="00EC02CA">
              <w:rPr>
                <w:sz w:val="20"/>
                <w:szCs w:val="20"/>
              </w:rPr>
              <w:t>Y</w:t>
            </w:r>
            <w:r w:rsidR="00716F6A" w:rsidRPr="00EC02CA">
              <w:rPr>
                <w:sz w:val="20"/>
                <w:szCs w:val="20"/>
              </w:rPr>
              <w:t>es (only applies if C is or appears to under 18)</w:t>
            </w:r>
          </w:p>
        </w:tc>
        <w:tc>
          <w:tcPr>
            <w:tcW w:w="1985" w:type="dxa"/>
          </w:tcPr>
          <w:p w14:paraId="09EBB7CA" w14:textId="77777777" w:rsidR="00716F6A" w:rsidRPr="00EC02CA" w:rsidRDefault="00716F6A" w:rsidP="00A920EC">
            <w:pPr>
              <w:spacing w:before="60" w:after="60"/>
              <w:jc w:val="left"/>
              <w:rPr>
                <w:sz w:val="20"/>
                <w:szCs w:val="20"/>
              </w:rPr>
            </w:pPr>
          </w:p>
        </w:tc>
        <w:tc>
          <w:tcPr>
            <w:tcW w:w="1134" w:type="dxa"/>
          </w:tcPr>
          <w:p w14:paraId="32F66699" w14:textId="4B12B646" w:rsidR="00716F6A" w:rsidRPr="00EC02CA" w:rsidRDefault="00716F6A" w:rsidP="00A920EC">
            <w:pPr>
              <w:spacing w:before="60" w:after="60"/>
              <w:jc w:val="left"/>
              <w:rPr>
                <w:sz w:val="20"/>
                <w:szCs w:val="20"/>
              </w:rPr>
            </w:pPr>
            <w:r w:rsidRPr="00EC02CA">
              <w:rPr>
                <w:sz w:val="20"/>
                <w:szCs w:val="20"/>
              </w:rPr>
              <w:t>N</w:t>
            </w:r>
            <w:r w:rsidR="00D37D3B" w:rsidRPr="00EC02CA">
              <w:rPr>
                <w:sz w:val="20"/>
                <w:szCs w:val="20"/>
              </w:rPr>
              <w:t>o</w:t>
            </w:r>
          </w:p>
        </w:tc>
      </w:tr>
    </w:tbl>
    <w:p w14:paraId="369E054B" w14:textId="77777777" w:rsidR="003B4ABF" w:rsidRPr="00EC02CA" w:rsidRDefault="003B4ABF"/>
    <w:p w14:paraId="246D8BB6" w14:textId="77777777" w:rsidR="00BB11A6" w:rsidRPr="00EC02CA" w:rsidRDefault="00BB11A6" w:rsidP="001C09C6">
      <w:pPr>
        <w:sectPr w:rsidR="00BB11A6" w:rsidRPr="00EC02CA" w:rsidSect="0037247A">
          <w:headerReference w:type="even" r:id="rId53"/>
          <w:headerReference w:type="default" r:id="rId54"/>
          <w:pgSz w:w="11906" w:h="16838"/>
          <w:pgMar w:top="1440" w:right="1440" w:bottom="1440" w:left="1440" w:header="708" w:footer="708" w:gutter="0"/>
          <w:cols w:space="708"/>
          <w:docGrid w:linePitch="360"/>
        </w:sectPr>
      </w:pPr>
    </w:p>
    <w:p w14:paraId="08EB03FC" w14:textId="126D9DD5" w:rsidR="003B4ABF" w:rsidRPr="00EC02CA" w:rsidRDefault="00BB11A6" w:rsidP="00BB11A6">
      <w:pPr>
        <w:pStyle w:val="ExecSummaryandAppendixHeading"/>
      </w:pPr>
      <w:bookmarkStart w:id="487" w:name="_Toc218157379"/>
      <w:bookmarkStart w:id="488" w:name="_Toc211849474"/>
      <w:r w:rsidRPr="00EC02CA">
        <w:t xml:space="preserve">Appendix </w:t>
      </w:r>
      <w:r w:rsidR="005528F3" w:rsidRPr="00EC02CA">
        <w:t>C</w:t>
      </w:r>
      <w:r w:rsidRPr="00EC02CA">
        <w:t>: Prescribed offences</w:t>
      </w:r>
      <w:r w:rsidR="002B67A5" w:rsidRPr="00EC02CA">
        <w:t xml:space="preserve"> –</w:t>
      </w:r>
      <w:r w:rsidRPr="00EC02CA">
        <w:t xml:space="preserve"> </w:t>
      </w:r>
      <w:r w:rsidRPr="00EC02CA">
        <w:rPr>
          <w:i/>
          <w:iCs/>
        </w:rPr>
        <w:t>Youth Justice Act 1997 (Tas)</w:t>
      </w:r>
      <w:bookmarkEnd w:id="487"/>
      <w:r w:rsidRPr="00EC02CA">
        <w:t xml:space="preserve"> </w:t>
      </w:r>
      <w:bookmarkEnd w:id="488"/>
    </w:p>
    <w:tbl>
      <w:tblPr>
        <w:tblStyle w:val="TableGrid"/>
        <w:tblW w:w="9356" w:type="dxa"/>
        <w:tblInd w:w="-5" w:type="dxa"/>
        <w:tblLook w:val="04A0" w:firstRow="1" w:lastRow="0" w:firstColumn="1" w:lastColumn="0" w:noHBand="0" w:noVBand="1"/>
      </w:tblPr>
      <w:tblGrid>
        <w:gridCol w:w="993"/>
        <w:gridCol w:w="5386"/>
        <w:gridCol w:w="2977"/>
      </w:tblGrid>
      <w:tr w:rsidR="00681178" w:rsidRPr="00EC02CA" w14:paraId="1BF0E73B" w14:textId="77777777" w:rsidTr="00A920EC">
        <w:tc>
          <w:tcPr>
            <w:tcW w:w="993" w:type="dxa"/>
          </w:tcPr>
          <w:p w14:paraId="65DD1CE5" w14:textId="77777777" w:rsidR="00681178" w:rsidRPr="00EC02CA" w:rsidRDefault="00681178" w:rsidP="00A920EC">
            <w:pPr>
              <w:tabs>
                <w:tab w:val="left" w:pos="851"/>
              </w:tabs>
              <w:spacing w:before="60" w:after="60"/>
              <w:jc w:val="left"/>
              <w:rPr>
                <w:rFonts w:eastAsia="Times" w:cs="Times New Roman"/>
                <w:b/>
                <w:bCs/>
                <w:sz w:val="20"/>
                <w:szCs w:val="20"/>
              </w:rPr>
            </w:pPr>
            <w:r w:rsidRPr="00EC02CA">
              <w:rPr>
                <w:rFonts w:eastAsia="Times" w:cs="Times New Roman"/>
                <w:b/>
                <w:bCs/>
                <w:sz w:val="20"/>
                <w:szCs w:val="20"/>
              </w:rPr>
              <w:t>Age</w:t>
            </w:r>
          </w:p>
        </w:tc>
        <w:tc>
          <w:tcPr>
            <w:tcW w:w="5386" w:type="dxa"/>
          </w:tcPr>
          <w:p w14:paraId="6EAA7320" w14:textId="77777777" w:rsidR="00681178" w:rsidRPr="00EC02CA" w:rsidRDefault="00681178" w:rsidP="00A920EC">
            <w:pPr>
              <w:tabs>
                <w:tab w:val="left" w:pos="851"/>
              </w:tabs>
              <w:spacing w:before="60" w:after="60"/>
              <w:jc w:val="left"/>
              <w:rPr>
                <w:rFonts w:eastAsia="Times" w:cs="Times New Roman"/>
                <w:b/>
                <w:bCs/>
                <w:sz w:val="20"/>
                <w:szCs w:val="20"/>
              </w:rPr>
            </w:pPr>
            <w:r w:rsidRPr="00EC02CA">
              <w:rPr>
                <w:rFonts w:eastAsia="Times" w:cs="Times New Roman"/>
                <w:b/>
                <w:bCs/>
                <w:sz w:val="20"/>
                <w:szCs w:val="20"/>
              </w:rPr>
              <w:t>Offences</w:t>
            </w:r>
          </w:p>
        </w:tc>
        <w:tc>
          <w:tcPr>
            <w:tcW w:w="2977" w:type="dxa"/>
          </w:tcPr>
          <w:p w14:paraId="1C0F8F15" w14:textId="77777777" w:rsidR="00681178" w:rsidRPr="00EC02CA" w:rsidRDefault="00681178" w:rsidP="00A920EC">
            <w:pPr>
              <w:tabs>
                <w:tab w:val="left" w:pos="851"/>
              </w:tabs>
              <w:spacing w:before="60" w:after="60"/>
              <w:jc w:val="left"/>
              <w:rPr>
                <w:rFonts w:eastAsia="Times" w:cs="Times New Roman"/>
                <w:b/>
                <w:bCs/>
                <w:sz w:val="20"/>
                <w:szCs w:val="20"/>
              </w:rPr>
            </w:pPr>
            <w:r w:rsidRPr="00EC02CA">
              <w:rPr>
                <w:rFonts w:eastAsia="Times" w:cs="Times New Roman"/>
                <w:b/>
                <w:bCs/>
                <w:sz w:val="20"/>
                <w:szCs w:val="20"/>
              </w:rPr>
              <w:t>Indictable or summary offence</w:t>
            </w:r>
          </w:p>
        </w:tc>
      </w:tr>
      <w:tr w:rsidR="00681178" w:rsidRPr="00EC02CA" w14:paraId="4A5A5951" w14:textId="77777777" w:rsidTr="00A920EC">
        <w:tc>
          <w:tcPr>
            <w:tcW w:w="993" w:type="dxa"/>
            <w:vMerge w:val="restart"/>
          </w:tcPr>
          <w:p w14:paraId="03E38AAB" w14:textId="7572D823"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10</w:t>
            </w:r>
            <w:r w:rsidR="00D019AA" w:rsidRPr="00EC02CA">
              <w:rPr>
                <w:rFonts w:eastAsia="Times" w:cs="Times New Roman"/>
                <w:sz w:val="20"/>
                <w:szCs w:val="20"/>
              </w:rPr>
              <w:t>–</w:t>
            </w:r>
            <w:r w:rsidRPr="00EC02CA">
              <w:rPr>
                <w:rFonts w:eastAsia="Times" w:cs="Times New Roman"/>
                <w:sz w:val="20"/>
                <w:szCs w:val="20"/>
              </w:rPr>
              <w:t>13</w:t>
            </w:r>
          </w:p>
        </w:tc>
        <w:tc>
          <w:tcPr>
            <w:tcW w:w="5386" w:type="dxa"/>
          </w:tcPr>
          <w:p w14:paraId="4B4B797E"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Murder</w:t>
            </w:r>
          </w:p>
        </w:tc>
        <w:tc>
          <w:tcPr>
            <w:tcW w:w="2977" w:type="dxa"/>
          </w:tcPr>
          <w:p w14:paraId="2980B988"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5A71DC38" w14:textId="77777777" w:rsidTr="00A920EC">
        <w:tc>
          <w:tcPr>
            <w:tcW w:w="993" w:type="dxa"/>
            <w:vMerge/>
          </w:tcPr>
          <w:p w14:paraId="07215A23"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258B9ECC"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Attempted murder</w:t>
            </w:r>
          </w:p>
        </w:tc>
        <w:tc>
          <w:tcPr>
            <w:tcW w:w="2977" w:type="dxa"/>
          </w:tcPr>
          <w:p w14:paraId="7857C6C8"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0AC9261E" w14:textId="77777777" w:rsidTr="00A920EC">
        <w:tc>
          <w:tcPr>
            <w:tcW w:w="993" w:type="dxa"/>
            <w:vMerge/>
          </w:tcPr>
          <w:p w14:paraId="5D1A2A08"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4FCB5F01"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Manslaughter</w:t>
            </w:r>
          </w:p>
        </w:tc>
        <w:tc>
          <w:tcPr>
            <w:tcW w:w="2977" w:type="dxa"/>
          </w:tcPr>
          <w:p w14:paraId="48088AFF"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187ACA6B" w14:textId="77777777" w:rsidTr="00A920EC">
        <w:tc>
          <w:tcPr>
            <w:tcW w:w="993" w:type="dxa"/>
            <w:vMerge/>
          </w:tcPr>
          <w:p w14:paraId="61C7F954"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4FB500B4"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Attempted murder</w:t>
            </w:r>
          </w:p>
        </w:tc>
        <w:tc>
          <w:tcPr>
            <w:tcW w:w="2977" w:type="dxa"/>
          </w:tcPr>
          <w:p w14:paraId="6DE8D686"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1E4CF6EB" w14:textId="77777777" w:rsidTr="00A920EC">
        <w:tc>
          <w:tcPr>
            <w:tcW w:w="993" w:type="dxa"/>
            <w:vMerge w:val="restart"/>
          </w:tcPr>
          <w:p w14:paraId="39B4288A" w14:textId="51DAAE00"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14</w:t>
            </w:r>
            <w:r w:rsidR="00D019AA" w:rsidRPr="00EC02CA">
              <w:rPr>
                <w:rFonts w:eastAsia="Times" w:cs="Times New Roman"/>
                <w:sz w:val="20"/>
                <w:szCs w:val="20"/>
              </w:rPr>
              <w:t>–</w:t>
            </w:r>
            <w:r w:rsidRPr="00EC02CA">
              <w:rPr>
                <w:rFonts w:eastAsia="Times" w:cs="Times New Roman"/>
                <w:sz w:val="20"/>
                <w:szCs w:val="20"/>
              </w:rPr>
              <w:t>16</w:t>
            </w:r>
          </w:p>
        </w:tc>
        <w:tc>
          <w:tcPr>
            <w:tcW w:w="5386" w:type="dxa"/>
          </w:tcPr>
          <w:p w14:paraId="4F83FC6A"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Murder</w:t>
            </w:r>
          </w:p>
        </w:tc>
        <w:tc>
          <w:tcPr>
            <w:tcW w:w="2977" w:type="dxa"/>
          </w:tcPr>
          <w:p w14:paraId="157756E3"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78E7FF3F" w14:textId="77777777" w:rsidTr="00A920EC">
        <w:tc>
          <w:tcPr>
            <w:tcW w:w="993" w:type="dxa"/>
            <w:vMerge/>
          </w:tcPr>
          <w:p w14:paraId="09A94E8C"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3F36F4AD"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Manslaughter</w:t>
            </w:r>
          </w:p>
        </w:tc>
        <w:tc>
          <w:tcPr>
            <w:tcW w:w="2977" w:type="dxa"/>
          </w:tcPr>
          <w:p w14:paraId="3A5563F2"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46BEBE20" w14:textId="77777777" w:rsidTr="00A920EC">
        <w:tc>
          <w:tcPr>
            <w:tcW w:w="993" w:type="dxa"/>
            <w:vMerge/>
          </w:tcPr>
          <w:p w14:paraId="773806E6"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3B6D9EDD"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Attempted murder</w:t>
            </w:r>
          </w:p>
        </w:tc>
        <w:tc>
          <w:tcPr>
            <w:tcW w:w="2977" w:type="dxa"/>
          </w:tcPr>
          <w:p w14:paraId="7774611E"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5989AD4B" w14:textId="77777777" w:rsidTr="00A920EC">
        <w:tc>
          <w:tcPr>
            <w:tcW w:w="993" w:type="dxa"/>
            <w:vMerge/>
          </w:tcPr>
          <w:p w14:paraId="1E909FC7"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2D4E5A14"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Aggravated sexual assault</w:t>
            </w:r>
          </w:p>
        </w:tc>
        <w:tc>
          <w:tcPr>
            <w:tcW w:w="2977" w:type="dxa"/>
          </w:tcPr>
          <w:p w14:paraId="31E2815D"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0DAA972B" w14:textId="77777777" w:rsidTr="00A920EC">
        <w:tc>
          <w:tcPr>
            <w:tcW w:w="993" w:type="dxa"/>
            <w:vMerge/>
          </w:tcPr>
          <w:p w14:paraId="11C9EE4A"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0AC750C5"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Rape</w:t>
            </w:r>
          </w:p>
        </w:tc>
        <w:tc>
          <w:tcPr>
            <w:tcW w:w="2977" w:type="dxa"/>
          </w:tcPr>
          <w:p w14:paraId="1B725EC6"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281F730F" w14:textId="77777777" w:rsidTr="00A920EC">
        <w:tc>
          <w:tcPr>
            <w:tcW w:w="993" w:type="dxa"/>
            <w:vMerge/>
          </w:tcPr>
          <w:p w14:paraId="6475F9CD"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1CFD1B9F"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Persistent sexual abuse of a child or young person</w:t>
            </w:r>
          </w:p>
        </w:tc>
        <w:tc>
          <w:tcPr>
            <w:tcW w:w="2977" w:type="dxa"/>
          </w:tcPr>
          <w:p w14:paraId="351956B0"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6E0128EA" w14:textId="77777777" w:rsidTr="00A920EC">
        <w:tc>
          <w:tcPr>
            <w:tcW w:w="993" w:type="dxa"/>
            <w:vMerge/>
          </w:tcPr>
          <w:p w14:paraId="598DC71C"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2F1C7402"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Armed robbery</w:t>
            </w:r>
          </w:p>
        </w:tc>
        <w:tc>
          <w:tcPr>
            <w:tcW w:w="2977" w:type="dxa"/>
          </w:tcPr>
          <w:p w14:paraId="719B4DB6"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637DDD34" w14:textId="77777777" w:rsidTr="00A920EC">
        <w:tc>
          <w:tcPr>
            <w:tcW w:w="993" w:type="dxa"/>
            <w:vMerge/>
          </w:tcPr>
          <w:p w14:paraId="3D8B8521"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2C7F2106"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Aggravated armed robbery</w:t>
            </w:r>
          </w:p>
        </w:tc>
        <w:tc>
          <w:tcPr>
            <w:tcW w:w="2977" w:type="dxa"/>
          </w:tcPr>
          <w:p w14:paraId="2422BB72"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225A018C" w14:textId="77777777" w:rsidTr="00A920EC">
        <w:tc>
          <w:tcPr>
            <w:tcW w:w="993" w:type="dxa"/>
            <w:vMerge/>
          </w:tcPr>
          <w:p w14:paraId="6E9BF718"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70634070"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Being found prepared for a commission of a crime armed with a dangerous or offensive weapon or instrument</w:t>
            </w:r>
          </w:p>
        </w:tc>
        <w:tc>
          <w:tcPr>
            <w:tcW w:w="2977" w:type="dxa"/>
          </w:tcPr>
          <w:p w14:paraId="2AABF81C"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5148CC47" w14:textId="77777777" w:rsidTr="00A920EC">
        <w:tc>
          <w:tcPr>
            <w:tcW w:w="993" w:type="dxa"/>
            <w:vMerge/>
          </w:tcPr>
          <w:p w14:paraId="71FA1440"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21E7C487"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Evade police</w:t>
            </w:r>
          </w:p>
        </w:tc>
        <w:tc>
          <w:tcPr>
            <w:tcW w:w="2977" w:type="dxa"/>
          </w:tcPr>
          <w:p w14:paraId="536B2A76"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Summary (Magistrates Court)</w:t>
            </w:r>
          </w:p>
        </w:tc>
      </w:tr>
      <w:tr w:rsidR="00681178" w:rsidRPr="00EC02CA" w14:paraId="7AA809F4" w14:textId="77777777" w:rsidTr="00A920EC">
        <w:tc>
          <w:tcPr>
            <w:tcW w:w="993" w:type="dxa"/>
            <w:vMerge w:val="restart"/>
          </w:tcPr>
          <w:p w14:paraId="70D1B0B5"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17</w:t>
            </w:r>
          </w:p>
        </w:tc>
        <w:tc>
          <w:tcPr>
            <w:tcW w:w="5386" w:type="dxa"/>
          </w:tcPr>
          <w:p w14:paraId="377505B1"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Murder</w:t>
            </w:r>
          </w:p>
        </w:tc>
        <w:tc>
          <w:tcPr>
            <w:tcW w:w="2977" w:type="dxa"/>
          </w:tcPr>
          <w:p w14:paraId="1F682D8C"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5A79C1B7" w14:textId="77777777" w:rsidTr="00A920EC">
        <w:tc>
          <w:tcPr>
            <w:tcW w:w="993" w:type="dxa"/>
            <w:vMerge/>
          </w:tcPr>
          <w:p w14:paraId="1B92DB64"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6BF747A5"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Manslaughter</w:t>
            </w:r>
          </w:p>
        </w:tc>
        <w:tc>
          <w:tcPr>
            <w:tcW w:w="2977" w:type="dxa"/>
          </w:tcPr>
          <w:p w14:paraId="08846740"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1E961C97" w14:textId="77777777" w:rsidTr="00A920EC">
        <w:tc>
          <w:tcPr>
            <w:tcW w:w="993" w:type="dxa"/>
            <w:vMerge/>
          </w:tcPr>
          <w:p w14:paraId="0C095D8E"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5E56BC6B"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Attempted murder</w:t>
            </w:r>
          </w:p>
        </w:tc>
        <w:tc>
          <w:tcPr>
            <w:tcW w:w="2977" w:type="dxa"/>
          </w:tcPr>
          <w:p w14:paraId="408738AD"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73A77DFF" w14:textId="77777777" w:rsidTr="00A920EC">
        <w:tc>
          <w:tcPr>
            <w:tcW w:w="993" w:type="dxa"/>
            <w:vMerge/>
          </w:tcPr>
          <w:p w14:paraId="7FD39B3A"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73F7001F"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Aggravated sexual assault</w:t>
            </w:r>
          </w:p>
        </w:tc>
        <w:tc>
          <w:tcPr>
            <w:tcW w:w="2977" w:type="dxa"/>
          </w:tcPr>
          <w:p w14:paraId="65CC8F6F"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746968EA" w14:textId="77777777" w:rsidTr="00A920EC">
        <w:tc>
          <w:tcPr>
            <w:tcW w:w="993" w:type="dxa"/>
            <w:vMerge/>
          </w:tcPr>
          <w:p w14:paraId="7B999652"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4E28BD33"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Rape</w:t>
            </w:r>
          </w:p>
        </w:tc>
        <w:tc>
          <w:tcPr>
            <w:tcW w:w="2977" w:type="dxa"/>
          </w:tcPr>
          <w:p w14:paraId="0BEF3FA6"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3A43869B" w14:textId="77777777" w:rsidTr="00A920EC">
        <w:tc>
          <w:tcPr>
            <w:tcW w:w="993" w:type="dxa"/>
            <w:vMerge/>
          </w:tcPr>
          <w:p w14:paraId="0AEAE042"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6FA9F234"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Persistent sexual abuse of a child or young person</w:t>
            </w:r>
          </w:p>
        </w:tc>
        <w:tc>
          <w:tcPr>
            <w:tcW w:w="2977" w:type="dxa"/>
          </w:tcPr>
          <w:p w14:paraId="65BDB7DD"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0411E7C4" w14:textId="77777777" w:rsidTr="00A920EC">
        <w:tc>
          <w:tcPr>
            <w:tcW w:w="993" w:type="dxa"/>
            <w:vMerge/>
          </w:tcPr>
          <w:p w14:paraId="4B8FC2AC"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652C1C92"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Armed robbery</w:t>
            </w:r>
          </w:p>
        </w:tc>
        <w:tc>
          <w:tcPr>
            <w:tcW w:w="2977" w:type="dxa"/>
          </w:tcPr>
          <w:p w14:paraId="6850EFF1"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20128EFD" w14:textId="77777777" w:rsidTr="00A920EC">
        <w:tc>
          <w:tcPr>
            <w:tcW w:w="993" w:type="dxa"/>
            <w:vMerge/>
          </w:tcPr>
          <w:p w14:paraId="3DF4FD4E"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7AA66E87"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Aggravated armed robbery</w:t>
            </w:r>
          </w:p>
        </w:tc>
        <w:tc>
          <w:tcPr>
            <w:tcW w:w="2977" w:type="dxa"/>
          </w:tcPr>
          <w:p w14:paraId="5DEB1F09"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Indictable (Supreme Court)</w:t>
            </w:r>
          </w:p>
        </w:tc>
      </w:tr>
      <w:tr w:rsidR="00681178" w:rsidRPr="00EC02CA" w14:paraId="68491A29" w14:textId="77777777" w:rsidTr="00A920EC">
        <w:tc>
          <w:tcPr>
            <w:tcW w:w="993" w:type="dxa"/>
            <w:vMerge/>
          </w:tcPr>
          <w:p w14:paraId="030436E9"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53BB488F"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Being found prepared for a commission of a crime armed with a dangerous or offensive weapon or instrument</w:t>
            </w:r>
          </w:p>
        </w:tc>
        <w:tc>
          <w:tcPr>
            <w:tcW w:w="2977" w:type="dxa"/>
          </w:tcPr>
          <w:p w14:paraId="47036511" w14:textId="0D921E10"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Summary (Magistrates Court)</w:t>
            </w:r>
          </w:p>
        </w:tc>
      </w:tr>
      <w:tr w:rsidR="00681178" w:rsidRPr="00EC02CA" w14:paraId="05260A77" w14:textId="77777777" w:rsidTr="00A920EC">
        <w:tc>
          <w:tcPr>
            <w:tcW w:w="993" w:type="dxa"/>
            <w:vMerge/>
          </w:tcPr>
          <w:p w14:paraId="577D80B1"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04BEF26D"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Evade police</w:t>
            </w:r>
          </w:p>
        </w:tc>
        <w:tc>
          <w:tcPr>
            <w:tcW w:w="2977" w:type="dxa"/>
          </w:tcPr>
          <w:p w14:paraId="2C66F732"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Summary (Magistrates Court)</w:t>
            </w:r>
          </w:p>
        </w:tc>
      </w:tr>
      <w:tr w:rsidR="00681178" w:rsidRPr="00EC02CA" w14:paraId="2B0F5173" w14:textId="77777777" w:rsidTr="00A920EC">
        <w:tc>
          <w:tcPr>
            <w:tcW w:w="993" w:type="dxa"/>
            <w:vMerge/>
          </w:tcPr>
          <w:p w14:paraId="1F6C2DC8"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14250E20"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Excessive noise or smoke from vehicles and racing a vehicle</w:t>
            </w:r>
          </w:p>
        </w:tc>
        <w:tc>
          <w:tcPr>
            <w:tcW w:w="2977" w:type="dxa"/>
          </w:tcPr>
          <w:p w14:paraId="6C9BAB80"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Summary (Magistrates Court)</w:t>
            </w:r>
          </w:p>
        </w:tc>
      </w:tr>
      <w:tr w:rsidR="00681178" w:rsidRPr="00EC02CA" w14:paraId="2F4C8B61" w14:textId="77777777" w:rsidTr="00A920EC">
        <w:tc>
          <w:tcPr>
            <w:tcW w:w="993" w:type="dxa"/>
            <w:vMerge/>
          </w:tcPr>
          <w:p w14:paraId="05B47DAD" w14:textId="77777777" w:rsidR="00681178" w:rsidRPr="00EC02CA" w:rsidRDefault="00681178" w:rsidP="00A920EC">
            <w:pPr>
              <w:tabs>
                <w:tab w:val="left" w:pos="851"/>
              </w:tabs>
              <w:spacing w:before="60" w:after="60"/>
              <w:jc w:val="left"/>
              <w:rPr>
                <w:rFonts w:eastAsia="Times" w:cs="Times New Roman"/>
                <w:sz w:val="20"/>
                <w:szCs w:val="20"/>
              </w:rPr>
            </w:pPr>
          </w:p>
        </w:tc>
        <w:tc>
          <w:tcPr>
            <w:tcW w:w="5386" w:type="dxa"/>
          </w:tcPr>
          <w:p w14:paraId="7846019A" w14:textId="795007B3"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 xml:space="preserve">Drink driving, drug driving, offences under the </w:t>
            </w:r>
            <w:r w:rsidRPr="00EC02CA">
              <w:rPr>
                <w:rFonts w:eastAsia="Times" w:cs="Times New Roman"/>
                <w:i/>
                <w:iCs/>
                <w:sz w:val="20"/>
                <w:szCs w:val="20"/>
              </w:rPr>
              <w:t>Traffic Act 1925</w:t>
            </w:r>
            <w:r w:rsidRPr="00EC02CA">
              <w:rPr>
                <w:rFonts w:eastAsia="Times" w:cs="Times New Roman"/>
                <w:sz w:val="20"/>
                <w:szCs w:val="20"/>
              </w:rPr>
              <w:t xml:space="preserve"> </w:t>
            </w:r>
            <w:r w:rsidR="0074719C" w:rsidRPr="00EC02CA">
              <w:rPr>
                <w:rFonts w:eastAsia="Times" w:cs="Times New Roman"/>
                <w:sz w:val="20"/>
                <w:szCs w:val="20"/>
              </w:rPr>
              <w:t xml:space="preserve">(Tas) </w:t>
            </w:r>
            <w:r w:rsidRPr="00EC02CA">
              <w:rPr>
                <w:rFonts w:eastAsia="Times" w:cs="Times New Roman"/>
                <w:sz w:val="20"/>
                <w:szCs w:val="20"/>
              </w:rPr>
              <w:t xml:space="preserve">(negligent driving causing death or serious injury, reckless driving) offences under the </w:t>
            </w:r>
            <w:r w:rsidRPr="00EC02CA">
              <w:rPr>
                <w:rFonts w:eastAsia="Times" w:cs="Times New Roman"/>
                <w:i/>
                <w:iCs/>
                <w:sz w:val="20"/>
                <w:szCs w:val="20"/>
              </w:rPr>
              <w:t>Vehicle and Traffic Act 1999</w:t>
            </w:r>
            <w:r w:rsidRPr="00EC02CA">
              <w:rPr>
                <w:rFonts w:eastAsia="Times" w:cs="Times New Roman"/>
                <w:sz w:val="20"/>
                <w:szCs w:val="20"/>
              </w:rPr>
              <w:t xml:space="preserve"> (Tas)</w:t>
            </w:r>
            <w:r w:rsidR="0074719C" w:rsidRPr="00EC02CA">
              <w:rPr>
                <w:rFonts w:eastAsia="Times" w:cs="Times New Roman"/>
                <w:sz w:val="20"/>
                <w:szCs w:val="20"/>
              </w:rPr>
              <w:t xml:space="preserve"> </w:t>
            </w:r>
            <w:r w:rsidRPr="00EC02CA">
              <w:rPr>
                <w:rFonts w:eastAsia="Times" w:cs="Times New Roman"/>
                <w:sz w:val="20"/>
                <w:szCs w:val="20"/>
              </w:rPr>
              <w:t>(this includes driving without a licence, driving while disqualified, excessive speeding) unless these offences are to be determined in conjunction with an offence that is not a prescribed offence</w:t>
            </w:r>
          </w:p>
        </w:tc>
        <w:tc>
          <w:tcPr>
            <w:tcW w:w="2977" w:type="dxa"/>
          </w:tcPr>
          <w:p w14:paraId="30B87425" w14:textId="77777777" w:rsidR="00681178" w:rsidRPr="00EC02CA" w:rsidRDefault="00681178" w:rsidP="00A920EC">
            <w:pPr>
              <w:tabs>
                <w:tab w:val="left" w:pos="851"/>
              </w:tabs>
              <w:spacing w:before="60" w:after="60"/>
              <w:jc w:val="left"/>
              <w:rPr>
                <w:rFonts w:eastAsia="Times" w:cs="Times New Roman"/>
                <w:sz w:val="20"/>
                <w:szCs w:val="20"/>
              </w:rPr>
            </w:pPr>
            <w:r w:rsidRPr="00EC02CA">
              <w:rPr>
                <w:rFonts w:eastAsia="Times" w:cs="Times New Roman"/>
                <w:sz w:val="20"/>
                <w:szCs w:val="20"/>
              </w:rPr>
              <w:t>Summary (Magistrates Court)</w:t>
            </w:r>
          </w:p>
        </w:tc>
      </w:tr>
    </w:tbl>
    <w:p w14:paraId="673DCC82" w14:textId="556110CB" w:rsidR="00BB11A6" w:rsidRPr="00EC02CA" w:rsidRDefault="00BB11A6" w:rsidP="001C09C6">
      <w:pPr>
        <w:sectPr w:rsidR="00BB11A6" w:rsidRPr="00EC02CA" w:rsidSect="0037247A">
          <w:headerReference w:type="default" r:id="rId55"/>
          <w:pgSz w:w="11906" w:h="16838"/>
          <w:pgMar w:top="1440" w:right="1440" w:bottom="1440" w:left="1440" w:header="708" w:footer="708" w:gutter="0"/>
          <w:cols w:space="708"/>
          <w:docGrid w:linePitch="360"/>
        </w:sectPr>
      </w:pPr>
    </w:p>
    <w:p w14:paraId="516AC1C2" w14:textId="2F2A35DD" w:rsidR="009626AC" w:rsidRPr="00EC02CA" w:rsidRDefault="009626AC" w:rsidP="009626AC">
      <w:pPr>
        <w:pStyle w:val="ExecSummaryandAppendixHeading"/>
      </w:pPr>
      <w:bookmarkStart w:id="489" w:name="_Toc211849475"/>
      <w:bookmarkStart w:id="490" w:name="_Toc218157380"/>
      <w:r w:rsidRPr="00EC02CA">
        <w:t xml:space="preserve">Appendix </w:t>
      </w:r>
      <w:r w:rsidR="005528F3" w:rsidRPr="00EC02CA">
        <w:t>D</w:t>
      </w:r>
      <w:r w:rsidRPr="00EC02CA">
        <w:t>: Offences relating to non-consensual sharing of intimate images</w:t>
      </w:r>
      <w:bookmarkEnd w:id="489"/>
      <w:bookmarkEnd w:id="490"/>
    </w:p>
    <w:tbl>
      <w:tblPr>
        <w:tblStyle w:val="TableGrid"/>
        <w:tblW w:w="14170" w:type="dxa"/>
        <w:tblLook w:val="04A0" w:firstRow="1" w:lastRow="0" w:firstColumn="1" w:lastColumn="0" w:noHBand="0" w:noVBand="1"/>
      </w:tblPr>
      <w:tblGrid>
        <w:gridCol w:w="3487"/>
        <w:gridCol w:w="3029"/>
        <w:gridCol w:w="7654"/>
      </w:tblGrid>
      <w:tr w:rsidR="009626AC" w:rsidRPr="00EC02CA" w14:paraId="1A53E895" w14:textId="77777777" w:rsidTr="00A920EC">
        <w:trPr>
          <w:trHeight w:val="394"/>
          <w:tblHeader/>
        </w:trPr>
        <w:tc>
          <w:tcPr>
            <w:tcW w:w="3487" w:type="dxa"/>
          </w:tcPr>
          <w:p w14:paraId="0797FFCE" w14:textId="77777777" w:rsidR="009626AC" w:rsidRPr="00EC02CA" w:rsidRDefault="009626AC" w:rsidP="00A920EC">
            <w:pPr>
              <w:spacing w:before="60" w:after="60"/>
              <w:jc w:val="left"/>
              <w:rPr>
                <w:b/>
                <w:bCs/>
                <w:sz w:val="20"/>
                <w:szCs w:val="20"/>
              </w:rPr>
            </w:pPr>
            <w:r w:rsidRPr="00EC02CA">
              <w:rPr>
                <w:b/>
                <w:bCs/>
                <w:sz w:val="20"/>
                <w:szCs w:val="20"/>
              </w:rPr>
              <w:t xml:space="preserve">Jurisdiction </w:t>
            </w:r>
          </w:p>
        </w:tc>
        <w:tc>
          <w:tcPr>
            <w:tcW w:w="3029" w:type="dxa"/>
          </w:tcPr>
          <w:p w14:paraId="6D3D2A85" w14:textId="77777777" w:rsidR="009626AC" w:rsidRPr="00EC02CA" w:rsidRDefault="009626AC" w:rsidP="00A920EC">
            <w:pPr>
              <w:spacing w:before="60" w:after="60"/>
              <w:jc w:val="left"/>
              <w:rPr>
                <w:b/>
                <w:bCs/>
                <w:sz w:val="20"/>
                <w:szCs w:val="20"/>
              </w:rPr>
            </w:pPr>
            <w:r w:rsidRPr="00EC02CA">
              <w:rPr>
                <w:b/>
                <w:bCs/>
                <w:sz w:val="20"/>
                <w:szCs w:val="20"/>
              </w:rPr>
              <w:t>Summary or indictable</w:t>
            </w:r>
          </w:p>
        </w:tc>
        <w:tc>
          <w:tcPr>
            <w:tcW w:w="7654" w:type="dxa"/>
          </w:tcPr>
          <w:p w14:paraId="5E95225B" w14:textId="77777777" w:rsidR="009626AC" w:rsidRPr="00EC02CA" w:rsidRDefault="009626AC" w:rsidP="00A920EC">
            <w:pPr>
              <w:spacing w:before="60" w:after="60"/>
              <w:jc w:val="left"/>
              <w:rPr>
                <w:b/>
                <w:bCs/>
                <w:sz w:val="20"/>
                <w:szCs w:val="20"/>
              </w:rPr>
            </w:pPr>
            <w:r w:rsidRPr="00EC02CA">
              <w:rPr>
                <w:b/>
                <w:bCs/>
                <w:sz w:val="20"/>
                <w:szCs w:val="20"/>
              </w:rPr>
              <w:t xml:space="preserve">Key aspects </w:t>
            </w:r>
          </w:p>
        </w:tc>
      </w:tr>
      <w:tr w:rsidR="009626AC" w:rsidRPr="00EC02CA" w14:paraId="3FB0D35C" w14:textId="77777777" w:rsidTr="00A920EC">
        <w:tc>
          <w:tcPr>
            <w:tcW w:w="3487" w:type="dxa"/>
          </w:tcPr>
          <w:p w14:paraId="200E68B5" w14:textId="77777777" w:rsidR="009626AC" w:rsidRPr="00EC02CA" w:rsidRDefault="009626AC" w:rsidP="00A920EC">
            <w:pPr>
              <w:spacing w:before="60" w:after="60"/>
              <w:jc w:val="left"/>
              <w:rPr>
                <w:sz w:val="20"/>
                <w:szCs w:val="20"/>
              </w:rPr>
            </w:pPr>
            <w:r w:rsidRPr="00EC02CA">
              <w:rPr>
                <w:sz w:val="20"/>
                <w:szCs w:val="20"/>
              </w:rPr>
              <w:t>Australian Capital Territory (</w:t>
            </w:r>
            <w:r w:rsidRPr="00EC02CA">
              <w:rPr>
                <w:i/>
                <w:iCs/>
                <w:sz w:val="20"/>
                <w:szCs w:val="20"/>
              </w:rPr>
              <w:t xml:space="preserve">Crimes Act 1900 </w:t>
            </w:r>
            <w:r w:rsidRPr="00EC02CA">
              <w:rPr>
                <w:sz w:val="20"/>
                <w:szCs w:val="20"/>
              </w:rPr>
              <w:t>(ACT))</w:t>
            </w:r>
          </w:p>
        </w:tc>
        <w:tc>
          <w:tcPr>
            <w:tcW w:w="3029" w:type="dxa"/>
          </w:tcPr>
          <w:p w14:paraId="63D3B3A8" w14:textId="77777777" w:rsidR="009626AC" w:rsidRPr="00EC02CA" w:rsidRDefault="009626AC" w:rsidP="00A920EC">
            <w:pPr>
              <w:spacing w:before="60" w:after="60"/>
              <w:jc w:val="left"/>
              <w:rPr>
                <w:sz w:val="20"/>
                <w:szCs w:val="20"/>
              </w:rPr>
            </w:pPr>
            <w:r w:rsidRPr="00EC02CA">
              <w:rPr>
                <w:sz w:val="20"/>
                <w:szCs w:val="20"/>
              </w:rPr>
              <w:t>Indictable</w:t>
            </w:r>
          </w:p>
        </w:tc>
        <w:tc>
          <w:tcPr>
            <w:tcW w:w="7654" w:type="dxa"/>
          </w:tcPr>
          <w:p w14:paraId="5643D58E" w14:textId="56697BC0"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of intentionally distributing an intimate image of a young person</w:t>
            </w:r>
            <w:r w:rsidR="0029763C" w:rsidRPr="00EC02CA">
              <w:rPr>
                <w:sz w:val="20"/>
                <w:szCs w:val="20"/>
              </w:rPr>
              <w:t>:</w:t>
            </w:r>
            <w:r w:rsidRPr="00EC02CA">
              <w:rPr>
                <w:sz w:val="20"/>
                <w:szCs w:val="20"/>
              </w:rPr>
              <w:t xml:space="preserve"> </w:t>
            </w:r>
            <w:r w:rsidR="004163FF" w:rsidRPr="00EC02CA">
              <w:rPr>
                <w:sz w:val="20"/>
                <w:szCs w:val="20"/>
              </w:rPr>
              <w:t xml:space="preserve">s </w:t>
            </w:r>
            <w:r w:rsidRPr="00EC02CA">
              <w:rPr>
                <w:sz w:val="20"/>
                <w:szCs w:val="20"/>
              </w:rPr>
              <w:t>72D.</w:t>
            </w:r>
          </w:p>
          <w:p w14:paraId="413D0929" w14:textId="0D9FF798" w:rsidR="009626AC" w:rsidRPr="00EC02CA" w:rsidRDefault="009626AC" w:rsidP="00A920EC">
            <w:pPr>
              <w:pStyle w:val="DotPointTLRI"/>
              <w:numPr>
                <w:ilvl w:val="0"/>
                <w:numId w:val="0"/>
              </w:numPr>
              <w:spacing w:before="60" w:after="60"/>
              <w:jc w:val="left"/>
              <w:rPr>
                <w:sz w:val="20"/>
                <w:szCs w:val="20"/>
              </w:rPr>
            </w:pPr>
            <w:r w:rsidRPr="00EC02CA">
              <w:rPr>
                <w:sz w:val="20"/>
                <w:szCs w:val="20"/>
              </w:rPr>
              <w:t>It is a defence if the person against whom the offence is alleged to have been committed was at least 10 years old and not more than 2 years younger than the defendant and they consented to the distribution</w:t>
            </w:r>
            <w:r w:rsidR="0029763C" w:rsidRPr="00EC02CA">
              <w:rPr>
                <w:sz w:val="20"/>
                <w:szCs w:val="20"/>
              </w:rPr>
              <w:t>:</w:t>
            </w:r>
            <w:r w:rsidRPr="00EC02CA">
              <w:rPr>
                <w:sz w:val="20"/>
                <w:szCs w:val="20"/>
              </w:rPr>
              <w:t xml:space="preserve"> s 72D(2).</w:t>
            </w:r>
          </w:p>
          <w:p w14:paraId="5D953220" w14:textId="5C852AD4" w:rsidR="009626AC" w:rsidRPr="00EC02CA" w:rsidRDefault="009626AC" w:rsidP="00A920EC">
            <w:pPr>
              <w:pStyle w:val="DotPointTLRI"/>
              <w:numPr>
                <w:ilvl w:val="0"/>
                <w:numId w:val="0"/>
              </w:numPr>
              <w:spacing w:before="60" w:after="60"/>
              <w:jc w:val="left"/>
              <w:rPr>
                <w:sz w:val="20"/>
                <w:szCs w:val="20"/>
              </w:rPr>
            </w:pPr>
            <w:r w:rsidRPr="00EC02CA">
              <w:rPr>
                <w:sz w:val="20"/>
                <w:szCs w:val="20"/>
              </w:rPr>
              <w:t>It is an offence to threaten to distribute intimate images</w:t>
            </w:r>
            <w:r w:rsidR="0029763C" w:rsidRPr="00EC02CA">
              <w:rPr>
                <w:sz w:val="20"/>
                <w:szCs w:val="20"/>
              </w:rPr>
              <w:t>:</w:t>
            </w:r>
            <w:r w:rsidRPr="00EC02CA">
              <w:rPr>
                <w:sz w:val="20"/>
                <w:szCs w:val="20"/>
              </w:rPr>
              <w:t xml:space="preserve"> s 72E</w:t>
            </w:r>
            <w:r w:rsidR="00637172" w:rsidRPr="00EC02CA">
              <w:rPr>
                <w:sz w:val="20"/>
                <w:szCs w:val="20"/>
              </w:rPr>
              <w:t>.</w:t>
            </w:r>
          </w:p>
        </w:tc>
      </w:tr>
      <w:tr w:rsidR="009626AC" w:rsidRPr="00EC02CA" w14:paraId="6E352EE8" w14:textId="77777777" w:rsidTr="00A920EC">
        <w:tc>
          <w:tcPr>
            <w:tcW w:w="3487" w:type="dxa"/>
          </w:tcPr>
          <w:p w14:paraId="7DA9532D" w14:textId="21EBFE1B" w:rsidR="009626AC" w:rsidRPr="00EC02CA" w:rsidRDefault="009626AC" w:rsidP="00A920EC">
            <w:pPr>
              <w:spacing w:before="60" w:after="60"/>
              <w:jc w:val="left"/>
              <w:rPr>
                <w:sz w:val="20"/>
                <w:szCs w:val="20"/>
              </w:rPr>
            </w:pPr>
            <w:r w:rsidRPr="00EC02CA">
              <w:rPr>
                <w:sz w:val="20"/>
                <w:szCs w:val="20"/>
              </w:rPr>
              <w:t>Commonwealth (</w:t>
            </w:r>
            <w:r w:rsidRPr="00EC02CA">
              <w:rPr>
                <w:i/>
                <w:iCs/>
                <w:sz w:val="20"/>
                <w:szCs w:val="20"/>
              </w:rPr>
              <w:t xml:space="preserve">Criminal Code 1995 </w:t>
            </w:r>
            <w:r w:rsidRPr="00EC02CA">
              <w:rPr>
                <w:sz w:val="20"/>
                <w:szCs w:val="20"/>
              </w:rPr>
              <w:t>(Cth)</w:t>
            </w:r>
            <w:r w:rsidR="000E190D">
              <w:rPr>
                <w:sz w:val="20"/>
                <w:szCs w:val="20"/>
              </w:rPr>
              <w:t>)</w:t>
            </w:r>
          </w:p>
        </w:tc>
        <w:tc>
          <w:tcPr>
            <w:tcW w:w="3029" w:type="dxa"/>
          </w:tcPr>
          <w:p w14:paraId="63E8CE9F" w14:textId="77777777" w:rsidR="009626AC" w:rsidRPr="00EC02CA" w:rsidRDefault="009626AC" w:rsidP="00A920EC">
            <w:pPr>
              <w:spacing w:before="60" w:after="60"/>
              <w:jc w:val="left"/>
              <w:rPr>
                <w:sz w:val="20"/>
                <w:szCs w:val="20"/>
              </w:rPr>
            </w:pPr>
            <w:r w:rsidRPr="00EC02CA">
              <w:rPr>
                <w:sz w:val="20"/>
                <w:szCs w:val="20"/>
              </w:rPr>
              <w:t>Indictable</w:t>
            </w:r>
          </w:p>
        </w:tc>
        <w:tc>
          <w:tcPr>
            <w:tcW w:w="7654" w:type="dxa"/>
          </w:tcPr>
          <w:p w14:paraId="754B8B8A" w14:textId="2106026A" w:rsidR="009626AC" w:rsidRPr="00EC02CA" w:rsidRDefault="009626AC" w:rsidP="00A920EC">
            <w:pPr>
              <w:pStyle w:val="DotPointTLRI"/>
              <w:numPr>
                <w:ilvl w:val="0"/>
                <w:numId w:val="0"/>
              </w:numPr>
              <w:spacing w:before="60" w:after="60"/>
              <w:jc w:val="left"/>
              <w:rPr>
                <w:sz w:val="20"/>
                <w:szCs w:val="20"/>
              </w:rPr>
            </w:pPr>
            <w:r w:rsidRPr="00EC02CA">
              <w:rPr>
                <w:sz w:val="20"/>
                <w:szCs w:val="20"/>
              </w:rPr>
              <w:t>Offence of using a carriage service to transmit sexual material without consent but does not apply to images of people under 18 s 474.14A(1)</w:t>
            </w:r>
            <w:r w:rsidR="00637172" w:rsidRPr="00EC02CA">
              <w:rPr>
                <w:sz w:val="20"/>
                <w:szCs w:val="20"/>
              </w:rPr>
              <w:t>.</w:t>
            </w:r>
          </w:p>
        </w:tc>
      </w:tr>
      <w:tr w:rsidR="009626AC" w:rsidRPr="00EC02CA" w14:paraId="01786DEF" w14:textId="77777777" w:rsidTr="00A920EC">
        <w:tc>
          <w:tcPr>
            <w:tcW w:w="3487" w:type="dxa"/>
          </w:tcPr>
          <w:p w14:paraId="09556B34" w14:textId="77777777" w:rsidR="009626AC" w:rsidRPr="00EC02CA" w:rsidRDefault="009626AC" w:rsidP="00A920EC">
            <w:pPr>
              <w:spacing w:before="60" w:after="60"/>
              <w:jc w:val="left"/>
              <w:rPr>
                <w:i/>
                <w:iCs/>
                <w:sz w:val="20"/>
                <w:szCs w:val="20"/>
              </w:rPr>
            </w:pPr>
            <w:r w:rsidRPr="00EC02CA">
              <w:rPr>
                <w:sz w:val="20"/>
                <w:szCs w:val="20"/>
              </w:rPr>
              <w:t>New South Wales (</w:t>
            </w:r>
            <w:r w:rsidRPr="00EC02CA">
              <w:rPr>
                <w:i/>
                <w:iCs/>
                <w:sz w:val="20"/>
                <w:szCs w:val="20"/>
              </w:rPr>
              <w:t xml:space="preserve">Crimes Act 1900 </w:t>
            </w:r>
            <w:r w:rsidRPr="00EC02CA">
              <w:rPr>
                <w:sz w:val="20"/>
                <w:szCs w:val="20"/>
              </w:rPr>
              <w:t>(NSW))</w:t>
            </w:r>
          </w:p>
        </w:tc>
        <w:tc>
          <w:tcPr>
            <w:tcW w:w="3029" w:type="dxa"/>
          </w:tcPr>
          <w:p w14:paraId="33C9C269" w14:textId="2CAC88DD" w:rsidR="009626AC" w:rsidRPr="00EC02CA" w:rsidRDefault="009626AC" w:rsidP="00A920EC">
            <w:pPr>
              <w:spacing w:before="60" w:after="60"/>
              <w:jc w:val="left"/>
              <w:rPr>
                <w:sz w:val="20"/>
                <w:szCs w:val="20"/>
              </w:rPr>
            </w:pPr>
            <w:r w:rsidRPr="00EC02CA">
              <w:rPr>
                <w:sz w:val="20"/>
                <w:szCs w:val="20"/>
              </w:rPr>
              <w:t xml:space="preserve">Indictable </w:t>
            </w:r>
            <w:r w:rsidR="005135D8" w:rsidRPr="00EC02CA">
              <w:rPr>
                <w:sz w:val="20"/>
                <w:szCs w:val="20"/>
              </w:rPr>
              <w:t>but can be dealt with summarily</w:t>
            </w:r>
          </w:p>
          <w:p w14:paraId="5E34008C" w14:textId="77777777" w:rsidR="009626AC" w:rsidRPr="00EC02CA" w:rsidRDefault="009626AC" w:rsidP="00A920EC">
            <w:pPr>
              <w:spacing w:before="60" w:after="60"/>
              <w:jc w:val="left"/>
              <w:rPr>
                <w:sz w:val="20"/>
                <w:szCs w:val="20"/>
              </w:rPr>
            </w:pPr>
            <w:r w:rsidRPr="00EC02CA">
              <w:rPr>
                <w:sz w:val="20"/>
                <w:szCs w:val="20"/>
              </w:rPr>
              <w:t>Prosecution must not commence without consent of the DPP if A is under 16 s 91Q(2), 91R(6)</w:t>
            </w:r>
          </w:p>
        </w:tc>
        <w:tc>
          <w:tcPr>
            <w:tcW w:w="7654" w:type="dxa"/>
          </w:tcPr>
          <w:p w14:paraId="0C05E2DD" w14:textId="698E7E03"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of intentionally distributing an intimate image without consent and knowing the person did not consent or being reckless as to consent</w:t>
            </w:r>
            <w:r w:rsidR="0029763C" w:rsidRPr="00EC02CA">
              <w:rPr>
                <w:sz w:val="20"/>
                <w:szCs w:val="20"/>
              </w:rPr>
              <w:t>:</w:t>
            </w:r>
            <w:r w:rsidRPr="00EC02CA">
              <w:rPr>
                <w:sz w:val="20"/>
                <w:szCs w:val="20"/>
              </w:rPr>
              <w:t xml:space="preserve"> s 91Q.</w:t>
            </w:r>
          </w:p>
          <w:p w14:paraId="58DCF041" w14:textId="2F2AD960"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of threatening to distribute intimate image without consent</w:t>
            </w:r>
            <w:r w:rsidR="0029763C" w:rsidRPr="00EC02CA">
              <w:rPr>
                <w:sz w:val="20"/>
                <w:szCs w:val="20"/>
              </w:rPr>
              <w:t>:</w:t>
            </w:r>
            <w:r w:rsidRPr="00EC02CA">
              <w:rPr>
                <w:sz w:val="20"/>
                <w:szCs w:val="20"/>
              </w:rPr>
              <w:t xml:space="preserve"> s</w:t>
            </w:r>
            <w:r w:rsidR="004163FF" w:rsidRPr="00EC02CA">
              <w:rPr>
                <w:sz w:val="20"/>
                <w:szCs w:val="20"/>
              </w:rPr>
              <w:t>s</w:t>
            </w:r>
            <w:r w:rsidRPr="00EC02CA">
              <w:rPr>
                <w:sz w:val="20"/>
                <w:szCs w:val="20"/>
              </w:rPr>
              <w:t xml:space="preserve"> 91R(2), (3), (4).</w:t>
            </w:r>
          </w:p>
          <w:p w14:paraId="2EF9E1C1" w14:textId="743F82D0" w:rsidR="009626AC" w:rsidRPr="00EC02CA" w:rsidRDefault="009626AC" w:rsidP="00A920EC">
            <w:pPr>
              <w:pStyle w:val="DotPointTLRI"/>
              <w:numPr>
                <w:ilvl w:val="0"/>
                <w:numId w:val="0"/>
              </w:numPr>
              <w:spacing w:before="60" w:after="60"/>
              <w:jc w:val="left"/>
              <w:rPr>
                <w:sz w:val="20"/>
                <w:szCs w:val="20"/>
              </w:rPr>
            </w:pPr>
            <w:r w:rsidRPr="00EC02CA">
              <w:rPr>
                <w:sz w:val="20"/>
                <w:szCs w:val="20"/>
              </w:rPr>
              <w:t>A person under the age of 16 cannot consent</w:t>
            </w:r>
            <w:r w:rsidR="0029763C" w:rsidRPr="00EC02CA">
              <w:rPr>
                <w:sz w:val="20"/>
                <w:szCs w:val="20"/>
              </w:rPr>
              <w:t>:</w:t>
            </w:r>
            <w:r w:rsidRPr="00EC02CA">
              <w:rPr>
                <w:sz w:val="20"/>
                <w:szCs w:val="20"/>
              </w:rPr>
              <w:t xml:space="preserve"> s</w:t>
            </w:r>
            <w:r w:rsidR="004163FF" w:rsidRPr="00EC02CA">
              <w:rPr>
                <w:sz w:val="20"/>
                <w:szCs w:val="20"/>
              </w:rPr>
              <w:t xml:space="preserve"> </w:t>
            </w:r>
            <w:r w:rsidRPr="00EC02CA">
              <w:rPr>
                <w:sz w:val="20"/>
                <w:szCs w:val="20"/>
              </w:rPr>
              <w:t xml:space="preserve">910(7). </w:t>
            </w:r>
          </w:p>
          <w:p w14:paraId="4356716B" w14:textId="77777777" w:rsidR="009626AC" w:rsidRPr="00EC02CA" w:rsidRDefault="009626AC" w:rsidP="00A920EC">
            <w:pPr>
              <w:pStyle w:val="DotPointTLRI"/>
              <w:numPr>
                <w:ilvl w:val="0"/>
                <w:numId w:val="0"/>
              </w:numPr>
              <w:spacing w:before="60" w:after="60"/>
              <w:jc w:val="left"/>
              <w:rPr>
                <w:sz w:val="20"/>
                <w:szCs w:val="20"/>
              </w:rPr>
            </w:pPr>
            <w:r w:rsidRPr="00EC02CA">
              <w:rPr>
                <w:sz w:val="20"/>
                <w:szCs w:val="20"/>
              </w:rPr>
              <w:t>There is an exemption where reasonable person would consider the conduct of the accused person acceptable, having regard to each of the following (to the extent relevant)—</w:t>
            </w:r>
          </w:p>
          <w:p w14:paraId="6649FA93" w14:textId="77777777" w:rsidR="009626AC" w:rsidRPr="00EC02CA" w:rsidRDefault="009626AC" w:rsidP="00A920EC">
            <w:pPr>
              <w:pStyle w:val="DotPointTLRI"/>
              <w:numPr>
                <w:ilvl w:val="0"/>
                <w:numId w:val="32"/>
              </w:numPr>
              <w:spacing w:before="60" w:after="60"/>
              <w:ind w:left="890" w:hanging="530"/>
              <w:jc w:val="left"/>
              <w:rPr>
                <w:sz w:val="20"/>
                <w:szCs w:val="20"/>
              </w:rPr>
            </w:pPr>
            <w:r w:rsidRPr="00EC02CA">
              <w:rPr>
                <w:sz w:val="20"/>
                <w:szCs w:val="20"/>
              </w:rPr>
              <w:t>the nature and content of the image,</w:t>
            </w:r>
          </w:p>
          <w:p w14:paraId="3F1EB80A" w14:textId="77777777" w:rsidR="009626AC" w:rsidRPr="00EC02CA" w:rsidRDefault="009626AC" w:rsidP="00A920EC">
            <w:pPr>
              <w:pStyle w:val="DotPointTLRI"/>
              <w:numPr>
                <w:ilvl w:val="0"/>
                <w:numId w:val="32"/>
              </w:numPr>
              <w:spacing w:before="60" w:after="60"/>
              <w:ind w:left="890" w:hanging="530"/>
              <w:jc w:val="left"/>
              <w:rPr>
                <w:sz w:val="20"/>
                <w:szCs w:val="20"/>
              </w:rPr>
            </w:pPr>
            <w:r w:rsidRPr="00EC02CA">
              <w:rPr>
                <w:sz w:val="20"/>
                <w:szCs w:val="20"/>
              </w:rPr>
              <w:t>the circumstances in which the image was recorded or distributed,</w:t>
            </w:r>
          </w:p>
          <w:p w14:paraId="18871AEC" w14:textId="77777777" w:rsidR="009626AC" w:rsidRPr="00EC02CA" w:rsidRDefault="009626AC" w:rsidP="00A920EC">
            <w:pPr>
              <w:pStyle w:val="DotPointTLRI"/>
              <w:numPr>
                <w:ilvl w:val="0"/>
                <w:numId w:val="32"/>
              </w:numPr>
              <w:spacing w:before="60" w:after="60"/>
              <w:ind w:left="890" w:hanging="530"/>
              <w:jc w:val="left"/>
              <w:rPr>
                <w:sz w:val="20"/>
                <w:szCs w:val="20"/>
              </w:rPr>
            </w:pPr>
            <w:r w:rsidRPr="00EC02CA">
              <w:rPr>
                <w:sz w:val="20"/>
                <w:szCs w:val="20"/>
              </w:rPr>
              <w:t>the age, intellectual capacity, vulnerability or other relevant circumstances of the person depicted in the image,</w:t>
            </w:r>
          </w:p>
          <w:p w14:paraId="1220878F" w14:textId="77777777" w:rsidR="009626AC" w:rsidRPr="00EC02CA" w:rsidRDefault="009626AC" w:rsidP="00A920EC">
            <w:pPr>
              <w:pStyle w:val="DotPointTLRI"/>
              <w:numPr>
                <w:ilvl w:val="0"/>
                <w:numId w:val="32"/>
              </w:numPr>
              <w:spacing w:before="60" w:after="60"/>
              <w:ind w:left="890" w:hanging="530"/>
              <w:jc w:val="left"/>
              <w:rPr>
                <w:sz w:val="20"/>
                <w:szCs w:val="20"/>
              </w:rPr>
            </w:pPr>
            <w:r w:rsidRPr="00EC02CA">
              <w:rPr>
                <w:sz w:val="20"/>
                <w:szCs w:val="20"/>
              </w:rPr>
              <w:t>the degree to which the accused person’s actions affect the privacy of the person depicted in the image,</w:t>
            </w:r>
          </w:p>
          <w:p w14:paraId="04FD38CB" w14:textId="438A51D6" w:rsidR="009626AC" w:rsidRPr="00EC02CA" w:rsidRDefault="009626AC" w:rsidP="00A920EC">
            <w:pPr>
              <w:pStyle w:val="DotPointTLRI"/>
              <w:numPr>
                <w:ilvl w:val="0"/>
                <w:numId w:val="32"/>
              </w:numPr>
              <w:spacing w:before="60" w:after="60"/>
              <w:ind w:left="890" w:hanging="530"/>
              <w:jc w:val="left"/>
              <w:rPr>
                <w:sz w:val="20"/>
                <w:szCs w:val="20"/>
              </w:rPr>
            </w:pPr>
            <w:r w:rsidRPr="00EC02CA">
              <w:rPr>
                <w:sz w:val="20"/>
                <w:szCs w:val="20"/>
              </w:rPr>
              <w:t>the relationship between the accused person and the person depicted in the image</w:t>
            </w:r>
            <w:r w:rsidR="0029763C" w:rsidRPr="00EC02CA">
              <w:rPr>
                <w:sz w:val="20"/>
                <w:szCs w:val="20"/>
              </w:rPr>
              <w:t>:</w:t>
            </w:r>
            <w:r w:rsidRPr="00EC02CA">
              <w:rPr>
                <w:sz w:val="20"/>
                <w:szCs w:val="20"/>
              </w:rPr>
              <w:t xml:space="preserve"> s 91T(1)(d).</w:t>
            </w:r>
          </w:p>
        </w:tc>
      </w:tr>
      <w:tr w:rsidR="009626AC" w:rsidRPr="00EC02CA" w14:paraId="6085CDB3" w14:textId="77777777" w:rsidTr="00A920EC">
        <w:tc>
          <w:tcPr>
            <w:tcW w:w="3487" w:type="dxa"/>
          </w:tcPr>
          <w:p w14:paraId="041E276B" w14:textId="6D195746" w:rsidR="009626AC" w:rsidRPr="00EC02CA" w:rsidRDefault="009626AC" w:rsidP="00A920EC">
            <w:pPr>
              <w:spacing w:before="60" w:after="60"/>
              <w:jc w:val="left"/>
              <w:rPr>
                <w:sz w:val="20"/>
                <w:szCs w:val="20"/>
              </w:rPr>
            </w:pPr>
            <w:r w:rsidRPr="00EC02CA">
              <w:rPr>
                <w:sz w:val="20"/>
                <w:szCs w:val="20"/>
              </w:rPr>
              <w:t>Northern Territory (</w:t>
            </w:r>
            <w:r w:rsidRPr="00EC02CA">
              <w:rPr>
                <w:i/>
                <w:iCs/>
                <w:sz w:val="20"/>
                <w:szCs w:val="20"/>
              </w:rPr>
              <w:t xml:space="preserve">Criminal Code 1983 </w:t>
            </w:r>
            <w:r w:rsidRPr="00EC02CA">
              <w:rPr>
                <w:sz w:val="20"/>
                <w:szCs w:val="20"/>
              </w:rPr>
              <w:t>(NT)</w:t>
            </w:r>
            <w:r w:rsidR="000E190D">
              <w:rPr>
                <w:sz w:val="20"/>
                <w:szCs w:val="20"/>
              </w:rPr>
              <w:t>)</w:t>
            </w:r>
          </w:p>
        </w:tc>
        <w:tc>
          <w:tcPr>
            <w:tcW w:w="3029" w:type="dxa"/>
          </w:tcPr>
          <w:p w14:paraId="13DAF331" w14:textId="77777777" w:rsidR="009626AC" w:rsidRPr="00EC02CA" w:rsidRDefault="009626AC" w:rsidP="00A920EC">
            <w:pPr>
              <w:spacing w:before="60" w:after="60"/>
              <w:jc w:val="left"/>
              <w:rPr>
                <w:sz w:val="20"/>
                <w:szCs w:val="20"/>
              </w:rPr>
            </w:pPr>
            <w:r w:rsidRPr="00EC02CA">
              <w:rPr>
                <w:sz w:val="20"/>
                <w:szCs w:val="20"/>
              </w:rPr>
              <w:t>Indictable</w:t>
            </w:r>
          </w:p>
        </w:tc>
        <w:tc>
          <w:tcPr>
            <w:tcW w:w="7654" w:type="dxa"/>
          </w:tcPr>
          <w:p w14:paraId="51B04A11" w14:textId="2126BD35"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to distribute intimate image without consent and person is reckless as to lack of consent</w:t>
            </w:r>
            <w:r w:rsidR="0029763C" w:rsidRPr="00EC02CA">
              <w:rPr>
                <w:sz w:val="20"/>
                <w:szCs w:val="20"/>
              </w:rPr>
              <w:t>:</w:t>
            </w:r>
            <w:r w:rsidRPr="00EC02CA">
              <w:rPr>
                <w:sz w:val="20"/>
                <w:szCs w:val="20"/>
              </w:rPr>
              <w:t xml:space="preserve"> s</w:t>
            </w:r>
            <w:r w:rsidR="004163FF" w:rsidRPr="00EC02CA">
              <w:rPr>
                <w:sz w:val="20"/>
                <w:szCs w:val="20"/>
              </w:rPr>
              <w:t xml:space="preserve"> </w:t>
            </w:r>
            <w:r w:rsidRPr="00EC02CA">
              <w:rPr>
                <w:sz w:val="20"/>
                <w:szCs w:val="20"/>
              </w:rPr>
              <w:t xml:space="preserve">208AB. </w:t>
            </w:r>
          </w:p>
          <w:p w14:paraId="73164FA3" w14:textId="098337D9" w:rsidR="009626AC" w:rsidRPr="00EC02CA" w:rsidRDefault="009626AC" w:rsidP="00A920EC">
            <w:pPr>
              <w:pStyle w:val="DotPointTLRI"/>
              <w:numPr>
                <w:ilvl w:val="0"/>
                <w:numId w:val="0"/>
              </w:numPr>
              <w:spacing w:before="60" w:after="60"/>
              <w:jc w:val="left"/>
              <w:rPr>
                <w:sz w:val="20"/>
                <w:szCs w:val="20"/>
              </w:rPr>
            </w:pPr>
            <w:r w:rsidRPr="00EC02CA">
              <w:rPr>
                <w:sz w:val="20"/>
                <w:szCs w:val="20"/>
              </w:rPr>
              <w:t>A person under the age of 16 is incapable of giving consent</w:t>
            </w:r>
            <w:r w:rsidR="0029763C" w:rsidRPr="00EC02CA">
              <w:rPr>
                <w:sz w:val="20"/>
                <w:szCs w:val="20"/>
              </w:rPr>
              <w:t>:</w:t>
            </w:r>
            <w:r w:rsidRPr="00EC02CA">
              <w:rPr>
                <w:sz w:val="20"/>
                <w:szCs w:val="20"/>
              </w:rPr>
              <w:t xml:space="preserve"> s 208AB (3).</w:t>
            </w:r>
          </w:p>
          <w:p w14:paraId="48F75A6F" w14:textId="69038377"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to threaten to distribute intimate images</w:t>
            </w:r>
            <w:r w:rsidR="0029763C" w:rsidRPr="00EC02CA">
              <w:rPr>
                <w:sz w:val="20"/>
                <w:szCs w:val="20"/>
              </w:rPr>
              <w:t>:</w:t>
            </w:r>
            <w:r w:rsidRPr="00EC02CA">
              <w:rPr>
                <w:sz w:val="20"/>
                <w:szCs w:val="20"/>
              </w:rPr>
              <w:t xml:space="preserve"> s 208AC.</w:t>
            </w:r>
          </w:p>
          <w:p w14:paraId="54551EA7" w14:textId="5DD2C95F" w:rsidR="009626AC" w:rsidRPr="00EC02CA" w:rsidRDefault="009626AC" w:rsidP="00A920EC">
            <w:pPr>
              <w:pStyle w:val="DotPointTLRI"/>
              <w:numPr>
                <w:ilvl w:val="0"/>
                <w:numId w:val="0"/>
              </w:numPr>
              <w:spacing w:before="60" w:after="60"/>
              <w:jc w:val="left"/>
              <w:rPr>
                <w:sz w:val="20"/>
                <w:szCs w:val="20"/>
              </w:rPr>
            </w:pPr>
            <w:r w:rsidRPr="00EC02CA">
              <w:rPr>
                <w:sz w:val="20"/>
                <w:szCs w:val="20"/>
              </w:rPr>
              <w:t xml:space="preserve">The DPP must consent to a </w:t>
            </w:r>
            <w:r w:rsidR="00A226DD" w:rsidRPr="00EC02CA">
              <w:rPr>
                <w:sz w:val="20"/>
                <w:szCs w:val="20"/>
              </w:rPr>
              <w:t>prosecution</w:t>
            </w:r>
            <w:r w:rsidRPr="00EC02CA">
              <w:rPr>
                <w:sz w:val="20"/>
                <w:szCs w:val="20"/>
              </w:rPr>
              <w:t xml:space="preserve"> of a child for these </w:t>
            </w:r>
            <w:r w:rsidR="00A226DD" w:rsidRPr="00EC02CA">
              <w:rPr>
                <w:sz w:val="20"/>
                <w:szCs w:val="20"/>
              </w:rPr>
              <w:t>offences</w:t>
            </w:r>
            <w:r w:rsidR="0029763C" w:rsidRPr="00EC02CA">
              <w:rPr>
                <w:sz w:val="20"/>
                <w:szCs w:val="20"/>
              </w:rPr>
              <w:t>:</w:t>
            </w:r>
            <w:r w:rsidRPr="00EC02CA">
              <w:rPr>
                <w:sz w:val="20"/>
                <w:szCs w:val="20"/>
              </w:rPr>
              <w:t xml:space="preserve"> s 208AD</w:t>
            </w:r>
            <w:r w:rsidR="00637172" w:rsidRPr="00EC02CA">
              <w:rPr>
                <w:sz w:val="20"/>
                <w:szCs w:val="20"/>
              </w:rPr>
              <w:t>.</w:t>
            </w:r>
          </w:p>
        </w:tc>
      </w:tr>
      <w:tr w:rsidR="009626AC" w:rsidRPr="00EC02CA" w14:paraId="2B7F19EC" w14:textId="77777777" w:rsidTr="00A920EC">
        <w:tc>
          <w:tcPr>
            <w:tcW w:w="3487" w:type="dxa"/>
          </w:tcPr>
          <w:p w14:paraId="08312E7D" w14:textId="77777777" w:rsidR="009626AC" w:rsidRPr="00EC02CA" w:rsidRDefault="009626AC" w:rsidP="00A920EC">
            <w:pPr>
              <w:spacing w:before="60" w:after="60"/>
              <w:jc w:val="left"/>
              <w:rPr>
                <w:sz w:val="20"/>
                <w:szCs w:val="20"/>
              </w:rPr>
            </w:pPr>
            <w:r w:rsidRPr="00EC02CA">
              <w:rPr>
                <w:sz w:val="20"/>
                <w:szCs w:val="20"/>
              </w:rPr>
              <w:t>Queensland (</w:t>
            </w:r>
            <w:r w:rsidRPr="00EC02CA">
              <w:rPr>
                <w:i/>
                <w:iCs/>
                <w:sz w:val="20"/>
                <w:szCs w:val="20"/>
              </w:rPr>
              <w:t xml:space="preserve">Criminal Code Act 1899 </w:t>
            </w:r>
            <w:r w:rsidRPr="00EC02CA">
              <w:rPr>
                <w:sz w:val="20"/>
                <w:szCs w:val="20"/>
              </w:rPr>
              <w:t>(Qld))</w:t>
            </w:r>
          </w:p>
        </w:tc>
        <w:tc>
          <w:tcPr>
            <w:tcW w:w="3029" w:type="dxa"/>
          </w:tcPr>
          <w:p w14:paraId="61D11872" w14:textId="77777777" w:rsidR="009626AC" w:rsidRPr="00EC02CA" w:rsidRDefault="009626AC" w:rsidP="00A920EC">
            <w:pPr>
              <w:spacing w:before="60" w:after="60"/>
              <w:jc w:val="left"/>
              <w:rPr>
                <w:sz w:val="20"/>
                <w:szCs w:val="20"/>
              </w:rPr>
            </w:pPr>
            <w:r w:rsidRPr="00EC02CA">
              <w:rPr>
                <w:sz w:val="20"/>
                <w:szCs w:val="20"/>
              </w:rPr>
              <w:t>Indictable (misdemeanour)</w:t>
            </w:r>
          </w:p>
        </w:tc>
        <w:tc>
          <w:tcPr>
            <w:tcW w:w="7654" w:type="dxa"/>
          </w:tcPr>
          <w:p w14:paraId="7DFA7040" w14:textId="42019AD8"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of distributing a prohibited recording without consent</w:t>
            </w:r>
            <w:r w:rsidR="0029763C" w:rsidRPr="00EC02CA">
              <w:rPr>
                <w:sz w:val="20"/>
                <w:szCs w:val="20"/>
              </w:rPr>
              <w:t>:</w:t>
            </w:r>
            <w:r w:rsidRPr="00EC02CA">
              <w:rPr>
                <w:sz w:val="20"/>
                <w:szCs w:val="20"/>
              </w:rPr>
              <w:t xml:space="preserve"> s 227B.</w:t>
            </w:r>
          </w:p>
          <w:p w14:paraId="0BB14A61" w14:textId="4CE89613"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of threatening to distribute an intimate image without consent (note a person under s 16 cannot give consent)</w:t>
            </w:r>
            <w:r w:rsidR="0029763C" w:rsidRPr="00EC02CA">
              <w:rPr>
                <w:sz w:val="20"/>
                <w:szCs w:val="20"/>
              </w:rPr>
              <w:t>:</w:t>
            </w:r>
            <w:r w:rsidRPr="00EC02CA">
              <w:rPr>
                <w:sz w:val="20"/>
                <w:szCs w:val="20"/>
              </w:rPr>
              <w:t xml:space="preserve"> s 229A.</w:t>
            </w:r>
          </w:p>
        </w:tc>
      </w:tr>
      <w:tr w:rsidR="009626AC" w:rsidRPr="00EC02CA" w14:paraId="26D9DE3C" w14:textId="77777777" w:rsidTr="00A920EC">
        <w:tc>
          <w:tcPr>
            <w:tcW w:w="3487" w:type="dxa"/>
          </w:tcPr>
          <w:p w14:paraId="46122C6E" w14:textId="77777777" w:rsidR="009626AC" w:rsidRPr="00EC02CA" w:rsidRDefault="009626AC" w:rsidP="00A920EC">
            <w:pPr>
              <w:spacing w:before="60" w:after="60"/>
              <w:jc w:val="left"/>
              <w:rPr>
                <w:sz w:val="20"/>
                <w:szCs w:val="20"/>
              </w:rPr>
            </w:pPr>
            <w:r w:rsidRPr="00EC02CA">
              <w:rPr>
                <w:sz w:val="20"/>
                <w:szCs w:val="20"/>
              </w:rPr>
              <w:t>South Australia (</w:t>
            </w:r>
            <w:r w:rsidRPr="00EC02CA">
              <w:rPr>
                <w:i/>
                <w:iCs/>
                <w:sz w:val="20"/>
                <w:szCs w:val="20"/>
              </w:rPr>
              <w:t xml:space="preserve">Summary Offences Act 1953 </w:t>
            </w:r>
            <w:r w:rsidRPr="00EC02CA">
              <w:rPr>
                <w:sz w:val="20"/>
                <w:szCs w:val="20"/>
              </w:rPr>
              <w:t xml:space="preserve">(SA)) </w:t>
            </w:r>
          </w:p>
        </w:tc>
        <w:tc>
          <w:tcPr>
            <w:tcW w:w="3029" w:type="dxa"/>
          </w:tcPr>
          <w:p w14:paraId="423F4C8E" w14:textId="77777777" w:rsidR="009626AC" w:rsidRPr="00EC02CA" w:rsidRDefault="009626AC" w:rsidP="00A920EC">
            <w:pPr>
              <w:spacing w:before="60" w:after="60"/>
              <w:jc w:val="left"/>
              <w:rPr>
                <w:sz w:val="20"/>
                <w:szCs w:val="20"/>
              </w:rPr>
            </w:pPr>
            <w:r w:rsidRPr="00EC02CA">
              <w:rPr>
                <w:sz w:val="20"/>
                <w:szCs w:val="20"/>
              </w:rPr>
              <w:t>Summary</w:t>
            </w:r>
          </w:p>
        </w:tc>
        <w:tc>
          <w:tcPr>
            <w:tcW w:w="7654" w:type="dxa"/>
          </w:tcPr>
          <w:p w14:paraId="7AA22B7B" w14:textId="3D81EBBB"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to distribute an invasive image knowing or having reason to believe that the other person does not consent</w:t>
            </w:r>
            <w:r w:rsidR="0029763C" w:rsidRPr="00EC02CA">
              <w:rPr>
                <w:sz w:val="20"/>
                <w:szCs w:val="20"/>
              </w:rPr>
              <w:t>:</w:t>
            </w:r>
            <w:r w:rsidRPr="00EC02CA">
              <w:rPr>
                <w:sz w:val="20"/>
                <w:szCs w:val="20"/>
              </w:rPr>
              <w:t xml:space="preserve"> s 26C</w:t>
            </w:r>
            <w:r w:rsidR="00637172" w:rsidRPr="00EC02CA">
              <w:rPr>
                <w:sz w:val="20"/>
                <w:szCs w:val="20"/>
              </w:rPr>
              <w:t>.</w:t>
            </w:r>
          </w:p>
          <w:p w14:paraId="3814AE62" w14:textId="0CA5F5F4"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to threaten to distribute an invasive image</w:t>
            </w:r>
            <w:r w:rsidR="0029763C" w:rsidRPr="00EC02CA">
              <w:rPr>
                <w:sz w:val="20"/>
                <w:szCs w:val="20"/>
              </w:rPr>
              <w:t>:</w:t>
            </w:r>
            <w:r w:rsidRPr="00EC02CA">
              <w:rPr>
                <w:sz w:val="20"/>
                <w:szCs w:val="20"/>
              </w:rPr>
              <w:t xml:space="preserve"> s 26DA</w:t>
            </w:r>
            <w:r w:rsidR="00637172" w:rsidRPr="00EC02CA">
              <w:rPr>
                <w:sz w:val="20"/>
                <w:szCs w:val="20"/>
              </w:rPr>
              <w:t>.</w:t>
            </w:r>
          </w:p>
          <w:p w14:paraId="0C72B015" w14:textId="6194D93A" w:rsidR="009626AC" w:rsidRPr="00EC02CA" w:rsidRDefault="009626AC" w:rsidP="00A920EC">
            <w:pPr>
              <w:pStyle w:val="DotPointTLRI"/>
              <w:numPr>
                <w:ilvl w:val="0"/>
                <w:numId w:val="0"/>
              </w:numPr>
              <w:spacing w:before="60" w:after="60"/>
              <w:jc w:val="left"/>
              <w:rPr>
                <w:sz w:val="20"/>
                <w:szCs w:val="20"/>
              </w:rPr>
            </w:pPr>
            <w:r w:rsidRPr="00EC02CA">
              <w:rPr>
                <w:sz w:val="20"/>
                <w:szCs w:val="20"/>
              </w:rPr>
              <w:t>Consent of a person under 17 is not an effective consent</w:t>
            </w:r>
            <w:r w:rsidR="0029763C" w:rsidRPr="00EC02CA">
              <w:rPr>
                <w:sz w:val="20"/>
                <w:szCs w:val="20"/>
              </w:rPr>
              <w:t>:</w:t>
            </w:r>
            <w:r w:rsidRPr="00EC02CA">
              <w:rPr>
                <w:sz w:val="20"/>
                <w:szCs w:val="20"/>
              </w:rPr>
              <w:t xml:space="preserve"> s 26E.</w:t>
            </w:r>
          </w:p>
        </w:tc>
      </w:tr>
      <w:tr w:rsidR="009626AC" w:rsidRPr="00EC02CA" w14:paraId="4600476D" w14:textId="77777777" w:rsidTr="00A920EC">
        <w:tc>
          <w:tcPr>
            <w:tcW w:w="3487" w:type="dxa"/>
          </w:tcPr>
          <w:p w14:paraId="0F2F7E04" w14:textId="3EA16CF5" w:rsidR="009626AC" w:rsidRPr="00EC02CA" w:rsidRDefault="009626AC" w:rsidP="00A920EC">
            <w:pPr>
              <w:spacing w:before="60" w:after="60"/>
              <w:jc w:val="left"/>
              <w:rPr>
                <w:sz w:val="20"/>
                <w:szCs w:val="20"/>
              </w:rPr>
            </w:pPr>
            <w:r w:rsidRPr="00EC02CA">
              <w:rPr>
                <w:sz w:val="20"/>
                <w:szCs w:val="20"/>
              </w:rPr>
              <w:t>Victoria (</w:t>
            </w:r>
            <w:r w:rsidRPr="00EC02CA">
              <w:rPr>
                <w:i/>
                <w:iCs/>
                <w:sz w:val="20"/>
                <w:szCs w:val="20"/>
              </w:rPr>
              <w:t>Crimes Act</w:t>
            </w:r>
            <w:r w:rsidRPr="00EC02CA">
              <w:rPr>
                <w:sz w:val="20"/>
                <w:szCs w:val="20"/>
              </w:rPr>
              <w:t xml:space="preserve"> </w:t>
            </w:r>
            <w:r w:rsidR="00806AE7" w:rsidRPr="00EC02CA">
              <w:rPr>
                <w:i/>
                <w:iCs/>
                <w:sz w:val="20"/>
                <w:szCs w:val="20"/>
              </w:rPr>
              <w:t>1958</w:t>
            </w:r>
            <w:r w:rsidRPr="00EC02CA">
              <w:rPr>
                <w:sz w:val="20"/>
                <w:szCs w:val="20"/>
              </w:rPr>
              <w:t xml:space="preserve"> (Vic))</w:t>
            </w:r>
          </w:p>
        </w:tc>
        <w:tc>
          <w:tcPr>
            <w:tcW w:w="3029" w:type="dxa"/>
          </w:tcPr>
          <w:p w14:paraId="64DC9A4E" w14:textId="1EF7FD66" w:rsidR="009626AC" w:rsidRPr="00EC02CA" w:rsidRDefault="009626AC" w:rsidP="00A920EC">
            <w:pPr>
              <w:spacing w:before="60" w:after="60"/>
              <w:jc w:val="left"/>
              <w:rPr>
                <w:sz w:val="20"/>
                <w:szCs w:val="20"/>
              </w:rPr>
            </w:pPr>
            <w:r w:rsidRPr="00EC02CA">
              <w:rPr>
                <w:sz w:val="20"/>
                <w:szCs w:val="20"/>
              </w:rPr>
              <w:t xml:space="preserve">Indictable </w:t>
            </w:r>
          </w:p>
          <w:p w14:paraId="10AAAA9F" w14:textId="40DAB2AC" w:rsidR="009626AC" w:rsidRPr="00EC02CA" w:rsidRDefault="009626AC" w:rsidP="00A920EC">
            <w:pPr>
              <w:spacing w:before="60" w:after="60"/>
              <w:jc w:val="left"/>
              <w:rPr>
                <w:sz w:val="20"/>
                <w:szCs w:val="20"/>
              </w:rPr>
            </w:pPr>
            <w:r w:rsidRPr="00EC02CA">
              <w:rPr>
                <w:sz w:val="20"/>
                <w:szCs w:val="20"/>
              </w:rPr>
              <w:t>Prosecution must not commence without consent of the DPP if A is under 16 (s 53W)</w:t>
            </w:r>
          </w:p>
        </w:tc>
        <w:tc>
          <w:tcPr>
            <w:tcW w:w="7654" w:type="dxa"/>
          </w:tcPr>
          <w:p w14:paraId="7E604770" w14:textId="4F1C9FD9" w:rsidR="009626AC" w:rsidRPr="00EC02CA" w:rsidRDefault="009626AC" w:rsidP="00A920EC">
            <w:pPr>
              <w:pStyle w:val="DotPointTLRI"/>
              <w:numPr>
                <w:ilvl w:val="0"/>
                <w:numId w:val="0"/>
              </w:numPr>
              <w:spacing w:before="60" w:after="60"/>
              <w:jc w:val="left"/>
              <w:rPr>
                <w:sz w:val="20"/>
                <w:szCs w:val="20"/>
              </w:rPr>
            </w:pPr>
            <w:r w:rsidRPr="00EC02CA">
              <w:rPr>
                <w:sz w:val="20"/>
                <w:szCs w:val="20"/>
              </w:rPr>
              <w:t>An offence of intentionally distributing an intimate image, where distribution is contrary to community standards of acceptable conduct. It is not an offence if this is with consent (other than where the person depicted is a child)</w:t>
            </w:r>
            <w:r w:rsidR="0029763C" w:rsidRPr="00EC02CA">
              <w:rPr>
                <w:sz w:val="20"/>
                <w:szCs w:val="20"/>
              </w:rPr>
              <w:t>:</w:t>
            </w:r>
            <w:r w:rsidRPr="00EC02CA">
              <w:rPr>
                <w:sz w:val="20"/>
                <w:szCs w:val="20"/>
              </w:rPr>
              <w:t xml:space="preserve"> s 53S</w:t>
            </w:r>
            <w:r w:rsidR="00637172" w:rsidRPr="00EC02CA">
              <w:rPr>
                <w:sz w:val="20"/>
                <w:szCs w:val="20"/>
              </w:rPr>
              <w:t>.</w:t>
            </w:r>
            <w:r w:rsidRPr="00EC02CA">
              <w:rPr>
                <w:sz w:val="20"/>
                <w:szCs w:val="20"/>
              </w:rPr>
              <w:t xml:space="preserve"> </w:t>
            </w:r>
          </w:p>
          <w:p w14:paraId="4EA17DEF" w14:textId="6E813954" w:rsidR="009626AC" w:rsidRPr="00EC02CA" w:rsidRDefault="009626AC" w:rsidP="00A920EC">
            <w:pPr>
              <w:pStyle w:val="DotPointTLRI"/>
              <w:numPr>
                <w:ilvl w:val="0"/>
                <w:numId w:val="0"/>
              </w:numPr>
              <w:spacing w:before="60" w:after="60"/>
              <w:jc w:val="left"/>
              <w:rPr>
                <w:i/>
                <w:iCs/>
                <w:sz w:val="20"/>
                <w:szCs w:val="20"/>
              </w:rPr>
            </w:pPr>
            <w:r w:rsidRPr="00EC02CA">
              <w:rPr>
                <w:sz w:val="20"/>
                <w:szCs w:val="20"/>
              </w:rPr>
              <w:t>An offence of threatening to distribute an intimate image</w:t>
            </w:r>
            <w:r w:rsidR="0029763C" w:rsidRPr="00EC02CA">
              <w:rPr>
                <w:sz w:val="20"/>
                <w:szCs w:val="20"/>
              </w:rPr>
              <w:t>:</w:t>
            </w:r>
            <w:r w:rsidRPr="00EC02CA">
              <w:rPr>
                <w:sz w:val="20"/>
                <w:szCs w:val="20"/>
              </w:rPr>
              <w:t xml:space="preserve"> s 53T</w:t>
            </w:r>
            <w:r w:rsidR="00637172" w:rsidRPr="00EC02CA">
              <w:rPr>
                <w:sz w:val="20"/>
                <w:szCs w:val="20"/>
              </w:rPr>
              <w:t>.</w:t>
            </w:r>
            <w:r w:rsidRPr="00EC02CA">
              <w:rPr>
                <w:sz w:val="20"/>
                <w:szCs w:val="20"/>
              </w:rPr>
              <w:t xml:space="preserve"> </w:t>
            </w:r>
          </w:p>
          <w:p w14:paraId="716B8CAA" w14:textId="262F0E67" w:rsidR="009626AC" w:rsidRPr="00EC02CA" w:rsidRDefault="009626AC" w:rsidP="00A920EC">
            <w:pPr>
              <w:pStyle w:val="DotPointTLRI"/>
              <w:numPr>
                <w:ilvl w:val="0"/>
                <w:numId w:val="0"/>
              </w:numPr>
              <w:spacing w:before="60" w:after="60"/>
              <w:jc w:val="left"/>
              <w:rPr>
                <w:sz w:val="20"/>
                <w:szCs w:val="20"/>
              </w:rPr>
            </w:pPr>
            <w:r w:rsidRPr="00EC02CA">
              <w:rPr>
                <w:sz w:val="20"/>
                <w:szCs w:val="20"/>
              </w:rPr>
              <w:t>Community standards defined in s 53U</w:t>
            </w:r>
            <w:r w:rsidR="00637172" w:rsidRPr="00EC02CA">
              <w:rPr>
                <w:sz w:val="20"/>
                <w:szCs w:val="20"/>
              </w:rPr>
              <w:t>.</w:t>
            </w:r>
          </w:p>
        </w:tc>
      </w:tr>
      <w:tr w:rsidR="009626AC" w:rsidRPr="00EC02CA" w14:paraId="53A92348" w14:textId="77777777" w:rsidTr="00A920EC">
        <w:tc>
          <w:tcPr>
            <w:tcW w:w="3487" w:type="dxa"/>
          </w:tcPr>
          <w:p w14:paraId="13C0E935" w14:textId="645FFEDE" w:rsidR="009626AC" w:rsidRPr="00EC02CA" w:rsidRDefault="009626AC" w:rsidP="00A920EC">
            <w:pPr>
              <w:spacing w:before="60" w:after="60"/>
              <w:jc w:val="left"/>
              <w:rPr>
                <w:sz w:val="20"/>
                <w:szCs w:val="20"/>
              </w:rPr>
            </w:pPr>
            <w:r w:rsidRPr="00EC02CA">
              <w:rPr>
                <w:sz w:val="20"/>
                <w:szCs w:val="20"/>
              </w:rPr>
              <w:t>Western Australia (</w:t>
            </w:r>
            <w:r w:rsidRPr="00EC02CA">
              <w:rPr>
                <w:i/>
                <w:iCs/>
                <w:sz w:val="20"/>
                <w:szCs w:val="20"/>
              </w:rPr>
              <w:t>Criminal Code 1913</w:t>
            </w:r>
            <w:r w:rsidRPr="00EC02CA">
              <w:rPr>
                <w:sz w:val="20"/>
                <w:szCs w:val="20"/>
              </w:rPr>
              <w:t xml:space="preserve"> (WA)</w:t>
            </w:r>
            <w:r w:rsidR="00695FA2" w:rsidRPr="00EC02CA">
              <w:rPr>
                <w:sz w:val="20"/>
                <w:szCs w:val="20"/>
              </w:rPr>
              <w:t>)</w:t>
            </w:r>
          </w:p>
        </w:tc>
        <w:tc>
          <w:tcPr>
            <w:tcW w:w="3029" w:type="dxa"/>
          </w:tcPr>
          <w:p w14:paraId="6ABF4A1A" w14:textId="77777777" w:rsidR="009626AC" w:rsidRPr="00EC02CA" w:rsidRDefault="009626AC" w:rsidP="00A920EC">
            <w:pPr>
              <w:spacing w:before="60" w:after="60"/>
              <w:jc w:val="left"/>
              <w:rPr>
                <w:sz w:val="20"/>
                <w:szCs w:val="20"/>
              </w:rPr>
            </w:pPr>
            <w:r w:rsidRPr="00EC02CA">
              <w:rPr>
                <w:sz w:val="20"/>
                <w:szCs w:val="20"/>
              </w:rPr>
              <w:t>Summary</w:t>
            </w:r>
          </w:p>
        </w:tc>
        <w:tc>
          <w:tcPr>
            <w:tcW w:w="7654" w:type="dxa"/>
          </w:tcPr>
          <w:p w14:paraId="30599127" w14:textId="79223418" w:rsidR="009626AC" w:rsidRPr="00EC02CA" w:rsidRDefault="009626AC" w:rsidP="00A920EC">
            <w:pPr>
              <w:spacing w:before="60" w:after="60"/>
              <w:jc w:val="left"/>
              <w:rPr>
                <w:sz w:val="20"/>
                <w:szCs w:val="20"/>
              </w:rPr>
            </w:pPr>
            <w:r w:rsidRPr="00EC02CA">
              <w:rPr>
                <w:sz w:val="20"/>
                <w:szCs w:val="20"/>
              </w:rPr>
              <w:t xml:space="preserve">An offence of distribution of intimate image without consent s 221BD(2). </w:t>
            </w:r>
          </w:p>
          <w:p w14:paraId="77225543" w14:textId="2C72445A" w:rsidR="009626AC" w:rsidRPr="00EC02CA" w:rsidRDefault="009626AC" w:rsidP="00A920EC">
            <w:pPr>
              <w:spacing w:before="60" w:after="60"/>
              <w:jc w:val="left"/>
              <w:rPr>
                <w:sz w:val="20"/>
                <w:szCs w:val="20"/>
              </w:rPr>
            </w:pPr>
            <w:r w:rsidRPr="00EC02CA">
              <w:rPr>
                <w:sz w:val="20"/>
                <w:szCs w:val="20"/>
              </w:rPr>
              <w:t xml:space="preserve">It is a defence if a reasonable person would consider the distribution of the image to be acceptable, having regard to each of the following (to the extent relevant) — </w:t>
            </w:r>
          </w:p>
          <w:p w14:paraId="7B2DF235" w14:textId="36B500B8" w:rsidR="009626AC" w:rsidRPr="00EC02CA" w:rsidRDefault="009626AC" w:rsidP="00A920EC">
            <w:pPr>
              <w:pStyle w:val="DotPointTLRI"/>
              <w:numPr>
                <w:ilvl w:val="0"/>
                <w:numId w:val="233"/>
              </w:numPr>
              <w:spacing w:before="60" w:after="60"/>
              <w:ind w:left="887" w:hanging="527"/>
              <w:jc w:val="left"/>
              <w:rPr>
                <w:sz w:val="20"/>
                <w:szCs w:val="20"/>
              </w:rPr>
            </w:pPr>
            <w:r w:rsidRPr="00EC02CA">
              <w:rPr>
                <w:sz w:val="20"/>
                <w:szCs w:val="20"/>
              </w:rPr>
              <w:t>the nature and content of the image;</w:t>
            </w:r>
          </w:p>
          <w:p w14:paraId="2CB1D9A9" w14:textId="58E96C62" w:rsidR="009626AC" w:rsidRPr="00EC02CA" w:rsidRDefault="009626AC" w:rsidP="00A920EC">
            <w:pPr>
              <w:pStyle w:val="DotPointTLRI"/>
              <w:numPr>
                <w:ilvl w:val="0"/>
                <w:numId w:val="233"/>
              </w:numPr>
              <w:spacing w:before="60" w:after="60"/>
              <w:ind w:left="890" w:hanging="530"/>
              <w:jc w:val="left"/>
              <w:rPr>
                <w:sz w:val="20"/>
                <w:szCs w:val="20"/>
              </w:rPr>
            </w:pPr>
            <w:r w:rsidRPr="00EC02CA">
              <w:rPr>
                <w:sz w:val="20"/>
                <w:szCs w:val="20"/>
              </w:rPr>
              <w:t xml:space="preserve">the circumstances in which the image was distributed; </w:t>
            </w:r>
          </w:p>
          <w:p w14:paraId="3DF7EC5B" w14:textId="0DEFC7C4" w:rsidR="009626AC" w:rsidRPr="00EC02CA" w:rsidRDefault="009626AC" w:rsidP="00A920EC">
            <w:pPr>
              <w:pStyle w:val="DotPointTLRI"/>
              <w:numPr>
                <w:ilvl w:val="0"/>
                <w:numId w:val="233"/>
              </w:numPr>
              <w:spacing w:before="60" w:after="60"/>
              <w:ind w:left="890" w:hanging="530"/>
              <w:jc w:val="left"/>
              <w:rPr>
                <w:sz w:val="20"/>
                <w:szCs w:val="20"/>
              </w:rPr>
            </w:pPr>
            <w:r w:rsidRPr="00EC02CA">
              <w:rPr>
                <w:sz w:val="20"/>
                <w:szCs w:val="20"/>
              </w:rPr>
              <w:t xml:space="preserve">the age, mental capacity, vulnerability or other relevant circumstances of the depicted person; </w:t>
            </w:r>
          </w:p>
          <w:p w14:paraId="6B332F3B" w14:textId="42CF6DB7" w:rsidR="009626AC" w:rsidRPr="00EC02CA" w:rsidRDefault="009626AC" w:rsidP="00A920EC">
            <w:pPr>
              <w:pStyle w:val="DotPointTLRI"/>
              <w:numPr>
                <w:ilvl w:val="0"/>
                <w:numId w:val="233"/>
              </w:numPr>
              <w:spacing w:before="60" w:after="60"/>
              <w:ind w:left="890" w:hanging="530"/>
              <w:jc w:val="left"/>
              <w:rPr>
                <w:sz w:val="20"/>
                <w:szCs w:val="20"/>
              </w:rPr>
            </w:pPr>
            <w:r w:rsidRPr="00EC02CA">
              <w:rPr>
                <w:sz w:val="20"/>
                <w:szCs w:val="20"/>
              </w:rPr>
              <w:t xml:space="preserve">the degree to which the accused’s actions affect the privacy of the depicted person; </w:t>
            </w:r>
          </w:p>
          <w:p w14:paraId="25A7D1E9" w14:textId="2AB0D235" w:rsidR="009626AC" w:rsidRPr="00EC02CA" w:rsidRDefault="009626AC" w:rsidP="00A920EC">
            <w:pPr>
              <w:pStyle w:val="DotPointTLRI"/>
              <w:numPr>
                <w:ilvl w:val="0"/>
                <w:numId w:val="233"/>
              </w:numPr>
              <w:spacing w:before="60" w:after="60"/>
              <w:ind w:left="890" w:hanging="530"/>
              <w:jc w:val="left"/>
              <w:rPr>
                <w:sz w:val="20"/>
                <w:szCs w:val="20"/>
              </w:rPr>
            </w:pPr>
            <w:r w:rsidRPr="00EC02CA">
              <w:rPr>
                <w:sz w:val="20"/>
                <w:szCs w:val="20"/>
              </w:rPr>
              <w:t xml:space="preserve">the relationship between the accused and the depicted person; </w:t>
            </w:r>
          </w:p>
          <w:p w14:paraId="76C17DCE" w14:textId="0184D4B9" w:rsidR="009626AC" w:rsidRPr="00EC02CA" w:rsidRDefault="009626AC" w:rsidP="00A920EC">
            <w:pPr>
              <w:pStyle w:val="DotPointTLRI"/>
              <w:numPr>
                <w:ilvl w:val="0"/>
                <w:numId w:val="233"/>
              </w:numPr>
              <w:spacing w:before="60" w:after="60"/>
              <w:ind w:left="890" w:hanging="530"/>
              <w:jc w:val="left"/>
              <w:rPr>
                <w:sz w:val="20"/>
                <w:szCs w:val="20"/>
              </w:rPr>
            </w:pPr>
            <w:r w:rsidRPr="00EC02CA">
              <w:rPr>
                <w:sz w:val="20"/>
                <w:szCs w:val="20"/>
              </w:rPr>
              <w:t>any other relevant matters</w:t>
            </w:r>
            <w:r w:rsidR="0029763C" w:rsidRPr="00EC02CA">
              <w:rPr>
                <w:sz w:val="20"/>
                <w:szCs w:val="20"/>
              </w:rPr>
              <w:t>:</w:t>
            </w:r>
            <w:r w:rsidRPr="00EC02CA">
              <w:rPr>
                <w:sz w:val="20"/>
                <w:szCs w:val="20"/>
              </w:rPr>
              <w:t xml:space="preserve"> s</w:t>
            </w:r>
            <w:r w:rsidR="0049282F" w:rsidRPr="00EC02CA">
              <w:rPr>
                <w:sz w:val="20"/>
                <w:szCs w:val="20"/>
              </w:rPr>
              <w:t xml:space="preserve"> </w:t>
            </w:r>
            <w:r w:rsidRPr="00EC02CA">
              <w:rPr>
                <w:sz w:val="20"/>
                <w:szCs w:val="20"/>
              </w:rPr>
              <w:t>221BD(3)(d)</w:t>
            </w:r>
            <w:r w:rsidR="00637172" w:rsidRPr="00EC02CA">
              <w:rPr>
                <w:sz w:val="20"/>
                <w:szCs w:val="20"/>
              </w:rPr>
              <w:t>.</w:t>
            </w:r>
          </w:p>
          <w:p w14:paraId="78042FC2" w14:textId="74E1530B" w:rsidR="009626AC" w:rsidRPr="00EC02CA" w:rsidRDefault="009626AC" w:rsidP="00A920EC">
            <w:pPr>
              <w:spacing w:before="60" w:after="60"/>
              <w:jc w:val="left"/>
              <w:rPr>
                <w:sz w:val="20"/>
                <w:szCs w:val="20"/>
              </w:rPr>
            </w:pPr>
            <w:r w:rsidRPr="00EC02CA">
              <w:rPr>
                <w:sz w:val="20"/>
                <w:szCs w:val="20"/>
              </w:rPr>
              <w:t>A person under the age of 16 is incapable of consenting to the distribution of an intimate image</w:t>
            </w:r>
            <w:r w:rsidR="0029763C" w:rsidRPr="00EC02CA">
              <w:rPr>
                <w:sz w:val="20"/>
                <w:szCs w:val="20"/>
              </w:rPr>
              <w:t>:</w:t>
            </w:r>
            <w:r w:rsidRPr="00EC02CA">
              <w:rPr>
                <w:sz w:val="20"/>
                <w:szCs w:val="20"/>
              </w:rPr>
              <w:t xml:space="preserve"> s 221BB (6)</w:t>
            </w:r>
            <w:r w:rsidR="00637172" w:rsidRPr="00EC02CA">
              <w:rPr>
                <w:sz w:val="20"/>
                <w:szCs w:val="20"/>
              </w:rPr>
              <w:t>.</w:t>
            </w:r>
          </w:p>
        </w:tc>
      </w:tr>
    </w:tbl>
    <w:p w14:paraId="59114B66" w14:textId="77777777" w:rsidR="009626AC" w:rsidRPr="00EC02CA" w:rsidRDefault="009626AC" w:rsidP="009626AC"/>
    <w:p w14:paraId="3CE0E3FA" w14:textId="77777777" w:rsidR="002D5FB2" w:rsidRPr="00EC02CA" w:rsidRDefault="002D5FB2" w:rsidP="003B4ABF">
      <w:pPr>
        <w:pStyle w:val="ExecSummaryandAppendixHeading"/>
        <w:sectPr w:rsidR="002D5FB2" w:rsidRPr="00EC02CA" w:rsidSect="002D5FB2">
          <w:headerReference w:type="default" r:id="rId56"/>
          <w:pgSz w:w="16838" w:h="11906" w:orient="landscape"/>
          <w:pgMar w:top="1440" w:right="1440" w:bottom="1440" w:left="1440" w:header="708" w:footer="708" w:gutter="0"/>
          <w:cols w:space="708"/>
          <w:docGrid w:linePitch="360"/>
        </w:sectPr>
      </w:pPr>
    </w:p>
    <w:p w14:paraId="48DB9541" w14:textId="0BB5F914" w:rsidR="003B4ABF" w:rsidRPr="00EC02CA" w:rsidRDefault="003B4ABF" w:rsidP="003B4ABF">
      <w:pPr>
        <w:pStyle w:val="ExecSummaryandAppendixHeading"/>
      </w:pPr>
      <w:bookmarkStart w:id="491" w:name="_Toc211849476"/>
      <w:bookmarkStart w:id="492" w:name="_Toc218157381"/>
      <w:r w:rsidRPr="00EC02CA">
        <w:t xml:space="preserve">Appendix </w:t>
      </w:r>
      <w:r w:rsidR="00DE38F8" w:rsidRPr="00EC02CA">
        <w:t>E</w:t>
      </w:r>
      <w:r w:rsidR="00171516" w:rsidRPr="00EC02CA">
        <w:t xml:space="preserve">: </w:t>
      </w:r>
      <w:r w:rsidR="008D1099" w:rsidRPr="00EC02CA">
        <w:t>Typology</w:t>
      </w:r>
      <w:r w:rsidR="00171516" w:rsidRPr="00EC02CA">
        <w:t xml:space="preserve"> of </w:t>
      </w:r>
      <w:r w:rsidR="008D1099" w:rsidRPr="00EC02CA">
        <w:t>young people who engage in harmful sexual behaviour: Literature summary</w:t>
      </w:r>
      <w:bookmarkEnd w:id="491"/>
      <w:bookmarkEnd w:id="492"/>
    </w:p>
    <w:p w14:paraId="1CE8A106" w14:textId="7BFB6AAB" w:rsidR="008D1099" w:rsidRPr="00EC02CA" w:rsidRDefault="008D1099" w:rsidP="00A920EC">
      <w:pPr>
        <w:pStyle w:val="NormalNumberedTextTLRI"/>
        <w:numPr>
          <w:ilvl w:val="0"/>
          <w:numId w:val="0"/>
        </w:numPr>
      </w:pPr>
      <w:r w:rsidRPr="00EC02CA">
        <w:t xml:space="preserve">The number of categories has varied between two and four, and the definitions of these categories has also differed by frequency, onset and nature of offending, the gender of the young person committing the offence, and the age and gender of the </w:t>
      </w:r>
      <w:r w:rsidR="00886B70" w:rsidRPr="00EC02CA">
        <w:t>victim-survivor</w:t>
      </w:r>
      <w:r w:rsidRPr="00EC02CA">
        <w:t xml:space="preserve">. For example, using two categories, young people who sexually offend could be either: (1) sex-only, which refers to young people who have only been charged with offences of a sexual nature and are more likely to target children; or (2) sex-plus, which includes sexual offending alongside general offending and a greater likelihood of peer or adult </w:t>
      </w:r>
      <w:r w:rsidR="003C2332" w:rsidRPr="00EC02CA">
        <w:t>victim-survivors</w:t>
      </w:r>
      <w:r w:rsidRPr="00EC02CA">
        <w:fldChar w:fldCharType="begin"/>
      </w:r>
      <w:r w:rsidRPr="00EC02CA">
        <w:instrText xml:space="preserve"> ADDIN EN.CITE &lt;EndNote&gt;&lt;Cite&gt;&lt;Author&gt;Siria&lt;/Author&gt;&lt;Year&gt;2021&lt;/Year&gt;&lt;RecNum&gt;31350&lt;/RecNum&gt;&lt;record&gt;&lt;rec-number&gt;31350&lt;/rec-number&gt;&lt;foreign-keys&gt;&lt;key app="EN" db-id="92twpawtxsdzaae5zwevdsw799fderxv2d52" timestamp="1692248103" guid="89a19578-f6db-483b-a14a-0d871f7458a6"&gt;31350&lt;/key&gt;&lt;/foreign-keys&gt;&lt;ref-type name="Journal Article"&gt;17&lt;/ref-type&gt;&lt;contributors&gt;&lt;authors&gt;&lt;author&gt;Siria, Sandra&lt;/author&gt;&lt;author&gt;Echeburúa, Enrique&lt;/author&gt;&lt;author&gt;Amor, Pedro J&lt;/author&gt;&lt;/authors&gt;&lt;/contributors&gt;&lt;titles&gt;&lt;title&gt;Adolescents adjudicated for sexual offending: A comparison between sex-only and sex-plus&lt;/title&gt;&lt;secondary-title&gt;Sexuality Research and Social Policy&lt;/secondary-title&gt;&lt;/titles&gt;&lt;periodical&gt;&lt;full-title&gt;Sexuality Research and Social Policy&lt;/full-title&gt;&lt;/periodical&gt;&lt;pages&gt;981-991&lt;/pages&gt;&lt;volume&gt;18&lt;/volume&gt;&lt;dates&gt;&lt;year&gt;2021&lt;/year&gt;&lt;/dates&gt;&lt;urls&gt;&lt;/urls&gt;&lt;electronic-resource-num&gt;10.1007/s13178-021-00604-8&lt;/electronic-resource-num&gt;&lt;/record&gt;&lt;/Cite&gt;&lt;Cite&gt;&lt;Author&gt;Zeng&lt;/Author&gt;&lt;Year&gt;2015&lt;/Year&gt;&lt;RecNum&gt;31636&lt;/RecNum&gt;&lt;record&gt;&lt;rec-number&gt;31636&lt;/rec-number&gt;&lt;foreign-keys&gt;&lt;key app="EN" db-id="92twpawtxsdzaae5zwevdsw799fderxv2d52" timestamp="1692930241"&gt;31636&lt;/key&gt;&lt;/foreign-keys&gt;&lt;ref-type name="Journal Article"&gt;17&lt;/ref-type&gt;&lt;contributors&gt;&lt;authors&gt;&lt;author&gt;Zeng, Gerald&lt;/author&gt;&lt;author&gt;Chu, Chi Meng&lt;/author&gt;&lt;author&gt;Koh, Li Lian&lt;/author&gt;&lt;author&gt;Teoh, Jennifer&lt;/author&gt;&lt;/authors&gt;&lt;/contributors&gt;&lt;titles&gt;&lt;title&gt;Risk and criminogenic needs of youth who sexually offended in Singapore: An examination of two typologies&lt;/title&gt;&lt;secondary-title&gt;Sexual Abuse: A Journal of Research and Treatment&lt;/secondary-title&gt;&lt;/titles&gt;&lt;periodical&gt;&lt;full-title&gt;Sexual Abuse: A Journal of Research and Treatment&lt;/full-title&gt;&lt;/periodical&gt;&lt;pages&gt;479-495&lt;/pages&gt;&lt;volume&gt;27&lt;/volume&gt;&lt;number&gt;5&lt;/number&gt;&lt;dates&gt;&lt;year&gt;2015&lt;/year&gt;&lt;/dates&gt;&lt;urls&gt;&lt;/urls&gt;&lt;electronic-resource-num&gt;10.1177/1079063213520044&lt;/electronic-resource-num&gt;&lt;/record&gt;&lt;/Cite&gt;&lt;/EndNote&gt;</w:instrText>
      </w:r>
      <w:r w:rsidRPr="00EC02CA">
        <w:fldChar w:fldCharType="separate"/>
      </w:r>
      <w:r w:rsidRPr="00EC02CA">
        <w:fldChar w:fldCharType="end"/>
      </w:r>
      <w:r w:rsidRPr="00EC02CA">
        <w:t>.</w:t>
      </w:r>
      <w:r w:rsidRPr="00EC02CA">
        <w:rPr>
          <w:rStyle w:val="FootnoteReference"/>
        </w:rPr>
        <w:footnoteReference w:id="944"/>
      </w:r>
      <w:r w:rsidRPr="00EC02CA">
        <w:t xml:space="preserve"> The use of four categories presents with greater complexities, though there are some overlapping ideas. A number of recent examples are described below.</w:t>
      </w:r>
    </w:p>
    <w:p w14:paraId="2376329B" w14:textId="2783E62D" w:rsidR="008D1099" w:rsidRPr="00EC02CA" w:rsidRDefault="008D1099" w:rsidP="00A920EC">
      <w:pPr>
        <w:pStyle w:val="NormalNumberedTextTLRI"/>
        <w:numPr>
          <w:ilvl w:val="0"/>
          <w:numId w:val="0"/>
        </w:numPr>
      </w:pPr>
      <w:r w:rsidRPr="00EC02CA">
        <w:t>Using a sample of 217 young people who were charged with a sexual offence in Queensland, Cale and colleagues proposed four categories, listed in order of most frequent presentation within the sample: (1) rare offenders, (2) late-bloomers, (3) low-rate chronic offenders, and (4) high-rate chronic offenders</w:t>
      </w:r>
      <w:r w:rsidRPr="00EC02CA">
        <w:fldChar w:fldCharType="begin"/>
      </w:r>
      <w:r w:rsidRPr="00EC02CA">
        <w:instrText xml:space="preserve"> ADDIN EN.CITE &lt;EndNote&gt;&lt;Cite&gt;&lt;Author&gt;Cale&lt;/Author&gt;&lt;Year&gt;2016&lt;/Year&gt;&lt;RecNum&gt;31610&lt;/RecNum&gt;&lt;record&gt;&lt;rec-number&gt;31610&lt;/rec-number&gt;&lt;foreign-keys&gt;&lt;key app="EN" db-id="92twpawtxsdzaae5zwevdsw799fderxv2d52" timestamp="1692334299"&gt;31610&lt;/key&gt;&lt;/foreign-keys&gt;&lt;ref-type name="Journal Article"&gt;17&lt;/ref-type&gt;&lt;contributors&gt;&lt;authors&gt;&lt;author&gt;Cale, Jesse&lt;/author&gt;&lt;author&gt;Smallbone, Stephen&lt;/author&gt;&lt;author&gt;Rayment-McHugh, Susan&lt;/author&gt;&lt;author&gt;Dowling, Chris&lt;/author&gt;&lt;/authors&gt;&lt;/contributors&gt;&lt;titles&gt;&lt;title&gt;Offense trajectories, the unfolding of sexual and non-sexual criminal activity, and sex offense characteristics of adolescent sex offenders&lt;/title&gt;&lt;secondary-title&gt;Sexual Abuse: A Journal of Research and Treatment&lt;/secondary-title&gt;&lt;/titles&gt;&lt;periodical&gt;&lt;full-title&gt;Sexual Abuse: A Journal of Research and Treatment&lt;/full-title&gt;&lt;/periodical&gt;&lt;pages&gt;791-812&lt;/pages&gt;&lt;volume&gt;28&lt;/volume&gt;&lt;number&gt;8&lt;/number&gt;&lt;dates&gt;&lt;year&gt;2016&lt;/year&gt;&lt;/dates&gt;&lt;urls&gt;&lt;/urls&gt;&lt;electronic-resource-num&gt;10.1177/1079063215580968&lt;/electronic-resource-num&gt;&lt;/record&gt;&lt;/Cite&gt;&lt;/EndNote&gt;</w:instrText>
      </w:r>
      <w:r w:rsidRPr="00EC02CA">
        <w:fldChar w:fldCharType="separate"/>
      </w:r>
      <w:r w:rsidRPr="00EC02CA">
        <w:fldChar w:fldCharType="end"/>
      </w:r>
      <w:r w:rsidRPr="00EC02CA">
        <w:t>.</w:t>
      </w:r>
      <w:r w:rsidRPr="00EC02CA">
        <w:rPr>
          <w:rStyle w:val="FootnoteReference"/>
        </w:rPr>
        <w:footnoteReference w:id="945"/>
      </w:r>
      <w:r w:rsidRPr="00EC02CA">
        <w:t xml:space="preserve"> The first category, type 1, involved fewer behavioural issues and more prosocial attitudes, with onset of sexual offending in mid-adolescence, low rates of sexual recidivism and shorter offending patterns (similar to the ‘sex-only’ category described above); the second</w:t>
      </w:r>
      <w:r w:rsidR="00BE53EE" w:rsidRPr="00EC02CA">
        <w:t xml:space="preserve"> category</w:t>
      </w:r>
      <w:r w:rsidRPr="00EC02CA">
        <w:t>, type 2, was characterised by an onset of sexual offending in mid-adolescence, with minimal criminal histories, and higher rates of sexual recidivism; the third</w:t>
      </w:r>
      <w:r w:rsidR="00BE53EE" w:rsidRPr="00EC02CA">
        <w:t xml:space="preserve"> category</w:t>
      </w:r>
      <w:r w:rsidRPr="00EC02CA">
        <w:t>, type 3, involved low</w:t>
      </w:r>
      <w:r w:rsidR="00BE53EE" w:rsidRPr="00EC02CA">
        <w:t>-</w:t>
      </w:r>
      <w:r w:rsidRPr="00EC02CA">
        <w:t>frequency general offending, with a greater propensity of targeting children in their sexual offending and higher rates of sexual recidivism (similar to that of the late-bloomer category); and the fourth</w:t>
      </w:r>
      <w:r w:rsidR="00BE53EE" w:rsidRPr="00EC02CA">
        <w:t xml:space="preserve"> category</w:t>
      </w:r>
      <w:r w:rsidRPr="00EC02CA">
        <w:t>, type 4, was characterised by early onset general offending that progressed to more frequent and serious offending behaviours, with sexual offending appearing to be part of this escalation, as well as higher rates of adverse childhood experiences (ie disengagement from traditional schooling and experiences of incarceration). Cale and colleagues discussed the significance of motivation (eg naïve experimentation) and opportunity (eg geographical remoteness) in youth</w:t>
      </w:r>
      <w:r w:rsidR="00256232" w:rsidRPr="00EC02CA">
        <w:t>-</w:t>
      </w:r>
      <w:r w:rsidRPr="00EC02CA">
        <w:t>perpetrated sexual offending, aligning with Smallbone and Cale’s integrated theory of sexual offending described above</w:t>
      </w:r>
      <w:r w:rsidRPr="00EC02CA">
        <w:fldChar w:fldCharType="begin"/>
      </w:r>
      <w:r w:rsidRPr="00EC02CA">
        <w:instrText xml:space="preserve"> ADDIN EN.CITE &lt;EndNote&gt;&lt;Cite&gt;&lt;Author&gt;Smallbone&lt;/Author&gt;&lt;Year&gt;2015&lt;/Year&gt;&lt;RecNum&gt;31648&lt;/RecNum&gt;&lt;record&gt;&lt;rec-number&gt;31648&lt;/rec-number&gt;&lt;foreign-keys&gt;&lt;key app="EN" db-id="92twpawtxsdzaae5zwevdsw799fderxv2d52" timestamp="1693202617"&gt;31648&lt;/key&gt;&lt;/foreign-keys&gt;&lt;ref-type name="Book Section"&gt;5&lt;/ref-type&gt;&lt;contributors&gt;&lt;authors&gt;&lt;author&gt;Smallbone, Stephen&lt;/author&gt;&lt;author&gt;Cale, Jesse&lt;/author&gt;&lt;/authors&gt;&lt;secondary-authors&gt;&lt;author&gt;Blokland, Arjan&lt;/author&gt;&lt;author&gt;Lussier, Patrick&lt;/author&gt;&lt;/secondary-authors&gt;&lt;/contributors&gt;&lt;titles&gt;&lt;title&gt;An integrated life-course developmental theory of sexual offending&lt;/title&gt;&lt;secondary-title&gt;Sex Offenders: A Criminal Career Approach&lt;/secondary-title&gt;&lt;/titles&gt;&lt;pages&gt;43-70&lt;/pages&gt;&lt;dates&gt;&lt;year&gt;2015&lt;/year&gt;&lt;/dates&gt;&lt;pub-location&gt;West Sussex, UK&lt;/pub-location&gt;&lt;publisher&gt;Wiley Blackwell&lt;/publisher&gt;&lt;urls&gt;&lt;/urls&gt;&lt;/record&gt;&lt;/Cite&gt;&lt;/EndNote&gt;</w:instrText>
      </w:r>
      <w:r w:rsidRPr="00EC02CA">
        <w:fldChar w:fldCharType="separate"/>
      </w:r>
      <w:r w:rsidRPr="00EC02CA">
        <w:fldChar w:fldCharType="end"/>
      </w:r>
      <w:r w:rsidRPr="00EC02CA">
        <w:t>.</w:t>
      </w:r>
      <w:r w:rsidRPr="00EC02CA">
        <w:rPr>
          <w:rStyle w:val="FootnoteReference"/>
        </w:rPr>
        <w:footnoteReference w:id="946"/>
      </w:r>
      <w:r w:rsidRPr="00EC02CA">
        <w:t xml:space="preserve"> They also acknowledged the over-representation of First Nations youth in the chronic offender categories, suggesting the environmental and social structures, motivations and opportunities are inherently different to those of non-Indigenous youth in urban centres, and that differences in policing practices between regions was likely a confounding variable in First Nations youths</w:t>
      </w:r>
      <w:r w:rsidR="00BE53EE" w:rsidRPr="00EC02CA">
        <w:t>’</w:t>
      </w:r>
      <w:r w:rsidRPr="00EC02CA">
        <w:t xml:space="preserve"> criminal histories</w:t>
      </w:r>
      <w:r w:rsidRPr="00EC02CA">
        <w:fldChar w:fldCharType="begin"/>
      </w:r>
      <w:r w:rsidRPr="00EC02CA">
        <w:instrText xml:space="preserve"> ADDIN EN.CITE &lt;EndNote&gt;&lt;Cite&gt;&lt;Author&gt;Molnar&lt;/Author&gt;&lt;Year&gt;2021&lt;/Year&gt;&lt;RecNum&gt;31640&lt;/RecNum&gt;&lt;record&gt;&lt;rec-number&gt;31640&lt;/rec-number&gt;&lt;foreign-keys&gt;&lt;key app="EN" db-id="92twpawtxsdzaae5zwevdsw799fderxv2d52" timestamp="1692930683"&gt;31640&lt;/key&gt;&lt;/foreign-keys&gt;&lt;ref-type name="Journal Article"&gt;17&lt;/ref-type&gt;&lt;contributors&gt;&lt;authors&gt;&lt;author&gt;Molnar, Timea&lt;/author&gt;&lt;author&gt;McKillop, Nadine&lt;/author&gt;&lt;author&gt;Allard, Troy&lt;/author&gt;&lt;author&gt;Rynne, John&lt;/author&gt;&lt;author&gt;Adams, Dimity&lt;/author&gt;&lt;/authors&gt;&lt;/contributors&gt;&lt;titles&gt;&lt;title&gt;Patterns of rearrest for Aboriginal and/or Torres Stait Islander and non-Indigenous youth who have sexually harmed&lt;/title&gt;&lt;secondary-title&gt;Journal of Sexual Aggression&lt;/secondary-title&gt;&lt;/titles&gt;&lt;periodical&gt;&lt;full-title&gt;Journal of Sexual Aggression&lt;/full-title&gt;&lt;/periodical&gt;&lt;pages&gt;167-184&lt;/pages&gt;&lt;volume&gt;27&lt;/volume&gt;&lt;number&gt;2&lt;/number&gt;&lt;dates&gt;&lt;year&gt;2021&lt;/year&gt;&lt;/dates&gt;&lt;urls&gt;&lt;/urls&gt;&lt;electronic-resource-num&gt;10.1080/13552600.2020.1850894&lt;/electronic-resource-num&gt;&lt;/record&gt;&lt;/Cite&gt;&lt;/EndNote&gt;</w:instrText>
      </w:r>
      <w:r w:rsidRPr="00EC02CA">
        <w:fldChar w:fldCharType="separate"/>
      </w:r>
      <w:r w:rsidRPr="00EC02CA">
        <w:fldChar w:fldCharType="end"/>
      </w:r>
      <w:r w:rsidRPr="00EC02CA">
        <w:t>.</w:t>
      </w:r>
      <w:r w:rsidRPr="00EC02CA">
        <w:rPr>
          <w:rStyle w:val="FootnoteReference"/>
        </w:rPr>
        <w:footnoteReference w:id="947"/>
      </w:r>
    </w:p>
    <w:p w14:paraId="2861BDEC" w14:textId="5ADDB415" w:rsidR="00945C7E" w:rsidRPr="00EC02CA" w:rsidRDefault="00945C7E" w:rsidP="00A920EC">
      <w:pPr>
        <w:pStyle w:val="NormalNumberedTextTLRI"/>
        <w:numPr>
          <w:ilvl w:val="0"/>
          <w:numId w:val="0"/>
        </w:numPr>
      </w:pPr>
      <w:r w:rsidRPr="00EC02CA">
        <w:t xml:space="preserve">The categorisations developed by Cale et al (2016) </w:t>
      </w:r>
      <w:r w:rsidR="00BE53EE" w:rsidRPr="00EC02CA">
        <w:t>i</w:t>
      </w:r>
      <w:r w:rsidRPr="00EC02CA">
        <w:t>s valuable for understanding the differing motivations and offending trajectories of youth offenders and underscores the need for targeted interventions that address the differing predisposing factors (factors that mean a youth is more vulnerable to engaging in problematic sexual behaviours), precipitating factors (environmental and/or contextual factors that ‘trigger’ problematic sexual behaviours), and perpetuating factors (factors that encourage the problematic behaviours to keep occurring) associated with the offending behaviour rather than attempting to implement a one-size-fits all treatment approach. Nevertheless, there are several limitations to this research. With a sample of only 217 adolescents, Cale’s categorisations of offender types may not be generalisable for all youth offenders and likely may not be culturally representative. Some have also critiqued the development of youth offender typologies, which can oversimplify the psychological nuances of offending and hence hinder understanding and subsequent intervention efficacy (Calvert &amp; Bauer</w:t>
      </w:r>
      <w:r w:rsidR="00C912B1" w:rsidRPr="00EC02CA">
        <w:t>,</w:t>
      </w:r>
      <w:r w:rsidRPr="00EC02CA">
        <w:t xml:space="preserve"> 2018). </w:t>
      </w:r>
    </w:p>
    <w:p w14:paraId="08802C78" w14:textId="70427F61" w:rsidR="008D1099" w:rsidRPr="00EC02CA" w:rsidRDefault="008D1099" w:rsidP="00A920EC">
      <w:pPr>
        <w:pStyle w:val="NormalNumberedTextTLRI"/>
        <w:numPr>
          <w:ilvl w:val="0"/>
          <w:numId w:val="0"/>
        </w:numPr>
      </w:pPr>
      <w:r w:rsidRPr="00EC02CA">
        <w:t xml:space="preserve">Using a sample </w:t>
      </w:r>
      <w:r w:rsidR="00BE53EE" w:rsidRPr="00EC02CA">
        <w:t xml:space="preserve">of </w:t>
      </w:r>
      <w:r w:rsidRPr="00EC02CA">
        <w:t>573 male young people convicted of sexual crimes in the United States, Brown proposed the following four categories, in order of greatest frequency: (1) child victims, nonviolent, (2) female peer victims only, (3) male child focus, and (4) early starter/multiple victims</w:t>
      </w:r>
      <w:r w:rsidRPr="00EC02CA">
        <w:fldChar w:fldCharType="begin"/>
      </w:r>
      <w:r w:rsidRPr="00EC02CA">
        <w:instrText xml:space="preserve"> ADDIN EN.CITE &lt;EndNote&gt;&lt;Cite&gt;&lt;Author&gt;Brown&lt;/Author&gt;&lt;Year&gt;2019&lt;/Year&gt;&lt;RecNum&gt;31627&lt;/RecNum&gt;&lt;record&gt;&lt;rec-number&gt;31627&lt;/rec-number&gt;&lt;foreign-keys&gt;&lt;key app="EN" db-id="92twpawtxsdzaae5zwevdsw799fderxv2d52" timestamp="1692926995"&gt;31627&lt;/key&gt;&lt;/foreign-keys&gt;&lt;ref-type name="Journal Article"&gt;17&lt;/ref-type&gt;&lt;contributors&gt;&lt;authors&gt;&lt;author&gt;Brown, Adam&lt;/author&gt;&lt;/authors&gt;&lt;/contributors&gt;&lt;titles&gt;&lt;title&gt;Using latent class analysis to explore subtypes of youth who have committed sexual offences&lt;/title&gt;&lt;secondary-title&gt;Youth Violence and Juvenile Justice&lt;/secondary-title&gt;&lt;/titles&gt;&lt;periodical&gt;&lt;full-title&gt;Youth Violence and Juvenile Justice&lt;/full-title&gt;&lt;/periodical&gt;&lt;pages&gt;413-430&lt;/pages&gt;&lt;volume&gt;17&lt;/volume&gt;&lt;number&gt;4&lt;/number&gt;&lt;dates&gt;&lt;year&gt;2019&lt;/year&gt;&lt;/dates&gt;&lt;urls&gt;&lt;/urls&gt;&lt;electronic-resource-num&gt;10.1177/1541204018820578&lt;/electronic-resource-num&gt;&lt;/record&gt;&lt;/Cite&gt;&lt;/EndNote&gt;</w:instrText>
      </w:r>
      <w:r w:rsidRPr="00EC02CA">
        <w:fldChar w:fldCharType="separate"/>
      </w:r>
      <w:r w:rsidRPr="00EC02CA">
        <w:fldChar w:fldCharType="end"/>
      </w:r>
      <w:r w:rsidRPr="00EC02CA">
        <w:t>.</w:t>
      </w:r>
      <w:r w:rsidRPr="00EC02CA">
        <w:rPr>
          <w:rStyle w:val="FootnoteReference"/>
        </w:rPr>
        <w:footnoteReference w:id="948"/>
      </w:r>
      <w:r w:rsidRPr="00EC02CA">
        <w:t xml:space="preserve"> The first category, type 1, involved having child victims and being unlikely to use force; the second, type 2, involved a greater likelihood of having a female teen or adult victim; the third, type 3, involved having a male child victim, with a greater likelihood of planned offending and the use of force; and the fourth, type 4, involved an earlier onset of offending (ie age 11 or younger), a minimum of two victims (ie both child and peer/adult), planned offending and the use of force. Brown suggested the age of the victim was one of the most important variables for the categorisation of youth </w:t>
      </w:r>
      <w:r w:rsidR="00AC7E04" w:rsidRPr="00EC02CA">
        <w:t>who had committed</w:t>
      </w:r>
      <w:r w:rsidRPr="00EC02CA">
        <w:t xml:space="preserve"> sexual offences. However, this sample excluded female </w:t>
      </w:r>
      <w:r w:rsidR="00AC7E04" w:rsidRPr="00EC02CA">
        <w:t>offende</w:t>
      </w:r>
      <w:r w:rsidRPr="00EC02CA">
        <w:t xml:space="preserve">rs and was largely Caucasian, potentially limiting the generalisability of these categories. </w:t>
      </w:r>
    </w:p>
    <w:p w14:paraId="3836A800" w14:textId="77777777" w:rsidR="008D1099" w:rsidRPr="00EC02CA" w:rsidRDefault="008D1099" w:rsidP="00A920EC">
      <w:pPr>
        <w:pStyle w:val="NormalNumberedTextTLRI"/>
        <w:numPr>
          <w:ilvl w:val="0"/>
          <w:numId w:val="0"/>
        </w:numPr>
      </w:pPr>
      <w:r w:rsidRPr="00EC02CA">
        <w:t>With a larger sample of 4,143 young people (3,857 male and 286 female) who were charged with a sexual offence in Florida, Fox and DeLisi proposed four male categories and two female categories of young people who commit sexual offences, as follows: (1) non-disordered males, (2) impulsive and unempathetic, (3) early onset chronic, and (4) male victim offenders; as well as (1) non-disordered females, and (2) female victim offenders</w:t>
      </w:r>
      <w:r w:rsidRPr="00EC02CA">
        <w:fldChar w:fldCharType="begin"/>
      </w:r>
      <w:r w:rsidRPr="00EC02CA">
        <w:instrText xml:space="preserve"> ADDIN EN.CITE &lt;EndNote&gt;&lt;Cite&gt;&lt;Author&gt;Fox&lt;/Author&gt;&lt;Year&gt;2018&lt;/Year&gt;&lt;RecNum&gt;31631&lt;/RecNum&gt;&lt;record&gt;&lt;rec-number&gt;31631&lt;/rec-number&gt;&lt;foreign-keys&gt;&lt;key app="EN" db-id="92twpawtxsdzaae5zwevdsw799fderxv2d52" timestamp="1692927417"&gt;31631&lt;/key&gt;&lt;/foreign-keys&gt;&lt;ref-type name="Journal Article"&gt;17&lt;/ref-type&gt;&lt;contributors&gt;&lt;authors&gt;&lt;author&gt;Fox, Bryanna&lt;/author&gt;&lt;author&gt;DeLisi, Matt&lt;/author&gt;&lt;/authors&gt;&lt;/contributors&gt;&lt;titles&gt;&lt;title&gt;From criminological heterogeneity to coherent classes: Developing a typology of juvenile sex offenders&lt;/title&gt;&lt;secondary-title&gt;Youth Violence and Juvenile Justice&lt;/secondary-title&gt;&lt;/titles&gt;&lt;periodical&gt;&lt;full-title&gt;Youth Violence and Juvenile Justice&lt;/full-title&gt;&lt;/periodical&gt;&lt;pages&gt;299-318&lt;/pages&gt;&lt;volume&gt;16&lt;/volume&gt;&lt;number&gt;3&lt;/number&gt;&lt;dates&gt;&lt;year&gt;2018&lt;/year&gt;&lt;/dates&gt;&lt;urls&gt;&lt;/urls&gt;&lt;electronic-resource-num&gt;10.1177/1541204017699257&lt;/electronic-resource-num&gt;&lt;/record&gt;&lt;/Cite&gt;&lt;/EndNote&gt;</w:instrText>
      </w:r>
      <w:r w:rsidRPr="00EC02CA">
        <w:fldChar w:fldCharType="separate"/>
      </w:r>
      <w:r w:rsidRPr="00EC02CA">
        <w:fldChar w:fldCharType="end"/>
      </w:r>
      <w:r w:rsidRPr="00EC02CA">
        <w:t>.</w:t>
      </w:r>
      <w:r w:rsidRPr="00EC02CA">
        <w:rPr>
          <w:rStyle w:val="FootnoteReference"/>
        </w:rPr>
        <w:footnoteReference w:id="949"/>
      </w:r>
      <w:r w:rsidRPr="00EC02CA">
        <w:t xml:space="preserve"> Of the male categories, non-disordered males (type 1) were the most common in the sample, presenting with low rates of criminal activity, psychological issues, and adverse childhood experiences; the second category, type 2, were highly impulsive and lacking empathy; early onset chronic, type 3, had high rates of serious prior offending and the onset of sexual offending at age 12 or younger, with low rates of psychopathologies or adverse childhood experiences; the fourth category, type 4, exhibited high rates of psychological issues, including depression and psychosis, early onset sexual offending behaviours and the highest rate of childhood sexual abuse experiences of all males in the sample. Similar to type 1 males, non-disordered females, type 1, presented with low levels of impulsivity, high rates of empathy and low levels of psychological issues, with low rates of experiences of sexual abuse; whereas type 2 females had high levels of impulsivity, low rates of empathy, earlier onset and serious offending, with higher rates of psychopathologies, including depression and psychosis, and the highest rates of childhood sexual abuse experiences across the entire sample</w:t>
      </w:r>
      <w:r w:rsidRPr="00EC02CA">
        <w:fldChar w:fldCharType="begin"/>
      </w:r>
      <w:r w:rsidRPr="00EC02CA">
        <w:instrText xml:space="preserve"> ADDIN EN.CITE &lt;EndNote&gt;&lt;Cite&gt;&lt;Author&gt;van der Put&lt;/Author&gt;&lt;Year&gt;2015&lt;/Year&gt;&lt;RecNum&gt;31638&lt;/RecNum&gt;&lt;record&gt;&lt;rec-number&gt;31638&lt;/rec-number&gt;&lt;foreign-keys&gt;&lt;key app="EN" db-id="92twpawtxsdzaae5zwevdsw799fderxv2d52" timestamp="1692930477"&gt;31638&lt;/key&gt;&lt;/foreign-keys&gt;&lt;ref-type name="Journal Article"&gt;17&lt;/ref-type&gt;&lt;contributors&gt;&lt;authors&gt;&lt;author&gt;van der Put, Claudia E&lt;/author&gt;&lt;/authors&gt;&lt;/contributors&gt;&lt;titles&gt;&lt;title&gt;Female adolescent sexual and nonsexual violent offenders: A comparison of the prevalence and impact of risk and protective factors for general recidivism&lt;/title&gt;&lt;secondary-title&gt;BMC Psychiatry&lt;/secondary-title&gt;&lt;/titles&gt;&lt;periodical&gt;&lt;full-title&gt;BMC Psychiatry&lt;/full-title&gt;&lt;/periodical&gt;&lt;pages&gt;236-246&lt;/pages&gt;&lt;volume&gt;15&lt;/volume&gt;&lt;dates&gt;&lt;year&gt;2015&lt;/year&gt;&lt;/dates&gt;&lt;urls&gt;&lt;/urls&gt;&lt;electronic-resource-num&gt;10.1186/s12888-015-0615-6&lt;/electronic-resource-num&gt;&lt;/record&gt;&lt;/Cite&gt;&lt;Cite&gt;&lt;Author&gt;Wijkman&lt;/Author&gt;&lt;Year&gt;2015&lt;/Year&gt;&lt;RecNum&gt;31625&lt;/RecNum&gt;&lt;record&gt;&lt;rec-number&gt;31625&lt;/rec-number&gt;&lt;foreign-keys&gt;&lt;key app="EN" db-id="92twpawtxsdzaae5zwevdsw799fderxv2d52" timestamp="1692926839"&gt;31625&lt;/key&gt;&lt;/foreign-keys&gt;&lt;ref-type name="Journal Article"&gt;17&lt;/ref-type&gt;&lt;contributors&gt;&lt;authors&gt;&lt;author&gt;Wijkman, Miriam&lt;/author&gt;&lt;author&gt;Weerman, Frank&lt;/author&gt;&lt;author&gt;Bijleveld, Catrien&lt;/author&gt;&lt;author&gt;Hendriks, Jan&lt;/author&gt;&lt;/authors&gt;&lt;/contributors&gt;&lt;titles&gt;&lt;title&gt;Group sexual offending by juvenile females&lt;/title&gt;&lt;secondary-title&gt;Sexual Abuse: A Journal of Research and Treatment&lt;/secondary-title&gt;&lt;/titles&gt;&lt;periodical&gt;&lt;full-title&gt;Sexual Abuse: A Journal of Research and Treatment&lt;/full-title&gt;&lt;/periodical&gt;&lt;pages&gt;335-356&lt;/pages&gt;&lt;volume&gt;27&lt;/volume&gt;&lt;number&gt;3&lt;/number&gt;&lt;dates&gt;&lt;year&gt;2015&lt;/year&gt;&lt;/dates&gt;&lt;urls&gt;&lt;/urls&gt;&lt;electronic-resource-num&gt;10.1177/1079063214561685&lt;/electronic-resource-num&gt;&lt;/record&gt;&lt;/Cite&gt;&lt;/EndNote&gt;</w:instrText>
      </w:r>
      <w:r w:rsidRPr="00EC02CA">
        <w:fldChar w:fldCharType="separate"/>
      </w:r>
      <w:r w:rsidRPr="00EC02CA">
        <w:fldChar w:fldCharType="end"/>
      </w:r>
      <w:r w:rsidRPr="00EC02CA">
        <w:t>.</w:t>
      </w:r>
      <w:r w:rsidRPr="00EC02CA">
        <w:rPr>
          <w:rStyle w:val="FootnoteReference"/>
        </w:rPr>
        <w:footnoteReference w:id="950"/>
      </w:r>
      <w:r w:rsidRPr="00EC02CA">
        <w:t xml:space="preserve"> Fox and DeLisi suggested the most significant variables for categorisation of young people who commit sexual offences were age of onset, prior offending history, impulsivity, empathy, psychological issues and experiences of childhood sexual abuse. </w:t>
      </w:r>
    </w:p>
    <w:p w14:paraId="68CA0ADE" w14:textId="77777777" w:rsidR="003B4ABF" w:rsidRPr="00EC02CA" w:rsidRDefault="003B4ABF" w:rsidP="001C09C6"/>
    <w:p w14:paraId="2A0FCBCE" w14:textId="77777777" w:rsidR="003B4ABF" w:rsidRPr="00EC02CA" w:rsidRDefault="003B4ABF" w:rsidP="001C09C6">
      <w:pPr>
        <w:sectPr w:rsidR="003B4ABF" w:rsidRPr="00EC02CA" w:rsidSect="0037247A">
          <w:headerReference w:type="default" r:id="rId57"/>
          <w:pgSz w:w="11906" w:h="16838"/>
          <w:pgMar w:top="1440" w:right="1440" w:bottom="1440" w:left="1440" w:header="708" w:footer="708" w:gutter="0"/>
          <w:cols w:space="708"/>
          <w:docGrid w:linePitch="360"/>
        </w:sectPr>
      </w:pPr>
    </w:p>
    <w:p w14:paraId="3B0A598E" w14:textId="174BE6B2" w:rsidR="003B4ABF" w:rsidRPr="00EC02CA" w:rsidRDefault="003B4ABF" w:rsidP="003B4ABF">
      <w:pPr>
        <w:pStyle w:val="ExecSummaryandAppendixHeading"/>
      </w:pPr>
      <w:bookmarkStart w:id="493" w:name="_Toc211849477"/>
      <w:bookmarkStart w:id="494" w:name="_Toc218157382"/>
      <w:r w:rsidRPr="00EC02CA">
        <w:t xml:space="preserve">Appendix </w:t>
      </w:r>
      <w:r w:rsidR="00DE38F8" w:rsidRPr="00EC02CA">
        <w:t>F</w:t>
      </w:r>
      <w:r w:rsidR="006500C5" w:rsidRPr="00EC02CA">
        <w:t>: Treatment interventions</w:t>
      </w:r>
      <w:r w:rsidR="007F0693" w:rsidRPr="00EC02CA">
        <w:t>: Literature summary</w:t>
      </w:r>
      <w:bookmarkEnd w:id="493"/>
      <w:bookmarkEnd w:id="494"/>
    </w:p>
    <w:p w14:paraId="32F0C948" w14:textId="42E2D8EF" w:rsidR="00016120" w:rsidRPr="00EC02CA" w:rsidRDefault="00016120" w:rsidP="006500C5">
      <w:pPr>
        <w:rPr>
          <w:b/>
          <w:bCs/>
        </w:rPr>
      </w:pPr>
      <w:r w:rsidRPr="00EC02CA">
        <w:rPr>
          <w:b/>
          <w:bCs/>
        </w:rPr>
        <w:t>Risk</w:t>
      </w:r>
      <w:r w:rsidR="00463687" w:rsidRPr="00EC02CA">
        <w:rPr>
          <w:b/>
          <w:bCs/>
        </w:rPr>
        <w:t>-</w:t>
      </w:r>
      <w:r w:rsidRPr="00EC02CA">
        <w:rPr>
          <w:b/>
          <w:bCs/>
        </w:rPr>
        <w:t>Needs</w:t>
      </w:r>
      <w:r w:rsidR="00463687" w:rsidRPr="00EC02CA">
        <w:rPr>
          <w:b/>
          <w:bCs/>
        </w:rPr>
        <w:t>-</w:t>
      </w:r>
      <w:r w:rsidRPr="00EC02CA">
        <w:rPr>
          <w:b/>
          <w:bCs/>
        </w:rPr>
        <w:t xml:space="preserve">Responsivity </w:t>
      </w:r>
      <w:r w:rsidR="00505D34" w:rsidRPr="00EC02CA">
        <w:rPr>
          <w:b/>
          <w:bCs/>
        </w:rPr>
        <w:t>m</w:t>
      </w:r>
      <w:r w:rsidRPr="00EC02CA">
        <w:rPr>
          <w:b/>
          <w:bCs/>
        </w:rPr>
        <w:t>odel</w:t>
      </w:r>
    </w:p>
    <w:p w14:paraId="3AC0B06D" w14:textId="57F1C477" w:rsidR="006500C5" w:rsidRPr="00EC02CA" w:rsidRDefault="006500C5" w:rsidP="006500C5">
      <w:r w:rsidRPr="00EC02CA">
        <w:t xml:space="preserve">In youth justice systems, group intervention is often preferred over individual intervention as a treatment modality for youth offenders. Group interventions demonstrate several advantages for youth justice settings, especially those in rural or remote communities, where staffing, resources, and time constraints can negatively impact access to intervention opportunities (Hackett et al, 2022). While ideally youth offenders should be assessed and triaged into treatment groups based on the seriousness of the offence, this does not commonly occur. The Risk-Needs-Responsivity (RNR) </w:t>
      </w:r>
      <w:r w:rsidR="00505D34" w:rsidRPr="00EC02CA">
        <w:t xml:space="preserve">model </w:t>
      </w:r>
      <w:r w:rsidRPr="00EC02CA">
        <w:t xml:space="preserve">has commonly been adopted across both adult and youth criminal justice settings and is highly regarded as a theoretical framework for treating offenders. </w:t>
      </w:r>
    </w:p>
    <w:p w14:paraId="0D3D1BD8" w14:textId="4E228842" w:rsidR="006500C5" w:rsidRPr="00EC02CA" w:rsidRDefault="006500C5" w:rsidP="006500C5">
      <w:r w:rsidRPr="00EC02CA">
        <w:t>The RNR model developed by Andrews and Bonta (1994) is a framework used to guide the assessment and treatment of youth offenders. The RNR model aims to reduce recidivism by focussing on three key principles.</w:t>
      </w:r>
    </w:p>
    <w:p w14:paraId="7C61E390" w14:textId="20132AD8" w:rsidR="006500C5" w:rsidRPr="00EC02CA" w:rsidRDefault="006500C5" w:rsidP="006500C5">
      <w:r w:rsidRPr="00EC02CA">
        <w:rPr>
          <w:b/>
          <w:bCs/>
        </w:rPr>
        <w:t>Risk:</w:t>
      </w:r>
      <w:r w:rsidRPr="00EC02CA">
        <w:t xml:space="preserve"> This principle emphasises assessing the likely risk an individual poses to reoffend. This model asserts that youth who are at higher risk should receive more intensive interventions, while lower-risk youth can benefit from less intensive strategies. In the context of offences, how to categorise the </w:t>
      </w:r>
      <w:r w:rsidR="00DD5195" w:rsidRPr="00EC02CA">
        <w:t>‘</w:t>
      </w:r>
      <w:r w:rsidRPr="00EC02CA">
        <w:t>seriousness’ of an offence remains a contentious issue. Ongoing inconsistencies and discourse among the legal perspective of serious offences and the psychological perspective of serious offences create difficulties in accurately and effectively assessing and determining what constitutes high-risk offending among youths. Bridging the gap between the law and psychology will undoubtedly help increase the accuracy and subsequent triage of youths</w:t>
      </w:r>
      <w:r w:rsidR="00D55B7B" w:rsidRPr="00EC02CA">
        <w:t>,</w:t>
      </w:r>
      <w:r w:rsidRPr="00EC02CA">
        <w:t xml:space="preserve"> and enable interventions to be at the required frequency and intensity for high-risk youths. </w:t>
      </w:r>
    </w:p>
    <w:p w14:paraId="5264110F" w14:textId="77777777" w:rsidR="006500C5" w:rsidRPr="00EC02CA" w:rsidRDefault="006500C5" w:rsidP="006500C5">
      <w:r w:rsidRPr="00EC02CA">
        <w:rPr>
          <w:b/>
          <w:bCs/>
        </w:rPr>
        <w:t>Needs:</w:t>
      </w:r>
      <w:r w:rsidRPr="00EC02CA">
        <w:t xml:space="preserve"> This involves identifying the specific criminogenic needs of the youth. Factors that contribute to the offending behaviour, such as substance abuse, peer influences, or family issues are examples of needs to be targeted through intervention. The RNR model suggests that addressing these needs through targeted interventions is crucial for effective rehabilitation.</w:t>
      </w:r>
    </w:p>
    <w:p w14:paraId="63EF4F21" w14:textId="1A5F65C8" w:rsidR="006500C5" w:rsidRPr="00EC02CA" w:rsidRDefault="006500C5" w:rsidP="006500C5">
      <w:r w:rsidRPr="00EC02CA">
        <w:rPr>
          <w:b/>
          <w:bCs/>
        </w:rPr>
        <w:t>Responsivity:</w:t>
      </w:r>
      <w:r w:rsidRPr="00EC02CA">
        <w:t xml:space="preserve"> The final principle focusses on tailoring interventions to the individual’s learning style, strengths, and circumstances. It recognises that effective treatment should be delivered in a way that is responsive to the youth</w:t>
      </w:r>
      <w:r w:rsidR="00D55B7B" w:rsidRPr="00EC02CA">
        <w:t>’</w:t>
      </w:r>
      <w:r w:rsidRPr="00EC02CA">
        <w:t>s unique needs, which can enhance engagement and outcomes. This model asserts that through integrating these principles, the RNR model aims to provide a structured approach to reducing recidivism among youth offenders, ultimately supporting their rehabilitation and reintegration into society. Although the RNR model asserts that the best-practice approach to treating youths involves the segregation and treatment of low, moderate, and high-risk offenders this can be (and is often) unrealistic within youth justice systems</w:t>
      </w:r>
      <w:r w:rsidR="00C715E5" w:rsidRPr="00EC02CA">
        <w:t>,</w:t>
      </w:r>
      <w:r w:rsidRPr="00EC02CA">
        <w:t xml:space="preserve"> due to limited government funding and a lack of resources. Therefore, the combination of low- and high-risk offenders in treatment remains common for this cohort and presents additional challenges for intervention efficacy. </w:t>
      </w:r>
    </w:p>
    <w:p w14:paraId="4DEDEE48" w14:textId="58D05DCE" w:rsidR="006500C5" w:rsidRPr="00EC02CA" w:rsidRDefault="006500C5" w:rsidP="006500C5">
      <w:r w:rsidRPr="00EC02CA">
        <w:t>There are several issues that may arise from the amalgamation of treatment for serious/high-risk and minor/low-risk sexual offenders; one such issue is that of deviancy training (Snyder et al, 2005). Deviancy training refers to a social learning phenomenon whereby peers who communicate about antisocial topics can provide endorsement and instruction on how to more successfully engage in antisocial behaviours in the future. This phenomenon has commonly been reported as a significant challenge for those delivering group interventions and may inadvertently cause an increase in deviant behaviours, which is contrary to the intended outcomes of the intervention (Calvert &amp; Bauer</w:t>
      </w:r>
      <w:r w:rsidR="00ED1725" w:rsidRPr="00EC02CA">
        <w:t>,</w:t>
      </w:r>
      <w:r w:rsidRPr="00EC02CA">
        <w:t xml:space="preserve"> 2018).</w:t>
      </w:r>
    </w:p>
    <w:p w14:paraId="2DA8812A" w14:textId="7860F25A" w:rsidR="00A03EAB" w:rsidRPr="00EC02CA" w:rsidRDefault="00A03EAB" w:rsidP="00A920EC">
      <w:pPr>
        <w:keepNext/>
        <w:keepLines/>
        <w:rPr>
          <w:b/>
          <w:bCs/>
        </w:rPr>
      </w:pPr>
      <w:r w:rsidRPr="00EC02CA">
        <w:rPr>
          <w:b/>
          <w:bCs/>
        </w:rPr>
        <w:t xml:space="preserve">Existing </w:t>
      </w:r>
      <w:r w:rsidR="008A6B26" w:rsidRPr="00EC02CA">
        <w:rPr>
          <w:b/>
          <w:bCs/>
        </w:rPr>
        <w:t>t</w:t>
      </w:r>
      <w:r w:rsidRPr="00EC02CA">
        <w:rPr>
          <w:b/>
          <w:bCs/>
        </w:rPr>
        <w:t xml:space="preserve">reatment </w:t>
      </w:r>
      <w:r w:rsidR="008A6B26" w:rsidRPr="00EC02CA">
        <w:rPr>
          <w:b/>
          <w:bCs/>
        </w:rPr>
        <w:t>a</w:t>
      </w:r>
      <w:r w:rsidRPr="00EC02CA">
        <w:rPr>
          <w:b/>
          <w:bCs/>
        </w:rPr>
        <w:t xml:space="preserve">pproaches for </w:t>
      </w:r>
      <w:r w:rsidR="008A6B26" w:rsidRPr="00EC02CA">
        <w:rPr>
          <w:b/>
          <w:bCs/>
        </w:rPr>
        <w:t>a</w:t>
      </w:r>
      <w:r w:rsidRPr="00EC02CA">
        <w:rPr>
          <w:b/>
          <w:bCs/>
        </w:rPr>
        <w:t xml:space="preserve">ddressing </w:t>
      </w:r>
      <w:r w:rsidR="008A6B26" w:rsidRPr="00EC02CA">
        <w:rPr>
          <w:b/>
          <w:bCs/>
        </w:rPr>
        <w:t>h</w:t>
      </w:r>
      <w:r w:rsidRPr="00EC02CA">
        <w:rPr>
          <w:b/>
          <w:bCs/>
        </w:rPr>
        <w:t xml:space="preserve">armful </w:t>
      </w:r>
      <w:r w:rsidR="008A6B26" w:rsidRPr="00EC02CA">
        <w:rPr>
          <w:b/>
          <w:bCs/>
        </w:rPr>
        <w:t>s</w:t>
      </w:r>
      <w:r w:rsidRPr="00EC02CA">
        <w:rPr>
          <w:b/>
          <w:bCs/>
        </w:rPr>
        <w:t xml:space="preserve">exual </w:t>
      </w:r>
      <w:r w:rsidR="008A6B26" w:rsidRPr="00EC02CA">
        <w:rPr>
          <w:b/>
          <w:bCs/>
        </w:rPr>
        <w:t>b</w:t>
      </w:r>
      <w:r w:rsidRPr="00EC02CA">
        <w:rPr>
          <w:b/>
          <w:bCs/>
        </w:rPr>
        <w:t xml:space="preserve">ehaviour in </w:t>
      </w:r>
      <w:r w:rsidR="008A6B26" w:rsidRPr="00EC02CA">
        <w:rPr>
          <w:b/>
          <w:bCs/>
        </w:rPr>
        <w:t>y</w:t>
      </w:r>
      <w:r w:rsidRPr="00EC02CA">
        <w:rPr>
          <w:b/>
          <w:bCs/>
        </w:rPr>
        <w:t>ouths</w:t>
      </w:r>
    </w:p>
    <w:p w14:paraId="346FFE34" w14:textId="77777777" w:rsidR="00A03EAB" w:rsidRPr="00EC02CA" w:rsidRDefault="00A03EAB" w:rsidP="00A920EC">
      <w:pPr>
        <w:keepNext/>
        <w:keepLines/>
        <w:rPr>
          <w:i/>
          <w:iCs/>
        </w:rPr>
      </w:pPr>
      <w:r w:rsidRPr="00EC02CA">
        <w:rPr>
          <w:i/>
          <w:iCs/>
        </w:rPr>
        <w:t xml:space="preserve">Multi-Systemic Therapy </w:t>
      </w:r>
    </w:p>
    <w:p w14:paraId="4777D17B" w14:textId="799769D7" w:rsidR="00A03EAB" w:rsidRPr="00EC02CA" w:rsidRDefault="00A03EAB" w:rsidP="00A920EC">
      <w:pPr>
        <w:keepNext/>
        <w:keepLines/>
      </w:pPr>
      <w:r w:rsidRPr="00EC02CA">
        <w:t>Multi-Systemic Therapy (MST) is a multi-modal short-term community and home-based intervention for youths with social</w:t>
      </w:r>
      <w:r w:rsidR="00C715E5" w:rsidRPr="00EC02CA">
        <w:t>,</w:t>
      </w:r>
      <w:r w:rsidRPr="00EC02CA">
        <w:t xml:space="preserve"> emotional and behavioural problems (MST Services Inc</w:t>
      </w:r>
      <w:r w:rsidR="00ED1725" w:rsidRPr="00EC02CA">
        <w:t>,</w:t>
      </w:r>
      <w:r w:rsidRPr="00EC02CA">
        <w:t xml:space="preserve"> 2010). MST is widely recognised as one of the few evidence-based techniques for youth offenders as it addresses criminogenic risk factors, such as individual, peer and neighbour influences (Henggeler</w:t>
      </w:r>
      <w:r w:rsidR="00ED1725" w:rsidRPr="00EC02CA">
        <w:t>,</w:t>
      </w:r>
      <w:r w:rsidRPr="00EC02CA">
        <w:t xml:space="preserve"> 2011). MST interventions are concentrated on improving family functioning</w:t>
      </w:r>
      <w:r w:rsidR="00C715E5" w:rsidRPr="00EC02CA">
        <w:t>,</w:t>
      </w:r>
      <w:r w:rsidRPr="00EC02CA">
        <w:t xml:space="preserve"> as it is theorised that by improving family functioning, the relationships between the youth and their peers, school and community will also improve (Andrews &amp; Bonta</w:t>
      </w:r>
      <w:r w:rsidR="00ED1725" w:rsidRPr="00EC02CA">
        <w:t>,</w:t>
      </w:r>
      <w:r w:rsidRPr="00EC02CA">
        <w:t xml:space="preserve"> 2010). MST is unique in that trained therapists are available to youths in home or in the community and are available 24 hours a day</w:t>
      </w:r>
      <w:r w:rsidR="00C715E5" w:rsidRPr="00EC02CA">
        <w:t>,</w:t>
      </w:r>
      <w:r w:rsidRPr="00EC02CA">
        <w:t xml:space="preserve"> 365 days of the year. The intervention includes several strategies primarily focused on behavioural parent training and </w:t>
      </w:r>
      <w:r w:rsidR="00933D08" w:rsidRPr="00EC02CA">
        <w:t>C</w:t>
      </w:r>
      <w:r w:rsidRPr="00EC02CA">
        <w:t xml:space="preserve">ognitive </w:t>
      </w:r>
      <w:r w:rsidR="00933D08" w:rsidRPr="00EC02CA">
        <w:t>B</w:t>
      </w:r>
      <w:r w:rsidRPr="00EC02CA">
        <w:t xml:space="preserve">ehavioural </w:t>
      </w:r>
      <w:r w:rsidR="00933D08" w:rsidRPr="00EC02CA">
        <w:t>T</w:t>
      </w:r>
      <w:r w:rsidRPr="00EC02CA">
        <w:t xml:space="preserve">herapy </w:t>
      </w:r>
      <w:r w:rsidR="00F92520" w:rsidRPr="00EC02CA">
        <w:t xml:space="preserve">(CBT) </w:t>
      </w:r>
      <w:r w:rsidRPr="00EC02CA">
        <w:t>techniques. This approach of embedding the intervention team within the community, with ready access for the family who are all part of the treatment paradigm, has been widely recognised as effective with youths by actively reducing (and in some instances, preventing) drop-out rates, which are common in this cohort (Van der Stouwe et al</w:t>
      </w:r>
      <w:r w:rsidR="00ED1725" w:rsidRPr="00EC02CA">
        <w:t>,</w:t>
      </w:r>
      <w:r w:rsidRPr="00EC02CA">
        <w:t xml:space="preserve"> 2014). A meta-analysis by Curtis et al (2004) with a sample of 708 youths involved in the justice system found a moderate overall effect of MST (d =.55) in comparison with control groups. A contrasting meta-analysis was conducted by Littell </w:t>
      </w:r>
      <w:r w:rsidR="00A46B49" w:rsidRPr="00EC02CA">
        <w:t>e</w:t>
      </w:r>
      <w:r w:rsidRPr="00EC02CA">
        <w:t>t al (2005) which found from a sample of 1</w:t>
      </w:r>
      <w:r w:rsidR="00C715E5" w:rsidRPr="00EC02CA">
        <w:t>,</w:t>
      </w:r>
      <w:r w:rsidRPr="00EC02CA">
        <w:t>230 youths that found inconclusive results of MST effectiveness at reducing criminogenic behaviours. There has been much conjecture in the literature about the methodological quality and biases of these studies, with several meta-analyses and system</w:t>
      </w:r>
      <w:r w:rsidR="00C715E5" w:rsidRPr="00EC02CA">
        <w:t>at</w:t>
      </w:r>
      <w:r w:rsidRPr="00EC02CA">
        <w:t xml:space="preserve">ic reviews being conducted by dependent members of the MST </w:t>
      </w:r>
      <w:r w:rsidR="000F6D6F" w:rsidRPr="00EC02CA">
        <w:t>B</w:t>
      </w:r>
      <w:r w:rsidRPr="00EC02CA">
        <w:t>oard, raising concerns about validity and reliability of results (Can der Stouwe et al</w:t>
      </w:r>
      <w:r w:rsidR="00ED1725" w:rsidRPr="00EC02CA">
        <w:t>,</w:t>
      </w:r>
      <w:r w:rsidRPr="00EC02CA">
        <w:t xml:space="preserve"> 2014). Given the mixed evidence</w:t>
      </w:r>
      <w:r w:rsidR="00933D08" w:rsidRPr="00EC02CA">
        <w:t xml:space="preserve"> </w:t>
      </w:r>
      <w:r w:rsidRPr="00EC02CA">
        <w:t xml:space="preserve">base regarding the efficacy of MST in supporting the rehabilitation of individuals who engage in harmful sexual behaviour, more independent and methodologically robust evaluations of treatment efficacy is needed.   </w:t>
      </w:r>
    </w:p>
    <w:p w14:paraId="5AAC2530" w14:textId="7D47F66F" w:rsidR="00A03EAB" w:rsidRPr="00EC02CA" w:rsidRDefault="00A03EAB" w:rsidP="00A03EAB">
      <w:pPr>
        <w:rPr>
          <w:i/>
          <w:iCs/>
        </w:rPr>
      </w:pPr>
      <w:r w:rsidRPr="00EC02CA">
        <w:rPr>
          <w:i/>
          <w:iCs/>
        </w:rPr>
        <w:t>Problematic Sexual Behaviour-Cognitive Behavioural Therapy (PSB</w:t>
      </w:r>
      <w:r w:rsidR="00D42FCC" w:rsidRPr="00EC02CA">
        <w:rPr>
          <w:i/>
          <w:iCs/>
        </w:rPr>
        <w:t>-</w:t>
      </w:r>
      <w:r w:rsidRPr="00EC02CA">
        <w:rPr>
          <w:i/>
          <w:iCs/>
        </w:rPr>
        <w:t>CBT)</w:t>
      </w:r>
    </w:p>
    <w:p w14:paraId="191B838C" w14:textId="325EF303" w:rsidR="00A03EAB" w:rsidRPr="00EC02CA" w:rsidRDefault="00A03EAB" w:rsidP="00A03EAB">
      <w:r w:rsidRPr="00EC02CA">
        <w:t xml:space="preserve">CBT has been widely recognised as an evidence-based treatment for several psychological and behavioural difficulties, including harmful sexual behaviours. </w:t>
      </w:r>
      <w:r w:rsidR="00D42FCC" w:rsidRPr="00EC02CA">
        <w:t>CBT</w:t>
      </w:r>
      <w:r w:rsidRPr="00EC02CA">
        <w:t xml:space="preserve"> approaches address both cognitive factors </w:t>
      </w:r>
      <w:r w:rsidR="00A57980" w:rsidRPr="00EC02CA">
        <w:t xml:space="preserve">that </w:t>
      </w:r>
      <w:r w:rsidRPr="00EC02CA">
        <w:t>influence offending behaviours, such as unhelpful thinking styles</w:t>
      </w:r>
      <w:r w:rsidR="00A57980" w:rsidRPr="00EC02CA">
        <w:t>,</w:t>
      </w:r>
      <w:r w:rsidRPr="00EC02CA">
        <w:t xml:space="preserve"> and beliefs and behavioural factors such as problematic sexual behaviour. A study by Carpentier, Silovsky and Chaffin (2006) found that youths who engaged with PSB</w:t>
      </w:r>
      <w:r w:rsidR="00463687" w:rsidRPr="00EC02CA">
        <w:t>-</w:t>
      </w:r>
      <w:r w:rsidRPr="00EC02CA">
        <w:t>CBT intervention were less likely to reoffend (2</w:t>
      </w:r>
      <w:r w:rsidR="00A57980" w:rsidRPr="00EC02CA">
        <w:t>%</w:t>
      </w:r>
      <w:r w:rsidRPr="00EC02CA">
        <w:t>) in comparison with the control group (10</w:t>
      </w:r>
      <w:r w:rsidR="00A57980" w:rsidRPr="00EC02CA">
        <w:t>%</w:t>
      </w:r>
      <w:r w:rsidRPr="00EC02CA">
        <w:t>), demonstrating PSB</w:t>
      </w:r>
      <w:r w:rsidR="00463687" w:rsidRPr="00EC02CA">
        <w:t>-</w:t>
      </w:r>
      <w:r w:rsidRPr="00EC02CA">
        <w:t xml:space="preserve">CBT’s efficacy as a psychological intervention for youths </w:t>
      </w:r>
      <w:r w:rsidR="00A57980" w:rsidRPr="00EC02CA">
        <w:t xml:space="preserve">who engage in </w:t>
      </w:r>
      <w:r w:rsidRPr="00EC02CA">
        <w:t>harmful sexual behaviour (Calvert &amp; Bauer</w:t>
      </w:r>
      <w:r w:rsidR="00ED1725" w:rsidRPr="00EC02CA">
        <w:t>,</w:t>
      </w:r>
      <w:r w:rsidRPr="00EC02CA">
        <w:t xml:space="preserve"> 2018). </w:t>
      </w:r>
    </w:p>
    <w:p w14:paraId="4F9254EB" w14:textId="77777777" w:rsidR="00A03EAB" w:rsidRPr="00EC02CA" w:rsidRDefault="00A03EAB" w:rsidP="00A03EAB">
      <w:pPr>
        <w:rPr>
          <w:i/>
          <w:iCs/>
        </w:rPr>
      </w:pPr>
      <w:r w:rsidRPr="00EC02CA">
        <w:rPr>
          <w:i/>
          <w:iCs/>
        </w:rPr>
        <w:t>Forward-Focused Model (FFM)</w:t>
      </w:r>
    </w:p>
    <w:p w14:paraId="3BD0AB04" w14:textId="40D29ED6" w:rsidR="00A03EAB" w:rsidRPr="00EC02CA" w:rsidRDefault="00A03EAB" w:rsidP="00A03EAB">
      <w:r w:rsidRPr="00EC02CA">
        <w:t xml:space="preserve">The </w:t>
      </w:r>
      <w:r w:rsidR="000110B0" w:rsidRPr="00EC02CA">
        <w:t>F</w:t>
      </w:r>
      <w:r w:rsidRPr="00EC02CA">
        <w:t>orward-</w:t>
      </w:r>
      <w:r w:rsidR="000110B0" w:rsidRPr="00EC02CA">
        <w:t>F</w:t>
      </w:r>
      <w:r w:rsidRPr="00EC02CA">
        <w:t xml:space="preserve">ocused </w:t>
      </w:r>
      <w:r w:rsidR="000110B0" w:rsidRPr="00EC02CA">
        <w:t>M</w:t>
      </w:r>
      <w:r w:rsidRPr="00EC02CA">
        <w:t xml:space="preserve">odel (FFM) was developed by Nancy Calleja (2013) for intervention with youths involved in the youth justice system. The FFM incorporates both CBT techniques and Motivational Interviewing (MI) strategies. The FFM recognises the influence of pre-existing treatment protocols and practices for adults and how this adaptation is ineffective when working with youths. The FFM emphasises the role of brain development on offending behaviours and the significance of parental involvement in positive outcomes for youths. Calleja’s (2022) evaluation of the </w:t>
      </w:r>
      <w:r w:rsidR="000110B0" w:rsidRPr="00EC02CA">
        <w:t>FFM</w:t>
      </w:r>
      <w:r w:rsidRPr="00EC02CA">
        <w:t xml:space="preserve"> found </w:t>
      </w:r>
      <w:r w:rsidR="00A57980" w:rsidRPr="00EC02CA">
        <w:t xml:space="preserve">it </w:t>
      </w:r>
      <w:r w:rsidRPr="00EC02CA">
        <w:t>to be effective at reducing recidivism in comparison with a control group</w:t>
      </w:r>
      <w:r w:rsidR="00A57980" w:rsidRPr="00EC02CA">
        <w:t>.</w:t>
      </w:r>
      <w:r w:rsidRPr="00EC02CA">
        <w:t xml:space="preserve"> </w:t>
      </w:r>
      <w:r w:rsidR="00A57980" w:rsidRPr="00EC02CA">
        <w:t>T</w:t>
      </w:r>
      <w:r w:rsidRPr="00EC02CA">
        <w:t xml:space="preserve">reatment type was found to be a positive and significant predictor (Wald = 4.856, p=.028) and the odds of no recidivism </w:t>
      </w:r>
      <w:r w:rsidR="00A57980" w:rsidRPr="00EC02CA">
        <w:t xml:space="preserve">were </w:t>
      </w:r>
      <w:r w:rsidRPr="00EC02CA">
        <w:t>2.25 greater for youths who completed the Forward-Focused Model. However, the use of recidivism in this study is representative of the shortcomings of using recidivism as an outcome. Calleja’s (2022) study included both sexual and non-sexual recidivism and therefore the effects on harmful sexual behaviour in isolation</w:t>
      </w:r>
      <w:r w:rsidR="00A57980" w:rsidRPr="00EC02CA">
        <w:t xml:space="preserve"> cannot be determined</w:t>
      </w:r>
      <w:r w:rsidRPr="00EC02CA">
        <w:t>. Further, the use of recidivism also fails to account for behavioural and attitudinal changes which are essential for lasting change to harmful sexual behaviour.</w:t>
      </w:r>
    </w:p>
    <w:p w14:paraId="4F3D84A8" w14:textId="6B2441CE" w:rsidR="00A03EAB" w:rsidRPr="00EC02CA" w:rsidRDefault="00A03EAB" w:rsidP="00A920EC">
      <w:pPr>
        <w:keepNext/>
        <w:keepLines/>
        <w:rPr>
          <w:b/>
          <w:bCs/>
        </w:rPr>
      </w:pPr>
      <w:r w:rsidRPr="00EC02CA">
        <w:rPr>
          <w:b/>
          <w:bCs/>
        </w:rPr>
        <w:t xml:space="preserve">Qualitative </w:t>
      </w:r>
      <w:r w:rsidR="008A6B26" w:rsidRPr="00EC02CA">
        <w:rPr>
          <w:b/>
          <w:bCs/>
        </w:rPr>
        <w:t>s</w:t>
      </w:r>
      <w:r w:rsidRPr="00EC02CA">
        <w:rPr>
          <w:b/>
          <w:bCs/>
        </w:rPr>
        <w:t>tudies</w:t>
      </w:r>
    </w:p>
    <w:p w14:paraId="0616F076" w14:textId="48573D84" w:rsidR="00A03EAB" w:rsidRPr="00EC02CA" w:rsidRDefault="00A03EAB" w:rsidP="00A03EAB">
      <w:r w:rsidRPr="00EC02CA">
        <w:t>McKibbin, Humphreys, and Hamilton</w:t>
      </w:r>
      <w:r w:rsidR="007C7E33" w:rsidRPr="00EC02CA">
        <w:t>’s</w:t>
      </w:r>
      <w:r w:rsidRPr="00EC02CA">
        <w:t xml:space="preserve"> (2017) study of 14 youths </w:t>
      </w:r>
      <w:r w:rsidR="007C7E33" w:rsidRPr="00EC02CA">
        <w:t xml:space="preserve">who engage in </w:t>
      </w:r>
      <w:r w:rsidRPr="00EC02CA">
        <w:t>harmful sexual behaviour identified three key areas for intervention</w:t>
      </w:r>
      <w:r w:rsidR="007C7E33" w:rsidRPr="00EC02CA">
        <w:t>:</w:t>
      </w:r>
      <w:r w:rsidRPr="00EC02CA">
        <w:t xml:space="preserve"> </w:t>
      </w:r>
    </w:p>
    <w:p w14:paraId="391380A9" w14:textId="03FDF03C" w:rsidR="00A03EAB" w:rsidRPr="00EC02CA" w:rsidRDefault="00A03EAB" w:rsidP="00A920EC">
      <w:pPr>
        <w:pStyle w:val="NumberlessNormalText"/>
        <w:numPr>
          <w:ilvl w:val="0"/>
          <w:numId w:val="226"/>
        </w:numPr>
      </w:pPr>
      <w:r w:rsidRPr="00EC02CA">
        <w:t xml:space="preserve">introducing sexual education at a younger age; </w:t>
      </w:r>
    </w:p>
    <w:p w14:paraId="3C3BAA29" w14:textId="568B0F34" w:rsidR="00A03EAB" w:rsidRPr="00EC02CA" w:rsidRDefault="00A03EAB" w:rsidP="00A920EC">
      <w:pPr>
        <w:pStyle w:val="NumberlessNormalText"/>
      </w:pPr>
      <w:r w:rsidRPr="00EC02CA">
        <w:t xml:space="preserve">reducing family violence victimisation area; and </w:t>
      </w:r>
    </w:p>
    <w:p w14:paraId="57FBCDC5" w14:textId="5383CD1A" w:rsidR="00A03EAB" w:rsidRPr="00EC02CA" w:rsidRDefault="00A03EAB" w:rsidP="00A920EC">
      <w:pPr>
        <w:pStyle w:val="NumberlessNormalText"/>
      </w:pPr>
      <w:r w:rsidRPr="00EC02CA">
        <w:t xml:space="preserve">minimising young people’s access to pornography, with 12 of the 14 interviewed youths identifying pornography exposure as a precipitant of their harmful sexual behaviour. </w:t>
      </w:r>
    </w:p>
    <w:p w14:paraId="7211E777" w14:textId="794AE460" w:rsidR="00A03EAB" w:rsidRPr="00EC02CA" w:rsidRDefault="00A03EAB" w:rsidP="00A03EAB">
      <w:r w:rsidRPr="00EC02CA">
        <w:t>These findings also correspond with findings from Wright, Tokunaga and Kraus’s (2016) meta-analysis</w:t>
      </w:r>
      <w:r w:rsidR="00DF08FC" w:rsidRPr="00EC02CA">
        <w:t>,</w:t>
      </w:r>
      <w:r w:rsidRPr="00EC02CA">
        <w:t xml:space="preserve"> which found the consumption of non-violent and violent pornography to be significantly and positively correlated with physical sexual aggression in youths. This underscores the strong relationship between pornography consumption and future sexual offending (Butler &amp; Seto, 2002). Other qualitative studies examined key themes of the provision of group intervention with youths, highlighting the importance of building friendships as </w:t>
      </w:r>
      <w:r w:rsidR="00DF08FC" w:rsidRPr="00EC02CA">
        <w:t xml:space="preserve">a </w:t>
      </w:r>
      <w:r w:rsidRPr="00EC02CA">
        <w:t xml:space="preserve">protective mechanism for preventing future offending. When synthesised, these studies also highlight the importance of early education around sexual behaviours, and the influence of victimisation on future sex offending. Taken together, results from </w:t>
      </w:r>
      <w:r w:rsidR="00DF08FC" w:rsidRPr="00EC02CA">
        <w:t xml:space="preserve">the </w:t>
      </w:r>
      <w:r w:rsidRPr="00EC02CA">
        <w:t>qualitative studies consistently highlight the need for prevention and proactive interventions for young people, rather than reactive interventions</w:t>
      </w:r>
      <w:r w:rsidR="00DF08FC" w:rsidRPr="00EC02CA">
        <w:t>,</w:t>
      </w:r>
      <w:r w:rsidRPr="00EC02CA">
        <w:t xml:space="preserve"> which rarely address the predisposing factors </w:t>
      </w:r>
      <w:r w:rsidR="00DF08FC" w:rsidRPr="00EC02CA">
        <w:t xml:space="preserve">that </w:t>
      </w:r>
      <w:r w:rsidRPr="00EC02CA">
        <w:t xml:space="preserve">influence offending behaviour (Butler &amp; Seto 2002). As such, long-term treatment gains can be undermined. </w:t>
      </w:r>
    </w:p>
    <w:p w14:paraId="257D62A1" w14:textId="73585E86" w:rsidR="00A03EAB" w:rsidRPr="00EC02CA" w:rsidRDefault="00A03EAB" w:rsidP="00A03EAB">
      <w:r w:rsidRPr="00EC02CA">
        <w:t xml:space="preserve">A recent systematic review (McVilly, Washington &amp; Norris, 2024) found that interventions which adopted a risk-need-responsivity approach were most effective for youths </w:t>
      </w:r>
      <w:r w:rsidR="00DF08FC" w:rsidRPr="00EC02CA">
        <w:t xml:space="preserve">who engage in </w:t>
      </w:r>
      <w:r w:rsidRPr="00EC02CA">
        <w:t xml:space="preserve">harmful sexual behaviour. The review conducted by McVilly et al (2024) aimed to evaluate the psychological interventions available to support youths </w:t>
      </w:r>
      <w:r w:rsidR="00DF08FC" w:rsidRPr="00EC02CA">
        <w:t xml:space="preserve">who engage in </w:t>
      </w:r>
      <w:r w:rsidRPr="00EC02CA">
        <w:t xml:space="preserve">harmful sexual behaviour and examine the efficacy of the available treatments. </w:t>
      </w:r>
      <w:r w:rsidR="00DF08FC" w:rsidRPr="00EC02CA">
        <w:t xml:space="preserve">Twenty-one </w:t>
      </w:r>
      <w:r w:rsidRPr="00EC02CA">
        <w:t xml:space="preserve">studies were included in the review, with most including studies adopting experimental designs. Sample sizes ranged from </w:t>
      </w:r>
      <w:r w:rsidR="00DF08FC" w:rsidRPr="00EC02CA">
        <w:t xml:space="preserve">three to </w:t>
      </w:r>
      <w:r w:rsidRPr="00EC02CA">
        <w:t>320</w:t>
      </w:r>
      <w:r w:rsidR="00DF08FC" w:rsidRPr="00EC02CA">
        <w:t>,</w:t>
      </w:r>
      <w:r w:rsidRPr="00EC02CA">
        <w:t xml:space="preserve"> with most treatment interventions targeted toward</w:t>
      </w:r>
      <w:r w:rsidR="00312EB5" w:rsidRPr="00EC02CA">
        <w:t>s</w:t>
      </w:r>
      <w:r w:rsidRPr="00EC02CA">
        <w:t xml:space="preserve"> male youths. Studies included were from several differing international locations, including the United Kingdom, </w:t>
      </w:r>
      <w:r w:rsidR="00DF08FC" w:rsidRPr="00EC02CA">
        <w:t>t</w:t>
      </w:r>
      <w:r w:rsidRPr="00EC02CA">
        <w:t>he United States of America</w:t>
      </w:r>
      <w:r w:rsidR="00DF08FC" w:rsidRPr="00EC02CA">
        <w:t>,</w:t>
      </w:r>
      <w:r w:rsidRPr="00EC02CA">
        <w:t xml:space="preserve"> and New Zealand.</w:t>
      </w:r>
    </w:p>
    <w:p w14:paraId="128756AA" w14:textId="0643EA38" w:rsidR="00A03EAB" w:rsidRPr="00EC02CA" w:rsidRDefault="00A03EAB" w:rsidP="00A03EAB">
      <w:r w:rsidRPr="00EC02CA">
        <w:t xml:space="preserve">The review synthesised findings from 20 studies, highlighting the range of interventions employed, including </w:t>
      </w:r>
      <w:r w:rsidR="00F92520" w:rsidRPr="00EC02CA">
        <w:t>CBT</w:t>
      </w:r>
      <w:r w:rsidRPr="00EC02CA">
        <w:t xml:space="preserve">, </w:t>
      </w:r>
      <w:r w:rsidR="00F92520" w:rsidRPr="00EC02CA">
        <w:t>MST</w:t>
      </w:r>
      <w:r w:rsidRPr="00EC02CA">
        <w:t xml:space="preserve">, </w:t>
      </w:r>
      <w:r w:rsidR="00F92520" w:rsidRPr="00EC02CA">
        <w:t>FFM</w:t>
      </w:r>
      <w:r w:rsidRPr="00EC02CA">
        <w:t xml:space="preserve"> and family interventions. The review included studies from multiple disciplines including psychology, criminology, sociology and law enforcement</w:t>
      </w:r>
      <w:r w:rsidR="00DF08FC" w:rsidRPr="00EC02CA">
        <w:t>,</w:t>
      </w:r>
      <w:r w:rsidRPr="00EC02CA">
        <w:t xml:space="preserve"> and found that interventions which incorporated family involvement alongside youth-specific approaches emerged as the most effective overall in achieving long-term positive behavioural change. This underscores the critical role of parental/familial/caregiver engagement in facilitating positive behavioural change in youths exhibiting harmful sexual behaviour, while also acknowledging the interdependence of these individuals within their family units, consistent with the premise of Family Systems Theory (Bowen, 1950). Family Systems Theory posits that all families consist of key components that influence their patterns of behaviour, communication, and overall functioning. It emphasises the interconnectedness of family members, indicating that the actions of one individual can significantly impact the entire family system (Seto et al, 2002). Families strive to maintain homeostasis, or equilibrium, even when the strategies employed to achieve this balance may be dysfunctional. Moreover, families establish boundaries that govern communication among members (Bowen, 1950).</w:t>
      </w:r>
    </w:p>
    <w:p w14:paraId="4AE40E76" w14:textId="05CC39EE" w:rsidR="00A03EAB" w:rsidRPr="00EC02CA" w:rsidRDefault="00A03EAB" w:rsidP="00A03EAB">
      <w:r w:rsidRPr="00EC02CA">
        <w:t xml:space="preserve">This review found that interventions that incorporated both PSB-CBT, MST, relapse prevention and psycho-education for both youths and their families appeared to be the most effective overall. This underscores the importance of adhering to the development of programs </w:t>
      </w:r>
      <w:r w:rsidR="006E752D" w:rsidRPr="00EC02CA">
        <w:t>that:</w:t>
      </w:r>
      <w:r w:rsidRPr="00EC02CA">
        <w:t xml:space="preserve"> adopt a thorough assessment of clients and their suitability </w:t>
      </w:r>
      <w:r w:rsidR="006E752D" w:rsidRPr="00EC02CA">
        <w:t>for</w:t>
      </w:r>
      <w:r w:rsidRPr="00EC02CA">
        <w:t xml:space="preserve"> programs</w:t>
      </w:r>
      <w:r w:rsidR="006E752D" w:rsidRPr="00EC02CA">
        <w:t>;</w:t>
      </w:r>
      <w:r w:rsidRPr="00EC02CA">
        <w:t xml:space="preserve"> upskill clients in areas of deficit</w:t>
      </w:r>
      <w:r w:rsidR="006E752D" w:rsidRPr="00EC02CA">
        <w:t>;</w:t>
      </w:r>
      <w:r w:rsidRPr="00EC02CA">
        <w:t xml:space="preserve"> and provide treatment which is developmentally informed and targeted towards offending type and frequency. The wide variance across studies due to differing intervention, methodological and analysis approaches made it difficult for the authors to </w:t>
      </w:r>
      <w:r w:rsidR="006E752D" w:rsidRPr="00EC02CA">
        <w:t xml:space="preserve">draw </w:t>
      </w:r>
      <w:r w:rsidRPr="00EC02CA">
        <w:t>strong inferences about the true treatment effects of each intervention</w:t>
      </w:r>
      <w:r w:rsidR="006E752D" w:rsidRPr="00EC02CA">
        <w:t>,</w:t>
      </w:r>
      <w:r w:rsidRPr="00EC02CA">
        <w:t xml:space="preserve"> as interventions were delivered in varying formats, durations and frequencies.</w:t>
      </w:r>
    </w:p>
    <w:p w14:paraId="2A0BAB39" w14:textId="7784E612" w:rsidR="00A03EAB" w:rsidRPr="00EC02CA" w:rsidRDefault="00A03EAB" w:rsidP="00A03EAB">
      <w:pPr>
        <w:rPr>
          <w:b/>
          <w:bCs/>
        </w:rPr>
      </w:pPr>
      <w:r w:rsidRPr="00EC02CA">
        <w:rPr>
          <w:b/>
          <w:bCs/>
        </w:rPr>
        <w:t xml:space="preserve">Theoretical </w:t>
      </w:r>
      <w:r w:rsidR="008A6B26" w:rsidRPr="00EC02CA">
        <w:rPr>
          <w:b/>
          <w:bCs/>
        </w:rPr>
        <w:t>u</w:t>
      </w:r>
      <w:r w:rsidRPr="00EC02CA">
        <w:rPr>
          <w:b/>
          <w:bCs/>
        </w:rPr>
        <w:t xml:space="preserve">nderstandings of </w:t>
      </w:r>
      <w:r w:rsidR="008A6B26" w:rsidRPr="00EC02CA">
        <w:rPr>
          <w:b/>
          <w:bCs/>
        </w:rPr>
        <w:t>h</w:t>
      </w:r>
      <w:r w:rsidRPr="00EC02CA">
        <w:rPr>
          <w:b/>
          <w:bCs/>
        </w:rPr>
        <w:t xml:space="preserve">armful </w:t>
      </w:r>
      <w:r w:rsidR="008A6B26" w:rsidRPr="00EC02CA">
        <w:rPr>
          <w:b/>
          <w:bCs/>
        </w:rPr>
        <w:t>s</w:t>
      </w:r>
      <w:r w:rsidRPr="00EC02CA">
        <w:rPr>
          <w:b/>
          <w:bCs/>
        </w:rPr>
        <w:t xml:space="preserve">exual </w:t>
      </w:r>
      <w:r w:rsidR="008A6B26" w:rsidRPr="00EC02CA">
        <w:rPr>
          <w:b/>
          <w:bCs/>
        </w:rPr>
        <w:t>b</w:t>
      </w:r>
      <w:r w:rsidRPr="00EC02CA">
        <w:rPr>
          <w:b/>
          <w:bCs/>
        </w:rPr>
        <w:t xml:space="preserve">ehaviour in </w:t>
      </w:r>
      <w:r w:rsidR="008A6B26" w:rsidRPr="00EC02CA">
        <w:rPr>
          <w:b/>
          <w:bCs/>
        </w:rPr>
        <w:t>y</w:t>
      </w:r>
      <w:r w:rsidRPr="00EC02CA">
        <w:rPr>
          <w:b/>
          <w:bCs/>
        </w:rPr>
        <w:t>ouths</w:t>
      </w:r>
    </w:p>
    <w:p w14:paraId="4F19DDBA" w14:textId="65C72436" w:rsidR="00A03EAB" w:rsidRPr="00EC02CA" w:rsidRDefault="00A03EAB" w:rsidP="00A03EAB">
      <w:r w:rsidRPr="00EC02CA">
        <w:t xml:space="preserve">Understanding theoretical frameworks that explain harmful sexual behaviour in youths, and subsequently underpin treatments, is essential for recognising why interventions targeting youths with these difficulties are most effective when they include family members/caregivers/social support networks. Acknowledging that a youth who offends exists within a broader systemic context highlights the necessity of addressing familial/social dynamics in intervention strategies, whenever appropriate and safe to do so (Alexander et al, 2023). By engaging families/important others in the treatment process, practitioners can foster a more comprehensive approach to behaviour modification and support sustainable change (Seto &amp; Lalumère, 2010). This assertion from the review also aligns with </w:t>
      </w:r>
      <w:r w:rsidR="00135672" w:rsidRPr="00EC02CA">
        <w:t xml:space="preserve">the </w:t>
      </w:r>
      <w:r w:rsidR="00505D34" w:rsidRPr="00EC02CA">
        <w:t>RNR</w:t>
      </w:r>
      <w:r w:rsidRPr="00EC02CA">
        <w:t xml:space="preserve"> </w:t>
      </w:r>
      <w:r w:rsidR="00505D34" w:rsidRPr="00EC02CA">
        <w:t>m</w:t>
      </w:r>
      <w:r w:rsidRPr="00EC02CA">
        <w:t xml:space="preserve">odel, which suggests that understanding the needs of the youth and accommodating treatments in a holistic responsive manner will provide better outcomes for youths, rather than working with them from a narrow perspective </w:t>
      </w:r>
      <w:r w:rsidR="00455B04" w:rsidRPr="00EC02CA">
        <w:t xml:space="preserve">that </w:t>
      </w:r>
      <w:r w:rsidRPr="00EC02CA">
        <w:t>simply focus</w:t>
      </w:r>
      <w:r w:rsidR="00455B04" w:rsidRPr="00EC02CA">
        <w:t>ses</w:t>
      </w:r>
      <w:r w:rsidRPr="00EC02CA">
        <w:t xml:space="preserve"> on the harmful sexual behaviour in isolation. </w:t>
      </w:r>
    </w:p>
    <w:p w14:paraId="616673F2" w14:textId="4EBEB70B" w:rsidR="00A03EAB" w:rsidRPr="00EC02CA" w:rsidRDefault="00A03EAB" w:rsidP="00A03EAB">
      <w:r w:rsidRPr="00EC02CA">
        <w:t>A positive observation from the included studies was the development of measures to</w:t>
      </w:r>
      <w:r w:rsidR="009450AE" w:rsidRPr="00EC02CA">
        <w:t xml:space="preserve"> </w:t>
      </w:r>
      <w:r w:rsidRPr="00EC02CA">
        <w:t xml:space="preserve">assess outcomes and changes within the youth justice system. There has been an evolution in the understanding of how to measure change in this context. Historically, many studies have relied on recidivism rates to evaluate intervention efficacy. However, using recidivism as an outcome measure is problematic, as many youths may reoffend without detection (Seto &amp; Lalumère, 2010). This phenomenon, known as </w:t>
      </w:r>
      <w:r w:rsidR="00455B04" w:rsidRPr="00EC02CA">
        <w:t>‘</w:t>
      </w:r>
      <w:r w:rsidRPr="00EC02CA">
        <w:t>criminal learning</w:t>
      </w:r>
      <w:r w:rsidR="00455B04" w:rsidRPr="00EC02CA">
        <w:t>’</w:t>
      </w:r>
      <w:r w:rsidRPr="00EC02CA">
        <w:t xml:space="preserve">, involves acquiring skills to evade apprehension, thus diminishing the utility of recidivism as a measure of effectiveness. Encouragingly, many studies have shifted away from relying </w:t>
      </w:r>
      <w:r w:rsidR="00455B04" w:rsidRPr="00EC02CA">
        <w:t xml:space="preserve">solely </w:t>
      </w:r>
      <w:r w:rsidRPr="00EC02CA">
        <w:t xml:space="preserve">on recidivism as an indicator of treatment success. This transition reflects a growing recognition that reoffending is not the sole measure of intervention effectiveness. Instead, incorporating assessments of antisocial behaviour, attitudinal changes, and increased internalisation of prosocial values provides a more comprehensive evaluation of intervention outcomes (Butler &amp; Seto, 2002). </w:t>
      </w:r>
    </w:p>
    <w:p w14:paraId="29C9347F" w14:textId="451DD4EB" w:rsidR="00A03EAB" w:rsidRPr="00EC02CA" w:rsidRDefault="00A03EAB" w:rsidP="00A03EAB">
      <w:r w:rsidRPr="00EC02CA">
        <w:t>Many of the publications failed to meet inclusion despite a rigorous search</w:t>
      </w:r>
      <w:r w:rsidR="009450AE" w:rsidRPr="00EC02CA">
        <w:t xml:space="preserve"> </w:t>
      </w:r>
      <w:r w:rsidRPr="00EC02CA">
        <w:t xml:space="preserve">strategy. The reasons for this were many excluded studies focused on adult treatment, reinforcing the observation that the empirical landscape in this field remains predominantly adult-centric. Another notable finding was the general lack of research on </w:t>
      </w:r>
      <w:r w:rsidR="00455B04" w:rsidRPr="00EC02CA">
        <w:t xml:space="preserve">online </w:t>
      </w:r>
      <w:r w:rsidRPr="00EC02CA">
        <w:t xml:space="preserve">youth sex offending and corresponding interventions. This gap underscores that, while </w:t>
      </w:r>
      <w:r w:rsidR="00455B04" w:rsidRPr="00EC02CA">
        <w:t xml:space="preserve">online </w:t>
      </w:r>
      <w:r w:rsidRPr="00EC02CA">
        <w:t>contexts for abuse are rapidly evolving, effective interventions to address these offences are lagging (Alexander et al, 2023). This discrepancy is likely correlated with ongoing legal efforts to update legislation in this area</w:t>
      </w:r>
      <w:r w:rsidR="00455B04" w:rsidRPr="00EC02CA">
        <w:t>,</w:t>
      </w:r>
      <w:r w:rsidRPr="00EC02CA">
        <w:t xml:space="preserve"> and therefore criminal adjudication may also not yet be representative of the rapidly evolving area of criminal behaviour. Consequently, there is a pressing need for substantial funding and research to effectively mitigate the risks associated with this specific dimension of youth sexual offending (Mathews et al, 2024).</w:t>
      </w:r>
    </w:p>
    <w:p w14:paraId="54044219" w14:textId="247E25EC" w:rsidR="00A03EAB" w:rsidRPr="00EC02CA" w:rsidRDefault="00A03EAB" w:rsidP="00A03EAB">
      <w:r w:rsidRPr="00EC02CA">
        <w:t xml:space="preserve">In the included publications, there was </w:t>
      </w:r>
      <w:r w:rsidR="00C912B1" w:rsidRPr="00EC02CA">
        <w:t xml:space="preserve">a </w:t>
      </w:r>
      <w:r w:rsidRPr="00EC02CA">
        <w:t xml:space="preserve">general dearth of randomised-control trials. Despite ongoing developments in the treatment of youths, very few studies employed rigorous experimental designs, which are recognised as the gold-standard for research. This is concerning, as the lack of quality research raises concerns about the pre-existing evidence base and suggests that much more needs to be done to generate high quality research with rigorous methodological procedures. </w:t>
      </w:r>
    </w:p>
    <w:p w14:paraId="6DB45BEF" w14:textId="5DBE56D4" w:rsidR="00A03EAB" w:rsidRPr="00EC02CA" w:rsidRDefault="00A03EAB" w:rsidP="00A03EAB">
      <w:r w:rsidRPr="00EC02CA">
        <w:t>Many publications lacked a balanced representation of the general population</w:t>
      </w:r>
      <w:r w:rsidR="00C912B1" w:rsidRPr="00EC02CA">
        <w:t>,</w:t>
      </w:r>
      <w:r w:rsidRPr="00EC02CA">
        <w:t xml:space="preserve"> with</w:t>
      </w:r>
      <w:r w:rsidR="009450AE" w:rsidRPr="00EC02CA">
        <w:t xml:space="preserve"> </w:t>
      </w:r>
      <w:r w:rsidRPr="00EC02CA">
        <w:t>adequate numbers of males and females in sample group. Further, the notable lack of interventions targeted toward</w:t>
      </w:r>
      <w:r w:rsidR="00312EB5" w:rsidRPr="00EC02CA">
        <w:t>s</w:t>
      </w:r>
      <w:r w:rsidRPr="00EC02CA">
        <w:t xml:space="preserve"> female offenders was observed throughout a large proportion of the included studies. There may be several reasons for this, firstly, female offenders only make up 5</w:t>
      </w:r>
      <w:r w:rsidR="00C912B1" w:rsidRPr="00EC02CA">
        <w:t xml:space="preserve"> to </w:t>
      </w:r>
      <w:r w:rsidRPr="00EC02CA">
        <w:t>10</w:t>
      </w:r>
      <w:r w:rsidR="00C912B1" w:rsidRPr="00EC02CA">
        <w:t>%</w:t>
      </w:r>
      <w:r w:rsidRPr="00EC02CA">
        <w:t xml:space="preserve"> of all sexual offending, with their male counterparts responsible for around 90</w:t>
      </w:r>
      <w:r w:rsidR="00C912B1" w:rsidRPr="00EC02CA">
        <w:t xml:space="preserve"> to 95%</w:t>
      </w:r>
      <w:r w:rsidRPr="00EC02CA">
        <w:t xml:space="preserve"> of offending (Washington State Institute for Public Policy, 2011). Secondly, research suggests that the male-centric focus in this area may increase bias and attention towards male offending, and therefore female offending can be viewed more leniently by both law enforcement professionals and youth justice systems (Calvert &amp; Bauer, 2018). Future research examining the efficacy of treatments for female offenders would help bridge this ongoing gap and provide more holistic understanding of the psychological underpinnings and differences between male and female offending. This is important, as research has recogni</w:t>
      </w:r>
      <w:r w:rsidR="00312EB5" w:rsidRPr="00EC02CA">
        <w:t>s</w:t>
      </w:r>
      <w:r w:rsidRPr="00EC02CA">
        <w:t xml:space="preserve">ed motivational differences for males and female offending, with female youths being recognised as more likely to engage in intimate partner violence with pre-existing relationships and males more likely to engage in sexual offending motivated by peer influence and situational circumstances (Mathews et al, 2024). These differences may also highlight the risk of skewing results when the population sample in unbalanced and make it challenging to make well-informed inferences about the generalisability of study findings for female offenders (Butler &amp; Seto, 2002). Therefore, understanding more about the gender differences in offending will permit more efficacious intervention and generalizability in the future. </w:t>
      </w:r>
    </w:p>
    <w:p w14:paraId="7F79770E" w14:textId="00C49BB0" w:rsidR="00A03EAB" w:rsidRPr="00EC02CA" w:rsidRDefault="00A03EAB" w:rsidP="00A03EAB">
      <w:r w:rsidRPr="00EC02CA">
        <w:t>Another significant finding from the review was the dominance of group interventions</w:t>
      </w:r>
      <w:r w:rsidR="009450AE" w:rsidRPr="00EC02CA">
        <w:t xml:space="preserve"> </w:t>
      </w:r>
      <w:r w:rsidRPr="00EC02CA">
        <w:t xml:space="preserve">within the included studies. Although many studies employed a mixed methodology, combining individual and group approaches, none specifically assessed the efficacy of group versus individual interventions. Additionally, among the included studies, there was no direct assessment or measurement of the important sociological phenomenon of deviancy training among youth. While not the primary focus of the current study, the influence of peer-led social learning and antisocial </w:t>
      </w:r>
      <w:r w:rsidR="009450AE" w:rsidRPr="00EC02CA">
        <w:t>behaviour</w:t>
      </w:r>
      <w:r w:rsidRPr="00EC02CA">
        <w:t xml:space="preserve"> training among peers is substantial and warrants further investigation (Calvert &amp; Bauer, 2018). To fully understand the moderating influence of group interventions, future research should aim to generate mechanisms to measure deviancy training effects, or to be able to respond to its influences. To adhere to best practices and implement the </w:t>
      </w:r>
      <w:r w:rsidR="00505D34" w:rsidRPr="00EC02CA">
        <w:t>RNR m</w:t>
      </w:r>
      <w:r w:rsidRPr="00EC02CA">
        <w:t xml:space="preserve">odel effectively, treatments for youth must carefully balance accurate assessment and intervention with the constraints of funding, costs, and resources. Many of the qualitative studies examined the positive influences of group therapy for youths and a common theme emerging from these studies was the positive impact of being able to openly speak about engaging in harmful sexual behaviours and gain social supports without stigma (Alexander et al, 2023). </w:t>
      </w:r>
    </w:p>
    <w:p w14:paraId="5EC4CA27" w14:textId="1195506F" w:rsidR="00814CE8" w:rsidRPr="00EC02CA" w:rsidRDefault="00814CE8" w:rsidP="00814CE8">
      <w:pPr>
        <w:rPr>
          <w:b/>
          <w:bCs/>
        </w:rPr>
      </w:pPr>
      <w:r w:rsidRPr="00EC02CA">
        <w:rPr>
          <w:b/>
          <w:bCs/>
        </w:rPr>
        <w:t>References</w:t>
      </w:r>
    </w:p>
    <w:p w14:paraId="21F91F18" w14:textId="5557EB62" w:rsidR="00814CE8" w:rsidRPr="00EC02CA" w:rsidRDefault="00814CE8" w:rsidP="00814CE8">
      <w:r w:rsidRPr="00EC02CA">
        <w:t>Alexander</w:t>
      </w:r>
      <w:r w:rsidR="00A07EEA" w:rsidRPr="00EC02CA">
        <w:t>,</w:t>
      </w:r>
      <w:r w:rsidRPr="00EC02CA">
        <w:t xml:space="preserve"> A</w:t>
      </w:r>
      <w:r w:rsidR="00A07EEA" w:rsidRPr="00EC02CA">
        <w:t>.</w:t>
      </w:r>
      <w:r w:rsidRPr="00EC02CA">
        <w:t>, Falligant</w:t>
      </w:r>
      <w:r w:rsidR="00A07EEA" w:rsidRPr="00EC02CA">
        <w:t>,</w:t>
      </w:r>
      <w:r w:rsidRPr="00EC02CA">
        <w:t xml:space="preserve"> J</w:t>
      </w:r>
      <w:r w:rsidR="00A07EEA" w:rsidRPr="00EC02CA">
        <w:t xml:space="preserve">. </w:t>
      </w:r>
      <w:r w:rsidRPr="00EC02CA">
        <w:t>M</w:t>
      </w:r>
      <w:r w:rsidR="00A07EEA" w:rsidRPr="00EC02CA">
        <w:t>.</w:t>
      </w:r>
      <w:r w:rsidRPr="00EC02CA">
        <w:t>, Marchi</w:t>
      </w:r>
      <w:r w:rsidR="00A07EEA" w:rsidRPr="00EC02CA">
        <w:t>,</w:t>
      </w:r>
      <w:r w:rsidRPr="00EC02CA">
        <w:t xml:space="preserve"> C</w:t>
      </w:r>
      <w:r w:rsidR="00A07EEA" w:rsidRPr="00EC02CA">
        <w:t>.</w:t>
      </w:r>
      <w:r w:rsidRPr="00EC02CA">
        <w:t>, Floding</w:t>
      </w:r>
      <w:r w:rsidR="00A07EEA" w:rsidRPr="00EC02CA">
        <w:t>,</w:t>
      </w:r>
      <w:r w:rsidRPr="00EC02CA">
        <w:t xml:space="preserve"> E</w:t>
      </w:r>
      <w:r w:rsidR="00A07EEA" w:rsidRPr="00EC02CA">
        <w:t>.,</w:t>
      </w:r>
      <w:r w:rsidRPr="00EC02CA">
        <w:t xml:space="preserve"> &amp; Jennings</w:t>
      </w:r>
      <w:r w:rsidR="00A07EEA" w:rsidRPr="00EC02CA">
        <w:t>,</w:t>
      </w:r>
      <w:r w:rsidRPr="00EC02CA">
        <w:t xml:space="preserve"> M</w:t>
      </w:r>
      <w:r w:rsidR="00A07EEA" w:rsidRPr="00EC02CA">
        <w:t>.</w:t>
      </w:r>
      <w:r w:rsidRPr="00EC02CA">
        <w:t xml:space="preserve"> (2023). Sex offender</w:t>
      </w:r>
      <w:r w:rsidR="008A6B26" w:rsidRPr="00EC02CA">
        <w:t xml:space="preserve"> </w:t>
      </w:r>
      <w:r w:rsidRPr="00EC02CA">
        <w:t>registration and notification act with adolescents adjudicated for illegal sexual behaviour: a therapeutic jurisprudence perspective. </w:t>
      </w:r>
      <w:r w:rsidRPr="00EC02CA">
        <w:rPr>
          <w:i/>
          <w:iCs/>
        </w:rPr>
        <w:t xml:space="preserve">Frontiers in </w:t>
      </w:r>
      <w:r w:rsidR="00770413" w:rsidRPr="00EC02CA">
        <w:rPr>
          <w:i/>
          <w:iCs/>
        </w:rPr>
        <w:t>P</w:t>
      </w:r>
      <w:r w:rsidRPr="00EC02CA">
        <w:rPr>
          <w:i/>
          <w:iCs/>
        </w:rPr>
        <w:t>sychiatry</w:t>
      </w:r>
      <w:r w:rsidRPr="00EC02CA">
        <w:t>, </w:t>
      </w:r>
      <w:r w:rsidRPr="00EC02CA">
        <w:rPr>
          <w:i/>
          <w:iCs/>
        </w:rPr>
        <w:t>14</w:t>
      </w:r>
      <w:r w:rsidR="00D14163" w:rsidRPr="00EC02CA">
        <w:t xml:space="preserve">, 1160922. </w:t>
      </w:r>
      <w:r w:rsidR="00770413" w:rsidRPr="00EC02CA">
        <w:t>&lt;https://doi.org/10.3389/fpsyt.2023.1160922&gt;</w:t>
      </w:r>
    </w:p>
    <w:p w14:paraId="1892B6FF" w14:textId="3C37E76E" w:rsidR="00814CE8" w:rsidRPr="00EC02CA" w:rsidRDefault="00814CE8" w:rsidP="00814CE8">
      <w:r w:rsidRPr="00EC02CA">
        <w:t>Andrews, D. A., Bonta, J., &amp; Wormith, J. S. (2011). The Risk-Need-Responsivity (RNR)</w:t>
      </w:r>
      <w:r w:rsidR="008A6B26" w:rsidRPr="00EC02CA">
        <w:t xml:space="preserve"> </w:t>
      </w:r>
      <w:r w:rsidRPr="00EC02CA">
        <w:t xml:space="preserve">Model: Does Adding the Good Lives Model Contribute to Effective Crime Prevention? </w:t>
      </w:r>
      <w:r w:rsidRPr="00EC02CA">
        <w:rPr>
          <w:i/>
          <w:iCs/>
        </w:rPr>
        <w:t>Criminal Justice and Behavior</w:t>
      </w:r>
      <w:r w:rsidRPr="00EC02CA">
        <w:t xml:space="preserve">, </w:t>
      </w:r>
      <w:r w:rsidRPr="00EC02CA">
        <w:rPr>
          <w:i/>
          <w:iCs/>
        </w:rPr>
        <w:t>38</w:t>
      </w:r>
      <w:r w:rsidRPr="00EC02CA">
        <w:t>(7), 735</w:t>
      </w:r>
      <w:r w:rsidR="008A6B26" w:rsidRPr="00EC02CA">
        <w:t>–</w:t>
      </w:r>
      <w:r w:rsidRPr="00EC02CA">
        <w:t>755.</w:t>
      </w:r>
    </w:p>
    <w:p w14:paraId="74282C2F" w14:textId="7CF6F51E" w:rsidR="00814CE8" w:rsidRPr="00EC02CA" w:rsidRDefault="00814CE8" w:rsidP="00814CE8">
      <w:r w:rsidRPr="00EC02CA">
        <w:t xml:space="preserve">Australian Institute of Criminology. (2022). </w:t>
      </w:r>
      <w:r w:rsidRPr="00EC02CA">
        <w:rPr>
          <w:i/>
          <w:iCs/>
        </w:rPr>
        <w:t>Online sexual exploitation of children</w:t>
      </w:r>
      <w:r w:rsidRPr="00EC02CA">
        <w:t xml:space="preserve">. </w:t>
      </w:r>
      <w:r w:rsidR="008A6B26" w:rsidRPr="00EC02CA">
        <w:t>&lt;https://www.aic.gov.au/publications&gt;</w:t>
      </w:r>
    </w:p>
    <w:p w14:paraId="4433F080" w14:textId="46B3C442" w:rsidR="00814CE8" w:rsidRPr="00EC02CA" w:rsidRDefault="00814CE8" w:rsidP="00814CE8">
      <w:r w:rsidRPr="00EC02CA">
        <w:t xml:space="preserve">Australian Institute of Health and Wellbeing (AIHW). (2024). </w:t>
      </w:r>
      <w:r w:rsidRPr="00EC02CA">
        <w:rPr>
          <w:i/>
          <w:iCs/>
        </w:rPr>
        <w:t>Child sexual abuse</w:t>
      </w:r>
      <w:r w:rsidRPr="00EC02CA">
        <w:t>.</w:t>
      </w:r>
      <w:r w:rsidR="001226BD" w:rsidRPr="00EC02CA">
        <w:t xml:space="preserve"> </w:t>
      </w:r>
      <w:r w:rsidR="008A6B26" w:rsidRPr="00EC02CA">
        <w:t>&lt;https://www.aihw.gov.au/family-domestic-and-sexual-violence/types-of-</w:t>
      </w:r>
      <w:r w:rsidRPr="00EC02CA">
        <w:t>violence/child-sexual-abuse</w:t>
      </w:r>
      <w:r w:rsidR="008A6B26" w:rsidRPr="00EC02CA">
        <w:t>&gt;</w:t>
      </w:r>
    </w:p>
    <w:p w14:paraId="296BCFBB" w14:textId="07BC9EEF" w:rsidR="00814CE8" w:rsidRPr="00EC02CA" w:rsidRDefault="00814CE8" w:rsidP="00814CE8">
      <w:r w:rsidRPr="00EC02CA">
        <w:t xml:space="preserve">Bonta, J. (1995). Responsivity Principle and Offender Rehabilitation. </w:t>
      </w:r>
      <w:r w:rsidRPr="00EC02CA">
        <w:rPr>
          <w:i/>
          <w:iCs/>
        </w:rPr>
        <w:t>Forum on Corrections</w:t>
      </w:r>
      <w:r w:rsidR="008A6B26" w:rsidRPr="00EC02CA">
        <w:rPr>
          <w:i/>
          <w:iCs/>
        </w:rPr>
        <w:t xml:space="preserve"> </w:t>
      </w:r>
      <w:r w:rsidRPr="00EC02CA">
        <w:rPr>
          <w:i/>
          <w:iCs/>
        </w:rPr>
        <w:t>Research, 7</w:t>
      </w:r>
      <w:r w:rsidRPr="00EC02CA">
        <w:t>(3), 34</w:t>
      </w:r>
      <w:r w:rsidR="008A6B26" w:rsidRPr="00EC02CA">
        <w:t>–</w:t>
      </w:r>
      <w:r w:rsidRPr="00EC02CA">
        <w:t>37.</w:t>
      </w:r>
    </w:p>
    <w:p w14:paraId="280D043D" w14:textId="6A29F131" w:rsidR="00814CE8" w:rsidRPr="00EC02CA" w:rsidRDefault="00814CE8" w:rsidP="00814CE8">
      <w:r w:rsidRPr="00EC02CA">
        <w:t xml:space="preserve">Bowen, M. (2004). </w:t>
      </w:r>
      <w:r w:rsidRPr="00EC02CA">
        <w:rPr>
          <w:i/>
          <w:iCs/>
        </w:rPr>
        <w:t>Family therapy in clinical practice</w:t>
      </w:r>
      <w:r w:rsidRPr="00EC02CA">
        <w:t>. New York: Rowman and Littlefield Publishers.</w:t>
      </w:r>
    </w:p>
    <w:p w14:paraId="3D52398C" w14:textId="33BEF883" w:rsidR="00814CE8" w:rsidRPr="00EC02CA" w:rsidRDefault="00814CE8" w:rsidP="00814CE8">
      <w:r w:rsidRPr="00EC02CA">
        <w:t>Butler, S.</w:t>
      </w:r>
      <w:r w:rsidR="00A07EEA" w:rsidRPr="00EC02CA">
        <w:t xml:space="preserve"> </w:t>
      </w:r>
      <w:r w:rsidRPr="00EC02CA">
        <w:t>M., &amp; Seto, M. C. (2002). Distinguishing two types of adolescent sex offenders.</w:t>
      </w:r>
      <w:r w:rsidR="00610AED" w:rsidRPr="00EC02CA">
        <w:t xml:space="preserve"> </w:t>
      </w:r>
      <w:r w:rsidRPr="00EC02CA">
        <w:rPr>
          <w:i/>
          <w:iCs/>
        </w:rPr>
        <w:t>Sexual Abuse: A Journal of Research and Treatment</w:t>
      </w:r>
      <w:r w:rsidRPr="00EC02CA">
        <w:t xml:space="preserve">, </w:t>
      </w:r>
      <w:r w:rsidRPr="00EC02CA">
        <w:rPr>
          <w:i/>
          <w:iCs/>
        </w:rPr>
        <w:t>14</w:t>
      </w:r>
      <w:r w:rsidRPr="00EC02CA">
        <w:t>(1), 19</w:t>
      </w:r>
      <w:r w:rsidR="00610AED" w:rsidRPr="00EC02CA">
        <w:t>–</w:t>
      </w:r>
      <w:r w:rsidRPr="00EC02CA">
        <w:t>34.</w:t>
      </w:r>
    </w:p>
    <w:p w14:paraId="5B6B16C2" w14:textId="69BF87F9" w:rsidR="00814CE8" w:rsidRPr="00EC02CA" w:rsidRDefault="00814CE8" w:rsidP="00814CE8">
      <w:r w:rsidRPr="00EC02CA">
        <w:t>Cale, J., Smallbone, S., Rayment-McHugh, S., &amp; Dowling, C. (2015). Offense trajectories,</w:t>
      </w:r>
      <w:r w:rsidR="00581D00" w:rsidRPr="00EC02CA">
        <w:t xml:space="preserve"> </w:t>
      </w:r>
      <w:r w:rsidRPr="00EC02CA">
        <w:t xml:space="preserve">the unfolding of sexual and non-sexual criminal activity, and sex offense characteristics of adolescent sex offenders. </w:t>
      </w:r>
      <w:r w:rsidRPr="00EC02CA">
        <w:rPr>
          <w:i/>
          <w:iCs/>
        </w:rPr>
        <w:t>Journal of Sexual Aggression</w:t>
      </w:r>
      <w:r w:rsidRPr="00EC02CA">
        <w:t xml:space="preserve">, </w:t>
      </w:r>
      <w:r w:rsidRPr="00EC02CA">
        <w:rPr>
          <w:i/>
          <w:iCs/>
        </w:rPr>
        <w:t>21</w:t>
      </w:r>
      <w:r w:rsidRPr="00EC02CA">
        <w:t>(2), 136–154.</w:t>
      </w:r>
    </w:p>
    <w:p w14:paraId="36550A76" w14:textId="3ABFF016" w:rsidR="00814CE8" w:rsidRPr="00EC02CA" w:rsidRDefault="00814CE8" w:rsidP="00814CE8">
      <w:r w:rsidRPr="00EC02CA">
        <w:t xml:space="preserve">Calleja, N.G. (2013). </w:t>
      </w:r>
      <w:r w:rsidR="00610AED" w:rsidRPr="00EC02CA">
        <w:t>Integrating research into practice: The Forward-Focused Model of adolescent sexual behavior treatment.</w:t>
      </w:r>
      <w:r w:rsidRPr="00EC02CA">
        <w:t xml:space="preserve"> </w:t>
      </w:r>
      <w:r w:rsidRPr="00EC02CA">
        <w:rPr>
          <w:i/>
          <w:iCs/>
        </w:rPr>
        <w:t>Aggression and Violent Behavior, 18,</w:t>
      </w:r>
      <w:r w:rsidRPr="00EC02CA">
        <w:t xml:space="preserve"> 686</w:t>
      </w:r>
      <w:r w:rsidR="00610AED" w:rsidRPr="00EC02CA">
        <w:t>–</w:t>
      </w:r>
      <w:r w:rsidRPr="00EC02CA">
        <w:t>694.</w:t>
      </w:r>
    </w:p>
    <w:p w14:paraId="777F1F9D" w14:textId="706A57DA" w:rsidR="00814CE8" w:rsidRPr="00EC02CA" w:rsidRDefault="00814CE8" w:rsidP="00814CE8">
      <w:r w:rsidRPr="00EC02CA">
        <w:t xml:space="preserve">Calvert, J. D., &amp; Bauer, T. (2018). Youths with sexual behaviour problems: A treatment program evaluation. </w:t>
      </w:r>
      <w:r w:rsidRPr="00EC02CA">
        <w:rPr>
          <w:i/>
          <w:iCs/>
        </w:rPr>
        <w:t>Open Psychology</w:t>
      </w:r>
      <w:r w:rsidRPr="00EC02CA">
        <w:t xml:space="preserve">, </w:t>
      </w:r>
      <w:r w:rsidRPr="00EC02CA">
        <w:rPr>
          <w:i/>
          <w:iCs/>
        </w:rPr>
        <w:t>1</w:t>
      </w:r>
      <w:r w:rsidRPr="00EC02CA">
        <w:t>(1), 1–11.</w:t>
      </w:r>
    </w:p>
    <w:p w14:paraId="308A7E52" w14:textId="2EEDA61B" w:rsidR="00814CE8" w:rsidRPr="00EC02CA" w:rsidRDefault="00814CE8" w:rsidP="00814CE8">
      <w:r w:rsidRPr="00EC02CA">
        <w:t>Chaffin, M., &amp; Bonner, B. L. (2001). The effectiveness of treatment for juvenile sex</w:t>
      </w:r>
      <w:r w:rsidR="00610AED" w:rsidRPr="00EC02CA">
        <w:t xml:space="preserve"> </w:t>
      </w:r>
      <w:r w:rsidRPr="00EC02CA">
        <w:t xml:space="preserve">offenders: A review of the literature. </w:t>
      </w:r>
      <w:r w:rsidRPr="00EC02CA">
        <w:rPr>
          <w:i/>
          <w:iCs/>
        </w:rPr>
        <w:t>Journal of Child Sexual Abuse</w:t>
      </w:r>
      <w:r w:rsidRPr="00EC02CA">
        <w:t>, 10(3), 19</w:t>
      </w:r>
      <w:r w:rsidR="00A07EEA" w:rsidRPr="00EC02CA">
        <w:t>–</w:t>
      </w:r>
      <w:r w:rsidRPr="00EC02CA">
        <w:t>40.</w:t>
      </w:r>
    </w:p>
    <w:p w14:paraId="0A0550A4" w14:textId="616C95BC" w:rsidR="00814CE8" w:rsidRPr="00EC02CA" w:rsidRDefault="00814CE8" w:rsidP="00814CE8">
      <w:r w:rsidRPr="00EC02CA">
        <w:t>Chaffin, M. (2008). Our minds are made up—don’t confuse us with the facts: commentary</w:t>
      </w:r>
      <w:r w:rsidR="00610AED" w:rsidRPr="00EC02CA">
        <w:t xml:space="preserve"> </w:t>
      </w:r>
      <w:r w:rsidRPr="00EC02CA">
        <w:t xml:space="preserve">policies concerning children with sexual behavior problems and juvenile sex offenders. </w:t>
      </w:r>
      <w:r w:rsidRPr="00EC02CA">
        <w:rPr>
          <w:i/>
          <w:iCs/>
        </w:rPr>
        <w:t>Child Maltreatment, 13</w:t>
      </w:r>
      <w:r w:rsidRPr="00EC02CA">
        <w:t>, 110</w:t>
      </w:r>
      <w:r w:rsidR="00A07EEA" w:rsidRPr="00EC02CA">
        <w:t>–</w:t>
      </w:r>
      <w:r w:rsidRPr="00EC02CA">
        <w:t>121.</w:t>
      </w:r>
    </w:p>
    <w:p w14:paraId="08F35CD4" w14:textId="09FB5FFE" w:rsidR="00814CE8" w:rsidRPr="00EC02CA" w:rsidRDefault="00814CE8" w:rsidP="00814CE8">
      <w:r w:rsidRPr="00EC02CA">
        <w:t>Curtis N.</w:t>
      </w:r>
      <w:r w:rsidR="00A07EEA" w:rsidRPr="00EC02CA">
        <w:t xml:space="preserve"> </w:t>
      </w:r>
      <w:r w:rsidRPr="00EC02CA">
        <w:t>M., Ronan, K.</w:t>
      </w:r>
      <w:r w:rsidR="00A07EEA" w:rsidRPr="00EC02CA">
        <w:t xml:space="preserve"> </w:t>
      </w:r>
      <w:r w:rsidRPr="00EC02CA">
        <w:t>R, &amp; Borduin, C.</w:t>
      </w:r>
      <w:r w:rsidR="00A07EEA" w:rsidRPr="00EC02CA">
        <w:t xml:space="preserve"> </w:t>
      </w:r>
      <w:r w:rsidRPr="00EC02CA">
        <w:t>M. (2004). Multisystemic treatment: a meta-analysis of outcome studies</w:t>
      </w:r>
      <w:r w:rsidRPr="00EC02CA">
        <w:rPr>
          <w:i/>
          <w:iCs/>
        </w:rPr>
        <w:t>. J Fam Psychol</w:t>
      </w:r>
      <w:r w:rsidR="00A07EEA" w:rsidRPr="00EC02CA">
        <w:rPr>
          <w:i/>
          <w:iCs/>
        </w:rPr>
        <w:t>,</w:t>
      </w:r>
      <w:r w:rsidRPr="00EC02CA">
        <w:t xml:space="preserve"> </w:t>
      </w:r>
      <w:r w:rsidRPr="00EC02CA">
        <w:rPr>
          <w:i/>
          <w:iCs/>
        </w:rPr>
        <w:t>18</w:t>
      </w:r>
      <w:r w:rsidRPr="00EC02CA">
        <w:t>(3)</w:t>
      </w:r>
      <w:r w:rsidR="00A07EEA" w:rsidRPr="00EC02CA">
        <w:t xml:space="preserve">, </w:t>
      </w:r>
      <w:r w:rsidRPr="00EC02CA">
        <w:t>411</w:t>
      </w:r>
      <w:r w:rsidR="00A07EEA" w:rsidRPr="00EC02CA">
        <w:t>–41</w:t>
      </w:r>
      <w:r w:rsidRPr="00EC02CA">
        <w:t>9.</w:t>
      </w:r>
    </w:p>
    <w:p w14:paraId="7B3CDBCC" w14:textId="0B9E5B48" w:rsidR="00814CE8" w:rsidRPr="00EC02CA" w:rsidRDefault="00814CE8" w:rsidP="001226BD">
      <w:r w:rsidRPr="00EC02CA">
        <w:t>Hull, I., Christensen, L.</w:t>
      </w:r>
      <w:r w:rsidR="00A07EEA" w:rsidRPr="00EC02CA">
        <w:t xml:space="preserve"> </w:t>
      </w:r>
      <w:r w:rsidRPr="00EC02CA">
        <w:t xml:space="preserve">S., Rayment-McHugh, S., &amp; McKillop, N. (2024). Females’ engagement in offline and online sexual offending and their interactions with the criminal justice system: A gender and age comparison. </w:t>
      </w:r>
      <w:r w:rsidRPr="00EC02CA">
        <w:rPr>
          <w:i/>
          <w:iCs/>
        </w:rPr>
        <w:t xml:space="preserve">Journal of </w:t>
      </w:r>
      <w:r w:rsidRPr="00EC02CA">
        <w:rPr>
          <w:i/>
          <w:iCs/>
        </w:rPr>
        <w:tab/>
        <w:t>Interpersonal Violence</w:t>
      </w:r>
      <w:r w:rsidR="00A07EEA" w:rsidRPr="00EC02CA">
        <w:rPr>
          <w:i/>
          <w:iCs/>
        </w:rPr>
        <w:t>, 40</w:t>
      </w:r>
      <w:r w:rsidR="00A07EEA" w:rsidRPr="00EC02CA">
        <w:t>(21–22)</w:t>
      </w:r>
      <w:r w:rsidRPr="00EC02CA">
        <w:t>, 1</w:t>
      </w:r>
      <w:r w:rsidR="00A07EEA" w:rsidRPr="00EC02CA">
        <w:t>–</w:t>
      </w:r>
      <w:r w:rsidRPr="00EC02CA">
        <w:t>23</w:t>
      </w:r>
      <w:r w:rsidR="001226BD" w:rsidRPr="00EC02CA">
        <w:t>.</w:t>
      </w:r>
    </w:p>
    <w:p w14:paraId="056EFEA4" w14:textId="0FE9BAB1" w:rsidR="00814CE8" w:rsidRPr="00EC02CA" w:rsidRDefault="00814CE8" w:rsidP="00814CE8">
      <w:r w:rsidRPr="00EC02CA">
        <w:t>Hackett, S., Holmes, D. &amp; Branigan, P. (2016).</w:t>
      </w:r>
      <w:r w:rsidR="00610AED" w:rsidRPr="00EC02CA">
        <w:t xml:space="preserve"> </w:t>
      </w:r>
      <w:r w:rsidRPr="00EC02CA">
        <w:rPr>
          <w:i/>
          <w:iCs/>
        </w:rPr>
        <w:t>Harmful sexual behaviour framework:</w:t>
      </w:r>
      <w:r w:rsidR="00610AED" w:rsidRPr="00EC02CA">
        <w:t xml:space="preserve"> </w:t>
      </w:r>
      <w:r w:rsidR="00A07EEA" w:rsidRPr="00EC02CA">
        <w:rPr>
          <w:i/>
          <w:iCs/>
        </w:rPr>
        <w:t>An e</w:t>
      </w:r>
      <w:r w:rsidRPr="00EC02CA">
        <w:rPr>
          <w:i/>
          <w:iCs/>
        </w:rPr>
        <w:t>vidence</w:t>
      </w:r>
      <w:r w:rsidR="00A07EEA" w:rsidRPr="00EC02CA">
        <w:rPr>
          <w:i/>
          <w:iCs/>
        </w:rPr>
        <w:t>-</w:t>
      </w:r>
      <w:r w:rsidRPr="00EC02CA">
        <w:rPr>
          <w:i/>
          <w:iCs/>
        </w:rPr>
        <w:t>informed operational framework for children and young people displaying harmful sexual behaviours</w:t>
      </w:r>
      <w:r w:rsidRPr="00EC02CA">
        <w:t xml:space="preserve">. </w:t>
      </w:r>
      <w:r w:rsidR="00A07EEA" w:rsidRPr="00EC02CA">
        <w:t>&lt;https://www.icmec.org/wp-content/uploads/2019/04/harmful-sexual-behaviour-framework.pdf&gt;</w:t>
      </w:r>
      <w:r w:rsidRPr="00EC02CA">
        <w:t>.</w:t>
      </w:r>
    </w:p>
    <w:p w14:paraId="0E2B8A49" w14:textId="1ED4D609" w:rsidR="00814CE8" w:rsidRPr="00EC02CA" w:rsidRDefault="00814CE8" w:rsidP="00814CE8">
      <w:r w:rsidRPr="00EC02CA">
        <w:t xml:space="preserve">Hackett, S., Darling, A. J., Balfe, M., Masson, H., &amp; Phillips, J. (2022). Life course outcomes and developmental pathways for children and young people with harmful sexual behaviour. </w:t>
      </w:r>
      <w:r w:rsidRPr="00EC02CA">
        <w:rPr>
          <w:i/>
          <w:iCs/>
        </w:rPr>
        <w:t>Journal of Sexual Aggression</w:t>
      </w:r>
      <w:r w:rsidRPr="00EC02CA">
        <w:t xml:space="preserve">, </w:t>
      </w:r>
      <w:r w:rsidR="00770413" w:rsidRPr="00EC02CA">
        <w:rPr>
          <w:i/>
          <w:iCs/>
        </w:rPr>
        <w:t>30</w:t>
      </w:r>
      <w:r w:rsidR="00770413" w:rsidRPr="00EC02CA">
        <w:t>(2), 145–165</w:t>
      </w:r>
      <w:r w:rsidRPr="00EC02CA">
        <w:t>.</w:t>
      </w:r>
    </w:p>
    <w:p w14:paraId="306E54EA" w14:textId="3AC6DE10" w:rsidR="00814CE8" w:rsidRPr="00EC02CA" w:rsidRDefault="00814CE8" w:rsidP="00814CE8">
      <w:r w:rsidRPr="00EC02CA">
        <w:t>Henggeler, S. W., &amp; Sheidow, A. J. (2012). Evidence-based interventions for juvenile</w:t>
      </w:r>
      <w:r w:rsidR="00610AED" w:rsidRPr="00EC02CA">
        <w:t xml:space="preserve"> </w:t>
      </w:r>
      <w:r w:rsidRPr="00EC02CA">
        <w:t xml:space="preserve">offenders: A review of the literature. </w:t>
      </w:r>
      <w:r w:rsidRPr="00EC02CA">
        <w:rPr>
          <w:i/>
          <w:iCs/>
        </w:rPr>
        <w:t>Journal of Criminal Justice, 40</w:t>
      </w:r>
      <w:r w:rsidRPr="00EC02CA">
        <w:t>(2), 123</w:t>
      </w:r>
      <w:r w:rsidR="00770413" w:rsidRPr="00EC02CA">
        <w:t>–</w:t>
      </w:r>
      <w:r w:rsidRPr="00EC02CA">
        <w:t>132.</w:t>
      </w:r>
    </w:p>
    <w:p w14:paraId="13BC5560" w14:textId="5781783B" w:rsidR="00814CE8" w:rsidRPr="00EC02CA" w:rsidRDefault="00814CE8" w:rsidP="00814CE8">
      <w:r w:rsidRPr="00EC02CA">
        <w:t xml:space="preserve">Howey, W., Lundahl, B., &amp; Assadollahi, A. (2022). Effectiveness of residential treatment for youths with problematic sexual behaviour: A systematic review. </w:t>
      </w:r>
      <w:r w:rsidRPr="00EC02CA">
        <w:rPr>
          <w:i/>
          <w:iCs/>
        </w:rPr>
        <w:t>International Journal of Environmental Research and Public Health</w:t>
      </w:r>
      <w:r w:rsidRPr="00EC02CA">
        <w:t xml:space="preserve">, </w:t>
      </w:r>
      <w:r w:rsidRPr="00EC02CA">
        <w:rPr>
          <w:i/>
          <w:iCs/>
        </w:rPr>
        <w:t>19</w:t>
      </w:r>
      <w:r w:rsidRPr="00EC02CA">
        <w:t>(23)</w:t>
      </w:r>
      <w:r w:rsidR="00D14163" w:rsidRPr="00EC02CA">
        <w:t>, 15625</w:t>
      </w:r>
      <w:r w:rsidR="00770413" w:rsidRPr="00EC02CA">
        <w:t>.</w:t>
      </w:r>
      <w:r w:rsidRPr="00EC02CA">
        <w:t xml:space="preserve"> </w:t>
      </w:r>
      <w:r w:rsidR="00770413" w:rsidRPr="00EC02CA">
        <w:t>&lt;https://doi.org/10.3390/ijerph192315625&gt;</w:t>
      </w:r>
    </w:p>
    <w:p w14:paraId="6E00276D" w14:textId="473E3735" w:rsidR="00814CE8" w:rsidRPr="00EC02CA" w:rsidRDefault="00814CE8" w:rsidP="00814CE8">
      <w:r w:rsidRPr="00EC02CA">
        <w:t>Kipke, M. D., Wong, R., &amp; Smith, K. (2007). Adolescent sexual offenders: What we know</w:t>
      </w:r>
      <w:r w:rsidR="00610AED" w:rsidRPr="00EC02CA">
        <w:t xml:space="preserve"> </w:t>
      </w:r>
      <w:r w:rsidRPr="00EC02CA">
        <w:t xml:space="preserve">and what we need to know. </w:t>
      </w:r>
      <w:r w:rsidRPr="00EC02CA">
        <w:rPr>
          <w:i/>
          <w:iCs/>
        </w:rPr>
        <w:t>Journal of Adolescent Health, 40</w:t>
      </w:r>
      <w:r w:rsidRPr="00EC02CA">
        <w:t>(4), 329</w:t>
      </w:r>
      <w:r w:rsidR="00770413" w:rsidRPr="00EC02CA">
        <w:t>–</w:t>
      </w:r>
      <w:r w:rsidRPr="00EC02CA">
        <w:t>335.</w:t>
      </w:r>
    </w:p>
    <w:p w14:paraId="5FC61366" w14:textId="70FA83F4" w:rsidR="00814CE8" w:rsidRPr="00EC02CA" w:rsidRDefault="00814CE8" w:rsidP="00814CE8">
      <w:r w:rsidRPr="00EC02CA">
        <w:t>Letourneau, E. J., Henggeler, S. W., Borduin, C. M., Schewe, P. A., McCart, M. R.,</w:t>
      </w:r>
      <w:r w:rsidR="00610AED" w:rsidRPr="00EC02CA">
        <w:t xml:space="preserve"> </w:t>
      </w:r>
      <w:r w:rsidRPr="00EC02CA">
        <w:t>Chapman, J. E., &amp; Saldana, L. (2009). Multisystemic therapy for youth sexual offenders: 1-year results from a randomized effectiveness trial. </w:t>
      </w:r>
      <w:r w:rsidRPr="00EC02CA">
        <w:rPr>
          <w:i/>
          <w:iCs/>
        </w:rPr>
        <w:t>Journal of family psychology : JFP : journal of the Division of Family Psychology of the American Psychological Association (Division 43)</w:t>
      </w:r>
      <w:r w:rsidRPr="00EC02CA">
        <w:t>, </w:t>
      </w:r>
      <w:r w:rsidRPr="00EC02CA">
        <w:rPr>
          <w:i/>
          <w:iCs/>
        </w:rPr>
        <w:t>23</w:t>
      </w:r>
      <w:r w:rsidRPr="00EC02CA">
        <w:t>(1), 89–102.</w:t>
      </w:r>
    </w:p>
    <w:p w14:paraId="3E77F6EC" w14:textId="3C0D5A2E" w:rsidR="00814CE8" w:rsidRPr="00EC02CA" w:rsidRDefault="00814CE8" w:rsidP="00814CE8">
      <w:r w:rsidRPr="00EC02CA">
        <w:t>Letourneau, E. J., &amp; Miner, M. H. (2005). Youth sex offenders: a case against the</w:t>
      </w:r>
      <w:r w:rsidR="00610AED" w:rsidRPr="00EC02CA">
        <w:t xml:space="preserve"> </w:t>
      </w:r>
      <w:r w:rsidRPr="00EC02CA">
        <w:t>legal and clinical status quo. </w:t>
      </w:r>
      <w:r w:rsidRPr="00EC02CA">
        <w:rPr>
          <w:i/>
          <w:iCs/>
        </w:rPr>
        <w:t>Sexual abuse: a journal of research and treatment</w:t>
      </w:r>
      <w:r w:rsidRPr="00EC02CA">
        <w:t>, </w:t>
      </w:r>
      <w:r w:rsidRPr="00EC02CA">
        <w:rPr>
          <w:i/>
          <w:iCs/>
        </w:rPr>
        <w:t>17</w:t>
      </w:r>
      <w:r w:rsidRPr="00EC02CA">
        <w:t>(3), 293–312.</w:t>
      </w:r>
    </w:p>
    <w:p w14:paraId="1B48925B" w14:textId="2FE93EF5" w:rsidR="00814CE8" w:rsidRPr="00EC02CA" w:rsidRDefault="00814CE8" w:rsidP="00814CE8">
      <w:r w:rsidRPr="00EC02CA">
        <w:t>Littell, J.</w:t>
      </w:r>
      <w:r w:rsidR="002F052A" w:rsidRPr="00EC02CA">
        <w:t xml:space="preserve"> </w:t>
      </w:r>
      <w:r w:rsidRPr="00EC02CA">
        <w:t>H., Campbell, M., Green, S., &amp; Toews, B. (2005). Multisystemic Therapy for social, emotional, and behavioral problems in youth aged 10</w:t>
      </w:r>
      <w:r w:rsidR="002F052A" w:rsidRPr="00EC02CA">
        <w:t>–</w:t>
      </w:r>
      <w:r w:rsidRPr="00EC02CA">
        <w:t xml:space="preserve">17. </w:t>
      </w:r>
      <w:r w:rsidRPr="00EC02CA">
        <w:rPr>
          <w:i/>
          <w:iCs/>
        </w:rPr>
        <w:t xml:space="preserve">Cochrane </w:t>
      </w:r>
      <w:r w:rsidR="002F052A" w:rsidRPr="00EC02CA">
        <w:rPr>
          <w:i/>
          <w:iCs/>
        </w:rPr>
        <w:t>d</w:t>
      </w:r>
      <w:r w:rsidRPr="00EC02CA">
        <w:rPr>
          <w:i/>
          <w:iCs/>
        </w:rPr>
        <w:t xml:space="preserve">atabase of </w:t>
      </w:r>
      <w:r w:rsidR="002F052A" w:rsidRPr="00EC02CA">
        <w:rPr>
          <w:i/>
          <w:iCs/>
        </w:rPr>
        <w:t>s</w:t>
      </w:r>
      <w:r w:rsidRPr="00EC02CA">
        <w:rPr>
          <w:i/>
          <w:iCs/>
        </w:rPr>
        <w:t xml:space="preserve">ystematic </w:t>
      </w:r>
      <w:r w:rsidR="002F052A" w:rsidRPr="00EC02CA">
        <w:rPr>
          <w:i/>
          <w:iCs/>
        </w:rPr>
        <w:t>r</w:t>
      </w:r>
      <w:r w:rsidRPr="00EC02CA">
        <w:rPr>
          <w:i/>
          <w:iCs/>
        </w:rPr>
        <w:t>eviews</w:t>
      </w:r>
      <w:r w:rsidRPr="00EC02CA">
        <w:t>,</w:t>
      </w:r>
      <w:r w:rsidR="002F052A" w:rsidRPr="00EC02CA">
        <w:t xml:space="preserve"> (3), CD004797.</w:t>
      </w:r>
      <w:r w:rsidRPr="00EC02CA">
        <w:t xml:space="preserve"> </w:t>
      </w:r>
      <w:r w:rsidR="00610AED" w:rsidRPr="00EC02CA">
        <w:t>&lt;https://doi.org/10.1002/14651858.CD004797.pub4&gt;</w:t>
      </w:r>
    </w:p>
    <w:p w14:paraId="4A18BAFE" w14:textId="439DD3F5" w:rsidR="00814CE8" w:rsidRPr="00EC02CA" w:rsidRDefault="00814CE8" w:rsidP="00814CE8">
      <w:r w:rsidRPr="00EC02CA">
        <w:t>Loeber, R., &amp; Farrington, D. P. (2000). Young offenders: The importance of risk factors and</w:t>
      </w:r>
      <w:r w:rsidR="00610AED" w:rsidRPr="00EC02CA">
        <w:t xml:space="preserve"> </w:t>
      </w:r>
      <w:r w:rsidRPr="00EC02CA">
        <w:t xml:space="preserve">the application of the RNR model. </w:t>
      </w:r>
      <w:r w:rsidRPr="00EC02CA">
        <w:rPr>
          <w:i/>
          <w:iCs/>
        </w:rPr>
        <w:t>Criminal Behavior and Mental Health</w:t>
      </w:r>
      <w:r w:rsidRPr="00EC02CA">
        <w:t xml:space="preserve">, </w:t>
      </w:r>
      <w:r w:rsidRPr="00EC02CA">
        <w:rPr>
          <w:i/>
          <w:iCs/>
        </w:rPr>
        <w:t>10</w:t>
      </w:r>
      <w:r w:rsidRPr="00EC02CA">
        <w:t>(3), 139</w:t>
      </w:r>
      <w:r w:rsidR="00610AED" w:rsidRPr="00EC02CA">
        <w:t>–</w:t>
      </w:r>
      <w:r w:rsidRPr="00EC02CA">
        <w:t>152.</w:t>
      </w:r>
    </w:p>
    <w:p w14:paraId="41A063D8" w14:textId="2E8975EB" w:rsidR="00814CE8" w:rsidRPr="00EC02CA" w:rsidRDefault="00814CE8" w:rsidP="00814CE8">
      <w:r w:rsidRPr="00EC02CA">
        <w:t>Looman, J., &amp; Abracen, J. (2005). The importance of evidence-based practices in the</w:t>
      </w:r>
      <w:r w:rsidR="00610AED" w:rsidRPr="00EC02CA">
        <w:t xml:space="preserve"> </w:t>
      </w:r>
      <w:r w:rsidRPr="00EC02CA">
        <w:t xml:space="preserve">treatment of sexual offenders. </w:t>
      </w:r>
      <w:r w:rsidRPr="00EC02CA">
        <w:rPr>
          <w:i/>
          <w:iCs/>
        </w:rPr>
        <w:t>Sexual Abuse: A Journal of Research and Treatment, 17</w:t>
      </w:r>
      <w:r w:rsidRPr="00EC02CA">
        <w:t>(2), 189</w:t>
      </w:r>
      <w:r w:rsidR="00610AED" w:rsidRPr="00EC02CA">
        <w:t>–</w:t>
      </w:r>
      <w:r w:rsidRPr="00EC02CA">
        <w:t>204.</w:t>
      </w:r>
    </w:p>
    <w:p w14:paraId="7C53CCF5" w14:textId="00B5DC7F" w:rsidR="00814CE8" w:rsidRPr="00EC02CA" w:rsidRDefault="00814CE8" w:rsidP="00814CE8">
      <w:r w:rsidRPr="00EC02CA">
        <w:t>Losel, F., &amp; Bliesener, T. (1994). The development of juvenile sexual offenders: A review of</w:t>
      </w:r>
      <w:r w:rsidR="00610AED" w:rsidRPr="00EC02CA">
        <w:t xml:space="preserve"> </w:t>
      </w:r>
      <w:r w:rsidRPr="00EC02CA">
        <w:t xml:space="preserve">the literature. </w:t>
      </w:r>
      <w:r w:rsidRPr="00EC02CA">
        <w:rPr>
          <w:i/>
          <w:iCs/>
        </w:rPr>
        <w:t>Journal of Sexual Aggression</w:t>
      </w:r>
      <w:r w:rsidRPr="00EC02CA">
        <w:t xml:space="preserve">, </w:t>
      </w:r>
      <w:r w:rsidRPr="00EC02CA">
        <w:rPr>
          <w:i/>
          <w:iCs/>
        </w:rPr>
        <w:t>1</w:t>
      </w:r>
      <w:r w:rsidRPr="00EC02CA">
        <w:t>(1), 55</w:t>
      </w:r>
      <w:r w:rsidR="00610AED" w:rsidRPr="00EC02CA">
        <w:t>–</w:t>
      </w:r>
      <w:r w:rsidRPr="00EC02CA">
        <w:t>68.</w:t>
      </w:r>
    </w:p>
    <w:p w14:paraId="0A6544A5" w14:textId="38BAA28D" w:rsidR="00814CE8" w:rsidRPr="00EC02CA" w:rsidRDefault="00814CE8" w:rsidP="00814CE8">
      <w:r w:rsidRPr="00EC02CA">
        <w:t>Mackenzie, D. L. (2006). The importance of the RNR model in the treatment of juvenile sex</w:t>
      </w:r>
      <w:r w:rsidR="00610AED" w:rsidRPr="00EC02CA">
        <w:t xml:space="preserve"> </w:t>
      </w:r>
      <w:r w:rsidRPr="00EC02CA">
        <w:t xml:space="preserve">offenders. </w:t>
      </w:r>
      <w:r w:rsidRPr="00EC02CA">
        <w:rPr>
          <w:i/>
          <w:iCs/>
        </w:rPr>
        <w:t>Criminal Justice and Behavior</w:t>
      </w:r>
      <w:r w:rsidRPr="00EC02CA">
        <w:t xml:space="preserve">, </w:t>
      </w:r>
      <w:r w:rsidRPr="00EC02CA">
        <w:rPr>
          <w:i/>
          <w:iCs/>
        </w:rPr>
        <w:t>33</w:t>
      </w:r>
      <w:r w:rsidRPr="00EC02CA">
        <w:t>(5), 570</w:t>
      </w:r>
      <w:r w:rsidR="00610AED" w:rsidRPr="00EC02CA">
        <w:t>–</w:t>
      </w:r>
      <w:r w:rsidRPr="00EC02CA">
        <w:t>592.</w:t>
      </w:r>
    </w:p>
    <w:p w14:paraId="3051A3C2" w14:textId="60A921C7" w:rsidR="00814CE8" w:rsidRPr="00EC02CA" w:rsidRDefault="00814CE8" w:rsidP="00814CE8">
      <w:r w:rsidRPr="00EC02CA">
        <w:t>Marshall, W. L., &amp; Laws, D. R. (2003). Theories of sexual offending. In D. R. Laws &amp; W. L.</w:t>
      </w:r>
      <w:r w:rsidR="00610AED" w:rsidRPr="00EC02CA">
        <w:t xml:space="preserve"> </w:t>
      </w:r>
      <w:r w:rsidRPr="00EC02CA">
        <w:t xml:space="preserve">Marshall (Eds.), </w:t>
      </w:r>
      <w:r w:rsidRPr="00EC02CA">
        <w:rPr>
          <w:i/>
          <w:iCs/>
        </w:rPr>
        <w:t>A handbook of sexual assault: Issues, theories, and treatment of the last resort</w:t>
      </w:r>
      <w:r w:rsidRPr="00EC02CA">
        <w:t xml:space="preserve"> (pp. 3</w:t>
      </w:r>
      <w:r w:rsidR="00610AED" w:rsidRPr="00EC02CA">
        <w:t>–</w:t>
      </w:r>
      <w:r w:rsidRPr="00EC02CA">
        <w:t>30). Springer.</w:t>
      </w:r>
    </w:p>
    <w:p w14:paraId="47041228" w14:textId="3F3B57BC" w:rsidR="00814CE8" w:rsidRPr="00EC02CA" w:rsidRDefault="00814CE8" w:rsidP="00814CE8">
      <w:r w:rsidRPr="00EC02CA">
        <w:t xml:space="preserve">Mathews, B., Finkelhor, D., Pacella, R., Scott, J. G., Higgins, D. J., Meinck, F., Erskine, H. E., Thomas, H. J., Lawrence, D., Malacova, E., Haslam, D. M., &amp; Collin-Vézina, D. (2024). Child sexual abuse by different classes and types of perpetrator: Prevalence and trends from an Australian National Survey. </w:t>
      </w:r>
      <w:r w:rsidRPr="00EC02CA">
        <w:rPr>
          <w:i/>
          <w:iCs/>
        </w:rPr>
        <w:t xml:space="preserve">Child </w:t>
      </w:r>
      <w:r w:rsidR="002F052A" w:rsidRPr="00EC02CA">
        <w:rPr>
          <w:i/>
          <w:iCs/>
        </w:rPr>
        <w:t>A</w:t>
      </w:r>
      <w:r w:rsidRPr="00EC02CA">
        <w:rPr>
          <w:i/>
          <w:iCs/>
        </w:rPr>
        <w:t xml:space="preserve">buse &amp; </w:t>
      </w:r>
      <w:r w:rsidR="002F052A" w:rsidRPr="00EC02CA">
        <w:rPr>
          <w:i/>
          <w:iCs/>
        </w:rPr>
        <w:t>N</w:t>
      </w:r>
      <w:r w:rsidRPr="00EC02CA">
        <w:rPr>
          <w:i/>
          <w:iCs/>
        </w:rPr>
        <w:t>eglect</w:t>
      </w:r>
      <w:r w:rsidRPr="00EC02CA">
        <w:t xml:space="preserve">, </w:t>
      </w:r>
      <w:r w:rsidRPr="00EC02CA">
        <w:rPr>
          <w:i/>
          <w:iCs/>
        </w:rPr>
        <w:t>147</w:t>
      </w:r>
      <w:r w:rsidRPr="00EC02CA">
        <w:t>, 106562.</w:t>
      </w:r>
      <w:r w:rsidR="002F052A" w:rsidRPr="00EC02CA">
        <w:t xml:space="preserve"> &lt;https://doi.org/10.1016/j.chiabu.2023.106562&gt;</w:t>
      </w:r>
    </w:p>
    <w:p w14:paraId="6F995B82" w14:textId="33F0A858" w:rsidR="00814CE8" w:rsidRPr="00EC02CA" w:rsidRDefault="00814CE8" w:rsidP="00814CE8">
      <w:r w:rsidRPr="00EC02CA">
        <w:t>McCartan, K. F. (2010). The treatment of juvenile sexual offenders: A review of the</w:t>
      </w:r>
      <w:r w:rsidR="00610AED" w:rsidRPr="00EC02CA">
        <w:t xml:space="preserve"> </w:t>
      </w:r>
      <w:r w:rsidRPr="00EC02CA">
        <w:t xml:space="preserve">evidence. </w:t>
      </w:r>
      <w:r w:rsidRPr="00EC02CA">
        <w:rPr>
          <w:i/>
          <w:iCs/>
        </w:rPr>
        <w:t>Journal of Sexual Aggression</w:t>
      </w:r>
      <w:r w:rsidRPr="00EC02CA">
        <w:t xml:space="preserve">, </w:t>
      </w:r>
      <w:r w:rsidRPr="00EC02CA">
        <w:rPr>
          <w:i/>
          <w:iCs/>
        </w:rPr>
        <w:t>16</w:t>
      </w:r>
      <w:r w:rsidRPr="00EC02CA">
        <w:t>(1), 39</w:t>
      </w:r>
      <w:r w:rsidR="00610AED" w:rsidRPr="00EC02CA">
        <w:t>–</w:t>
      </w:r>
      <w:r w:rsidRPr="00EC02CA">
        <w:t>53.</w:t>
      </w:r>
    </w:p>
    <w:p w14:paraId="01AA2A55" w14:textId="56163643" w:rsidR="00814CE8" w:rsidRPr="00EC02CA" w:rsidRDefault="00814CE8" w:rsidP="00814CE8">
      <w:r w:rsidRPr="00EC02CA">
        <w:t>McGrath, R. J., Cummings, C., &amp; McCoy, M. (2010). The application of the RNR model to</w:t>
      </w:r>
      <w:r w:rsidR="00610AED" w:rsidRPr="00EC02CA">
        <w:t xml:space="preserve"> </w:t>
      </w:r>
      <w:r w:rsidRPr="00EC02CA">
        <w:t xml:space="preserve">juvenile sex offenders: Implications for practice. </w:t>
      </w:r>
      <w:r w:rsidRPr="00EC02CA">
        <w:rPr>
          <w:i/>
          <w:iCs/>
        </w:rPr>
        <w:t>Sexual Abuse: A Journal of Research and Treatment</w:t>
      </w:r>
      <w:r w:rsidRPr="00EC02CA">
        <w:t xml:space="preserve">, </w:t>
      </w:r>
      <w:r w:rsidRPr="00EC02CA">
        <w:rPr>
          <w:i/>
          <w:iCs/>
        </w:rPr>
        <w:t>22</w:t>
      </w:r>
      <w:r w:rsidRPr="00EC02CA">
        <w:t>(4), 468</w:t>
      </w:r>
      <w:r w:rsidR="00610AED" w:rsidRPr="00EC02CA">
        <w:t>–</w:t>
      </w:r>
      <w:r w:rsidRPr="00EC02CA">
        <w:t>488.</w:t>
      </w:r>
    </w:p>
    <w:p w14:paraId="01E26439" w14:textId="53C70251" w:rsidR="00814CE8" w:rsidRPr="00EC02CA" w:rsidRDefault="00814CE8" w:rsidP="00814CE8">
      <w:r w:rsidRPr="00EC02CA">
        <w:t>McKibbin, G., Humphreys, C., &amp; Hamilton, B. (2017). “Talking about child sexual abuse</w:t>
      </w:r>
      <w:r w:rsidR="00610AED" w:rsidRPr="00EC02CA">
        <w:t xml:space="preserve"> </w:t>
      </w:r>
      <w:r w:rsidRPr="00EC02CA">
        <w:t xml:space="preserve">would have helped me”: Young people who sexually abused reflect on preventing harmful sexual behavior. </w:t>
      </w:r>
      <w:r w:rsidRPr="00EC02CA">
        <w:rPr>
          <w:i/>
          <w:iCs/>
        </w:rPr>
        <w:t>Child Abuse &amp; Neglect, 70,</w:t>
      </w:r>
      <w:r w:rsidRPr="00EC02CA">
        <w:t xml:space="preserve"> 210</w:t>
      </w:r>
      <w:r w:rsidR="00610AED" w:rsidRPr="00EC02CA">
        <w:t>–</w:t>
      </w:r>
      <w:r w:rsidRPr="00EC02CA">
        <w:t>221.</w:t>
      </w:r>
    </w:p>
    <w:p w14:paraId="552094E7" w14:textId="15AABEDD" w:rsidR="00814CE8" w:rsidRPr="00EC02CA" w:rsidRDefault="00814CE8" w:rsidP="00814CE8">
      <w:r w:rsidRPr="00EC02CA">
        <w:t xml:space="preserve">McVilly, I., Washington, A., &amp; Norris, K. (2024). </w:t>
      </w:r>
      <w:r w:rsidRPr="00EC02CA">
        <w:rPr>
          <w:i/>
          <w:iCs/>
        </w:rPr>
        <w:t>Interventions to Support Youths with</w:t>
      </w:r>
      <w:r w:rsidR="00610AED" w:rsidRPr="00EC02CA">
        <w:rPr>
          <w:i/>
          <w:iCs/>
        </w:rPr>
        <w:t xml:space="preserve"> </w:t>
      </w:r>
      <w:r w:rsidRPr="00EC02CA">
        <w:rPr>
          <w:i/>
          <w:iCs/>
        </w:rPr>
        <w:t>Harmful Sexual Behaviour: A Systematic Review</w:t>
      </w:r>
      <w:r w:rsidRPr="00EC02CA">
        <w:t>. Unpublished Master</w:t>
      </w:r>
      <w:r w:rsidR="00A46B49" w:rsidRPr="00EC02CA">
        <w:t>’</w:t>
      </w:r>
      <w:r w:rsidRPr="00EC02CA">
        <w:t>s Thesis, University of Tasmania.</w:t>
      </w:r>
    </w:p>
    <w:p w14:paraId="558E82CC" w14:textId="588D4EE6" w:rsidR="00814CE8" w:rsidRPr="00EC02CA" w:rsidRDefault="00814CE8" w:rsidP="00814CE8">
      <w:r w:rsidRPr="00EC02CA">
        <w:t>O’Connell, M. (2018). Understanding the link between online and offline sexual offending:</w:t>
      </w:r>
      <w:r w:rsidR="00610AED" w:rsidRPr="00EC02CA">
        <w:t xml:space="preserve"> </w:t>
      </w:r>
      <w:r w:rsidRPr="00EC02CA">
        <w:t xml:space="preserve">Implications for prevention. </w:t>
      </w:r>
      <w:r w:rsidRPr="00EC02CA">
        <w:rPr>
          <w:i/>
          <w:iCs/>
        </w:rPr>
        <w:t>Journal of Sexual Aggression</w:t>
      </w:r>
      <w:r w:rsidRPr="00EC02CA">
        <w:t xml:space="preserve">, </w:t>
      </w:r>
      <w:r w:rsidRPr="00EC02CA">
        <w:rPr>
          <w:i/>
          <w:iCs/>
        </w:rPr>
        <w:t>24</w:t>
      </w:r>
      <w:r w:rsidRPr="00EC02CA">
        <w:t>(3), 345</w:t>
      </w:r>
      <w:r w:rsidR="00610AED" w:rsidRPr="00EC02CA">
        <w:t>–</w:t>
      </w:r>
      <w:r w:rsidRPr="00EC02CA">
        <w:t>358.</w:t>
      </w:r>
    </w:p>
    <w:p w14:paraId="4CA30DDB" w14:textId="166F25BF" w:rsidR="00814CE8" w:rsidRPr="00EC02CA" w:rsidRDefault="00814CE8" w:rsidP="00814CE8">
      <w:r w:rsidRPr="00EC02CA">
        <w:t>Saleh, F. M., Templer, D. I., &amp; Reddon, J. R. (2017). Recidivism rates in adolescent sexual</w:t>
      </w:r>
      <w:r w:rsidR="00610AED" w:rsidRPr="00EC02CA">
        <w:t xml:space="preserve"> </w:t>
      </w:r>
      <w:r w:rsidRPr="00EC02CA">
        <w:t xml:space="preserve">offenders: A review of the literature. </w:t>
      </w:r>
      <w:r w:rsidRPr="00EC02CA">
        <w:rPr>
          <w:i/>
          <w:iCs/>
        </w:rPr>
        <w:t>International Journal of Offender Therapy and Comparative</w:t>
      </w:r>
      <w:r w:rsidR="000C7A4E" w:rsidRPr="00EC02CA">
        <w:rPr>
          <w:i/>
          <w:iCs/>
        </w:rPr>
        <w:t xml:space="preserve"> </w:t>
      </w:r>
      <w:r w:rsidRPr="00EC02CA">
        <w:rPr>
          <w:i/>
          <w:iCs/>
        </w:rPr>
        <w:t>Criminology, 61</w:t>
      </w:r>
      <w:r w:rsidRPr="00EC02CA">
        <w:t>(3), 272</w:t>
      </w:r>
      <w:r w:rsidR="00610AED" w:rsidRPr="00EC02CA">
        <w:t>–</w:t>
      </w:r>
      <w:r w:rsidRPr="00EC02CA">
        <w:t>295.</w:t>
      </w:r>
    </w:p>
    <w:p w14:paraId="00351FEE" w14:textId="0F7D9929" w:rsidR="00814CE8" w:rsidRPr="00EC02CA" w:rsidRDefault="00814CE8" w:rsidP="00814CE8">
      <w:r w:rsidRPr="00EC02CA">
        <w:t xml:space="preserve">Schmucker, M., Lösel, F. </w:t>
      </w:r>
      <w:r w:rsidR="001209BB" w:rsidRPr="00EC02CA">
        <w:t xml:space="preserve">(2015) </w:t>
      </w:r>
      <w:r w:rsidRPr="00EC02CA">
        <w:t>The effects of sexual offender treatment on recidivism: an</w:t>
      </w:r>
      <w:r w:rsidR="005D26A7" w:rsidRPr="00EC02CA">
        <w:t xml:space="preserve"> </w:t>
      </w:r>
      <w:r w:rsidRPr="00EC02CA">
        <w:t xml:space="preserve">international meta-analysis of sound quality evaluations. </w:t>
      </w:r>
      <w:r w:rsidRPr="00EC02CA">
        <w:rPr>
          <w:i/>
          <w:iCs/>
        </w:rPr>
        <w:t>J Exp Criminol</w:t>
      </w:r>
      <w:r w:rsidR="00112011" w:rsidRPr="00EC02CA">
        <w:rPr>
          <w:i/>
          <w:iCs/>
        </w:rPr>
        <w:t>,</w:t>
      </w:r>
      <w:r w:rsidRPr="00EC02CA">
        <w:t xml:space="preserve"> </w:t>
      </w:r>
      <w:r w:rsidRPr="00EC02CA">
        <w:rPr>
          <w:i/>
          <w:iCs/>
        </w:rPr>
        <w:t>11</w:t>
      </w:r>
      <w:r w:rsidRPr="00EC02CA">
        <w:t>, 597–630.</w:t>
      </w:r>
    </w:p>
    <w:p w14:paraId="1116AB81" w14:textId="4B333D8A" w:rsidR="00814CE8" w:rsidRPr="00EC02CA" w:rsidRDefault="00814CE8" w:rsidP="00814CE8">
      <w:r w:rsidRPr="00EC02CA">
        <w:t xml:space="preserve">Seto, M. C., &amp; Lalumière, M. L. (2010). Sexual offending in youth: A developmental and socioecological perspective. </w:t>
      </w:r>
      <w:r w:rsidRPr="00EC02CA">
        <w:rPr>
          <w:i/>
          <w:iCs/>
        </w:rPr>
        <w:t>Sexual Abuse: A Journal of Research and Treatment</w:t>
      </w:r>
      <w:r w:rsidRPr="00EC02CA">
        <w:t xml:space="preserve">, </w:t>
      </w:r>
      <w:r w:rsidRPr="00EC02CA">
        <w:rPr>
          <w:i/>
          <w:iCs/>
        </w:rPr>
        <w:t>22</w:t>
      </w:r>
      <w:r w:rsidRPr="00EC02CA">
        <w:t>(2), 197</w:t>
      </w:r>
      <w:r w:rsidR="00610AED" w:rsidRPr="00EC02CA">
        <w:t>–</w:t>
      </w:r>
      <w:r w:rsidRPr="00EC02CA">
        <w:t>223.</w:t>
      </w:r>
    </w:p>
    <w:p w14:paraId="2DBE36A1" w14:textId="54F877BF" w:rsidR="00814CE8" w:rsidRPr="00EC02CA" w:rsidRDefault="00814CE8" w:rsidP="00814CE8">
      <w:r w:rsidRPr="00EC02CA">
        <w:t xml:space="preserve">Seto M. C. (2019). The Motivation-Facilitation Model of Sexual Offending. </w:t>
      </w:r>
      <w:r w:rsidRPr="00EC02CA">
        <w:rPr>
          <w:i/>
          <w:iCs/>
        </w:rPr>
        <w:t>Sexual Abuse: A Journal of Research and Treatment</w:t>
      </w:r>
      <w:r w:rsidRPr="00EC02CA">
        <w:t xml:space="preserve">, </w:t>
      </w:r>
      <w:r w:rsidRPr="00EC02CA">
        <w:rPr>
          <w:i/>
          <w:iCs/>
        </w:rPr>
        <w:t>31</w:t>
      </w:r>
      <w:r w:rsidRPr="00EC02CA">
        <w:t>(1), 3–24.</w:t>
      </w:r>
    </w:p>
    <w:p w14:paraId="75427A42" w14:textId="5B16B712" w:rsidR="00814CE8" w:rsidRPr="00EC02CA" w:rsidRDefault="00814CE8" w:rsidP="00814CE8">
      <w:r w:rsidRPr="00EC02CA">
        <w:t>Snyder, J., Schrepferman, L., Oeser, J., Patterson, G., Stoolmiller, M., Johnson, K., &amp; Snyder, A. (2005). Deviancy training and association with deviant peers in young children: occurrence and contribution to early-onset conduct problems. </w:t>
      </w:r>
      <w:r w:rsidRPr="00EC02CA">
        <w:rPr>
          <w:i/>
          <w:iCs/>
        </w:rPr>
        <w:t>Development and psychopathology</w:t>
      </w:r>
      <w:r w:rsidRPr="00EC02CA">
        <w:t>, </w:t>
      </w:r>
      <w:r w:rsidRPr="00EC02CA">
        <w:rPr>
          <w:i/>
          <w:iCs/>
        </w:rPr>
        <w:t>17</w:t>
      </w:r>
      <w:r w:rsidRPr="00EC02CA">
        <w:t>(2), 397–413.</w:t>
      </w:r>
    </w:p>
    <w:p w14:paraId="12593C1A" w14:textId="1B8DF871" w:rsidR="00814CE8" w:rsidRPr="00EC02CA" w:rsidRDefault="00814CE8" w:rsidP="00814CE8">
      <w:r w:rsidRPr="00EC02CA">
        <w:t xml:space="preserve">Wright, P. J., Tokunaga, R. S., &amp; Kraus, A. (2016). A meta‐analysis of pornography consumption and actual acts of sexual aggression in general population studies. </w:t>
      </w:r>
      <w:r w:rsidRPr="00EC02CA">
        <w:rPr>
          <w:i/>
          <w:iCs/>
        </w:rPr>
        <w:t>Journal of Communication</w:t>
      </w:r>
      <w:r w:rsidRPr="00EC02CA">
        <w:t xml:space="preserve">, </w:t>
      </w:r>
      <w:r w:rsidRPr="00EC02CA">
        <w:rPr>
          <w:i/>
          <w:iCs/>
        </w:rPr>
        <w:t>66</w:t>
      </w:r>
      <w:r w:rsidRPr="00EC02CA">
        <w:t>(1), 183</w:t>
      </w:r>
      <w:r w:rsidR="00610AED" w:rsidRPr="00EC02CA">
        <w:t>–</w:t>
      </w:r>
      <w:r w:rsidRPr="00EC02CA">
        <w:t>205.</w:t>
      </w:r>
    </w:p>
    <w:p w14:paraId="3EF122E2" w14:textId="087DABAA" w:rsidR="00814CE8" w:rsidRPr="00EC02CA" w:rsidRDefault="00814CE8" w:rsidP="00814CE8">
      <w:r w:rsidRPr="00EC02CA">
        <w:t>Van der Stouwe, T., Asscher, J. J., Stams, G. J. J. M., Deković, M., &amp; van der Laan, P. H.</w:t>
      </w:r>
      <w:r w:rsidR="00610AED" w:rsidRPr="00EC02CA">
        <w:t xml:space="preserve"> </w:t>
      </w:r>
      <w:r w:rsidRPr="00EC02CA">
        <w:t xml:space="preserve">(2014). The effectiveness of Multisystemic Therapy (MST): A meta-analysis. </w:t>
      </w:r>
      <w:r w:rsidRPr="00EC02CA">
        <w:rPr>
          <w:i/>
          <w:iCs/>
        </w:rPr>
        <w:t>Clinical Psychology Review</w:t>
      </w:r>
      <w:r w:rsidRPr="00EC02CA">
        <w:t xml:space="preserve">, </w:t>
      </w:r>
      <w:r w:rsidRPr="00EC02CA">
        <w:rPr>
          <w:i/>
          <w:iCs/>
        </w:rPr>
        <w:t>34</w:t>
      </w:r>
      <w:r w:rsidRPr="00EC02CA">
        <w:t>(6), 468</w:t>
      </w:r>
      <w:r w:rsidR="00610AED" w:rsidRPr="00EC02CA">
        <w:t>–</w:t>
      </w:r>
      <w:r w:rsidRPr="00EC02CA">
        <w:t>481.</w:t>
      </w:r>
    </w:p>
    <w:p w14:paraId="301FC2FF" w14:textId="77777777" w:rsidR="00814CE8" w:rsidRPr="00EC02CA" w:rsidRDefault="00814CE8" w:rsidP="00A03EAB">
      <w:pPr>
        <w:sectPr w:rsidR="00814CE8" w:rsidRPr="00EC02CA" w:rsidSect="0037247A">
          <w:headerReference w:type="default" r:id="rId58"/>
          <w:pgSz w:w="11906" w:h="16838"/>
          <w:pgMar w:top="1440" w:right="1440" w:bottom="1440" w:left="1440" w:header="708" w:footer="708" w:gutter="0"/>
          <w:cols w:space="708"/>
          <w:docGrid w:linePitch="360"/>
        </w:sectPr>
      </w:pPr>
    </w:p>
    <w:p w14:paraId="7EA0BEC5" w14:textId="410DC9D5" w:rsidR="007E1DB5" w:rsidRPr="00EC02CA" w:rsidRDefault="00E47814" w:rsidP="007E1DB5">
      <w:pPr>
        <w:pStyle w:val="ExecSummaryandAppendixHeading"/>
      </w:pPr>
      <w:bookmarkStart w:id="495" w:name="_Toc211849478"/>
      <w:bookmarkStart w:id="496" w:name="_Toc218157383"/>
      <w:r w:rsidRPr="00EC02CA">
        <w:t xml:space="preserve">Appendix </w:t>
      </w:r>
      <w:r w:rsidR="00DE38F8" w:rsidRPr="00EC02CA">
        <w:t>G</w:t>
      </w:r>
      <w:r w:rsidRPr="00EC02CA">
        <w:t xml:space="preserve">: Summary of principles from </w:t>
      </w:r>
      <w:r w:rsidRPr="00EC02CA">
        <w:rPr>
          <w:i/>
          <w:iCs/>
        </w:rPr>
        <w:t xml:space="preserve">Orange Tamariki Act </w:t>
      </w:r>
      <w:r w:rsidRPr="00EC02CA">
        <w:t xml:space="preserve">(NZ) </w:t>
      </w:r>
      <w:r w:rsidR="00B846C0" w:rsidRPr="00EC02CA">
        <w:t xml:space="preserve">from Commission of </w:t>
      </w:r>
      <w:r w:rsidR="00C0487D" w:rsidRPr="00EC02CA">
        <w:t>I</w:t>
      </w:r>
      <w:r w:rsidR="00B846C0" w:rsidRPr="00EC02CA">
        <w:t xml:space="preserve">nquiry </w:t>
      </w:r>
      <w:r w:rsidR="007E1DB5" w:rsidRPr="00EC02CA">
        <w:t>Volume</w:t>
      </w:r>
      <w:r w:rsidR="00B846C0" w:rsidRPr="00EC02CA">
        <w:t xml:space="preserve"> 5 Chapter 12 [5.2]</w:t>
      </w:r>
      <w:bookmarkEnd w:id="495"/>
      <w:bookmarkEnd w:id="496"/>
    </w:p>
    <w:p w14:paraId="76AD70DE" w14:textId="63272E1A" w:rsidR="007E1DB5" w:rsidRPr="00EC02CA" w:rsidRDefault="007E1DB5" w:rsidP="002F0007">
      <w:pPr>
        <w:pStyle w:val="NormalNumberedTextTLRI"/>
        <w:numPr>
          <w:ilvl w:val="0"/>
          <w:numId w:val="0"/>
        </w:numPr>
      </w:pPr>
      <w:r w:rsidRPr="00EC02CA">
        <w:t>For example, in New Zealand, the</w:t>
      </w:r>
      <w:r w:rsidR="006874F3" w:rsidRPr="00EC02CA">
        <w:t xml:space="preserve"> </w:t>
      </w:r>
      <w:r w:rsidRPr="00EC02CA">
        <w:rPr>
          <w:i/>
          <w:iCs/>
        </w:rPr>
        <w:t>Oranga Tamariki Act 1989</w:t>
      </w:r>
      <w:r w:rsidR="006874F3" w:rsidRPr="00EC02CA">
        <w:rPr>
          <w:i/>
          <w:iCs/>
        </w:rPr>
        <w:t xml:space="preserve"> </w:t>
      </w:r>
      <w:r w:rsidRPr="00EC02CA">
        <w:t>(NZ) (‘Oranga Tamariki Act’) includes general principles that apply to care and protection proceedings and youth justice proceedings.</w:t>
      </w:r>
      <w:r w:rsidR="00F90A77" w:rsidRPr="00EC02CA">
        <w:rPr>
          <w:rStyle w:val="FootnoteReference"/>
        </w:rPr>
        <w:footnoteReference w:id="951"/>
      </w:r>
      <w:r w:rsidR="006874F3" w:rsidRPr="00EC02CA">
        <w:t xml:space="preserve"> </w:t>
      </w:r>
      <w:r w:rsidRPr="00EC02CA">
        <w:t>These principles are closely aligned with international human rights instruments covering children and include the following:</w:t>
      </w:r>
      <w:r w:rsidRPr="00EC02CA">
        <w:rPr>
          <w:rStyle w:val="FootnoteReference"/>
        </w:rPr>
        <w:footnoteReference w:id="952"/>
      </w:r>
      <w:r w:rsidRPr="00EC02CA">
        <w:t xml:space="preserve"> </w:t>
      </w:r>
    </w:p>
    <w:p w14:paraId="76CFD920" w14:textId="77777777" w:rsidR="007E1DB5" w:rsidRPr="00EC02CA" w:rsidRDefault="007E1DB5" w:rsidP="007E1DB5">
      <w:pPr>
        <w:pStyle w:val="DotPointTLRI"/>
      </w:pPr>
      <w:r w:rsidRPr="00EC02CA">
        <w:t>The wellbeing of a child or young person must be at the centre of decision making that affects them.</w:t>
      </w:r>
    </w:p>
    <w:p w14:paraId="1EC990CC" w14:textId="77777777" w:rsidR="007E1DB5" w:rsidRPr="00EC02CA" w:rsidRDefault="007E1DB5" w:rsidP="007E1DB5">
      <w:pPr>
        <w:pStyle w:val="DotPointTLRI"/>
      </w:pPr>
      <w:r w:rsidRPr="00EC02CA">
        <w:t>The child or young person’s rights must be respected and upheld and the child or young person must be treated with dignity and respect at all times.</w:t>
      </w:r>
    </w:p>
    <w:p w14:paraId="35C49270" w14:textId="77777777" w:rsidR="007E1DB5" w:rsidRPr="00EC02CA" w:rsidRDefault="007E1DB5" w:rsidP="007E1DB5">
      <w:pPr>
        <w:pStyle w:val="DotPointTLRI"/>
      </w:pPr>
      <w:r w:rsidRPr="00EC02CA">
        <w:t>The child or young person’s need for a safe, stable and loving home should be addressed.</w:t>
      </w:r>
    </w:p>
    <w:p w14:paraId="5132B298" w14:textId="77777777" w:rsidR="007E1DB5" w:rsidRPr="00EC02CA" w:rsidRDefault="007E1DB5" w:rsidP="007E1DB5">
      <w:pPr>
        <w:pStyle w:val="DotPointTLRI"/>
      </w:pPr>
      <w:r w:rsidRPr="00EC02CA">
        <w:t>A child or young person must be encouraged and assisted, wherever practicable, to participate in and express their views about any proceeding, process or decision affecting them, and their views should be taken into account.</w:t>
      </w:r>
    </w:p>
    <w:p w14:paraId="20FA5E3E" w14:textId="77777777" w:rsidR="007E1DB5" w:rsidRPr="00EC02CA" w:rsidRDefault="007E1DB5" w:rsidP="007E1DB5">
      <w:pPr>
        <w:pStyle w:val="DotPointTLRI"/>
      </w:pPr>
      <w:r w:rsidRPr="00EC02CA">
        <w:t>A holistic approach should be taken that sees the child or young person as a whole person, including their developmental potential, educational and health needs, cultural identity, gender identity, sexual orientation, age and any disability.</w:t>
      </w:r>
    </w:p>
    <w:p w14:paraId="3FFE2F04" w14:textId="77777777" w:rsidR="007E1DB5" w:rsidRPr="00EC02CA" w:rsidRDefault="007E1DB5" w:rsidP="007E1DB5">
      <w:pPr>
        <w:pStyle w:val="DotPointTLRI"/>
      </w:pPr>
      <w:r w:rsidRPr="00EC02CA">
        <w:t>The primary responsibility for caring for and nurturing the wellbeing and development of the child or young person lies with their family and cultural group and, wherever possible, those relationships should be strengthened and maintained.</w:t>
      </w:r>
    </w:p>
    <w:p w14:paraId="155E72AA" w14:textId="09C9ABA0" w:rsidR="007E1DB5" w:rsidRPr="00EC02CA" w:rsidRDefault="007E1DB5" w:rsidP="007E1DB5">
      <w:pPr>
        <w:pStyle w:val="DotPointTLRI"/>
      </w:pPr>
      <w:r w:rsidRPr="00EC02CA">
        <w:t>The child or young person’s place within their community should be recognised and the impact of a decision on the stability of a child or young person (including the stability of their education and of their connections to community) should be considered.</w:t>
      </w:r>
      <w:r w:rsidRPr="00EC02CA">
        <w:rPr>
          <w:rStyle w:val="FootnoteReference"/>
        </w:rPr>
        <w:footnoteReference w:id="953"/>
      </w:r>
      <w:r w:rsidRPr="00EC02CA">
        <w:t xml:space="preserve"> </w:t>
      </w:r>
    </w:p>
    <w:p w14:paraId="63619ECD" w14:textId="291A4E6F" w:rsidR="007E1DB5" w:rsidRPr="00EC02CA" w:rsidRDefault="007E1DB5" w:rsidP="002F0007">
      <w:pPr>
        <w:pStyle w:val="NormalNumberedTextTLRI"/>
        <w:numPr>
          <w:ilvl w:val="0"/>
          <w:numId w:val="0"/>
        </w:numPr>
      </w:pPr>
      <w:r w:rsidRPr="00EC02CA">
        <w:t xml:space="preserve">The </w:t>
      </w:r>
      <w:r w:rsidRPr="00EC02CA">
        <w:rPr>
          <w:i/>
          <w:iCs/>
        </w:rPr>
        <w:t>Oranga Tamariki Act </w:t>
      </w:r>
      <w:r w:rsidRPr="00EC02CA">
        <w:t>also lists additional principles to be applied in exercising youth justice powers.</w:t>
      </w:r>
      <w:r w:rsidR="006F06BE" w:rsidRPr="00EC02CA">
        <w:rPr>
          <w:rStyle w:val="FootnoteReference"/>
        </w:rPr>
        <w:footnoteReference w:id="954"/>
      </w:r>
      <w:r w:rsidR="006F06BE" w:rsidRPr="00EC02CA">
        <w:t xml:space="preserve"> </w:t>
      </w:r>
      <w:r w:rsidRPr="00EC02CA">
        <w:t>These include:</w:t>
      </w:r>
    </w:p>
    <w:p w14:paraId="3315FD68" w14:textId="77777777" w:rsidR="007E1DB5" w:rsidRPr="00EC02CA" w:rsidRDefault="007E1DB5" w:rsidP="007E1DB5">
      <w:pPr>
        <w:pStyle w:val="DotPointTLRI"/>
      </w:pPr>
      <w:r w:rsidRPr="00EC02CA">
        <w:t>Unless the public interest requires otherwise, criminal proceedings should not be instituted against a child or young person if there is an alternative means of dealing with the matter.</w:t>
      </w:r>
    </w:p>
    <w:p w14:paraId="6DA75DF0" w14:textId="77777777" w:rsidR="007E1DB5" w:rsidRPr="00EC02CA" w:rsidRDefault="007E1DB5" w:rsidP="007E1DB5">
      <w:pPr>
        <w:pStyle w:val="DotPointTLRI"/>
      </w:pPr>
      <w:r w:rsidRPr="00EC02CA">
        <w:t>A child or young person who commits an offence or is alleged to have committed an offence should be kept in the community so far as that is practicable and consonant with the need to ensure the safety of the public.</w:t>
      </w:r>
    </w:p>
    <w:p w14:paraId="48CBB440" w14:textId="77777777" w:rsidR="007E1DB5" w:rsidRPr="00EC02CA" w:rsidRDefault="007E1DB5" w:rsidP="007E1DB5">
      <w:pPr>
        <w:pStyle w:val="DotPointTLRI"/>
      </w:pPr>
      <w:r w:rsidRPr="00EC02CA">
        <w:t>A child or young person’s age is a mitigating factor in determining whether to impose sanctions in respect of offending by a child or young person and the nature of any such sanctions.</w:t>
      </w:r>
    </w:p>
    <w:p w14:paraId="49CEE307" w14:textId="77777777" w:rsidR="007E1DB5" w:rsidRPr="00EC02CA" w:rsidRDefault="007E1DB5" w:rsidP="007E1DB5">
      <w:pPr>
        <w:pStyle w:val="DotPointTLRI"/>
      </w:pPr>
      <w:r w:rsidRPr="00EC02CA">
        <w:t>Any sanctions imposed on a child or young person who commits an offence should take the least restrictive form that is appropriate in the circumstances and take the form that is most likely to promote their development within their family and cultural group.</w:t>
      </w:r>
    </w:p>
    <w:p w14:paraId="20E84CFA" w14:textId="660B3151" w:rsidR="007E1DB5" w:rsidRPr="00EC02CA" w:rsidRDefault="007E1DB5" w:rsidP="007E1DB5">
      <w:pPr>
        <w:pStyle w:val="DotPointTLRI"/>
      </w:pPr>
      <w:r w:rsidRPr="00EC02CA">
        <w:t>Any measures for dealing with offending by a child or young person should, as far as practicable, address the causes underlying their offending.</w:t>
      </w:r>
      <w:r w:rsidR="007172CF" w:rsidRPr="00EC02CA">
        <w:rPr>
          <w:rStyle w:val="FootnoteReference"/>
        </w:rPr>
        <w:footnoteReference w:id="955"/>
      </w:r>
      <w:r w:rsidR="007172CF" w:rsidRPr="00EC02CA">
        <w:t xml:space="preserve"> </w:t>
      </w:r>
    </w:p>
    <w:p w14:paraId="0ADDC699" w14:textId="065436C8" w:rsidR="007E1DB5" w:rsidRPr="00EC02CA" w:rsidRDefault="007E1DB5" w:rsidP="002F0007">
      <w:pPr>
        <w:pStyle w:val="NormalNumberedTextTLRI"/>
        <w:numPr>
          <w:ilvl w:val="0"/>
          <w:numId w:val="0"/>
        </w:numPr>
      </w:pPr>
      <w:r w:rsidRPr="00EC02CA">
        <w:rPr>
          <w:rStyle w:val="NormalNumberedTextTLRIChar"/>
        </w:rPr>
        <w:t xml:space="preserve">In addition, the </w:t>
      </w:r>
      <w:r w:rsidRPr="00EC02CA">
        <w:rPr>
          <w:rStyle w:val="NormalNumberedTextTLRIChar"/>
          <w:i/>
          <w:iCs/>
        </w:rPr>
        <w:t>Oranga Tamariki Act</w:t>
      </w:r>
      <w:r w:rsidR="0029763C" w:rsidRPr="00EC02CA">
        <w:rPr>
          <w:rStyle w:val="NormalNumberedTextTLRIChar"/>
        </w:rPr>
        <w:t xml:space="preserve"> </w:t>
      </w:r>
      <w:r w:rsidRPr="00EC02CA">
        <w:rPr>
          <w:rStyle w:val="NormalNumberedTextTLRIChar"/>
        </w:rPr>
        <w:t>requires a court or person</w:t>
      </w:r>
      <w:r w:rsidRPr="00EC02CA">
        <w:t xml:space="preserve"> exercising powers in relation to youth justice to weigh four ‘primary considerations’</w:t>
      </w:r>
      <w:r w:rsidR="00CE1A08" w:rsidRPr="00EC02CA">
        <w:t xml:space="preserve"> – </w:t>
      </w:r>
      <w:r w:rsidRPr="00EC02CA">
        <w:t>these are the wellbeing and best interests of the child or young person, the public interest, the interests of any victim, and the accountability of the child or young person for their behaviour</w:t>
      </w:r>
      <w:r w:rsidR="00B3121D" w:rsidRPr="00EC02CA">
        <w:t>.</w:t>
      </w:r>
      <w:r w:rsidR="00B3121D" w:rsidRPr="00EC02CA">
        <w:rPr>
          <w:rStyle w:val="FootnoteReference"/>
        </w:rPr>
        <w:footnoteReference w:id="956"/>
      </w:r>
    </w:p>
    <w:p w14:paraId="722CC7FE" w14:textId="67C63DD7" w:rsidR="00A41A42" w:rsidRPr="00EC02CA" w:rsidRDefault="00A41A42" w:rsidP="007E1DB5">
      <w:pPr>
        <w:pStyle w:val="ExecSummaryandAppendixHeading"/>
        <w:sectPr w:rsidR="00A41A42" w:rsidRPr="00EC02CA" w:rsidSect="0037247A">
          <w:headerReference w:type="default" r:id="rId59"/>
          <w:pgSz w:w="11906" w:h="16838"/>
          <w:pgMar w:top="1440" w:right="1440" w:bottom="1440" w:left="1440" w:header="708" w:footer="708" w:gutter="0"/>
          <w:cols w:space="708"/>
          <w:docGrid w:linePitch="360"/>
        </w:sectPr>
      </w:pPr>
    </w:p>
    <w:p w14:paraId="76838F5C" w14:textId="57B7990D" w:rsidR="00B61209" w:rsidRPr="00EC02CA" w:rsidRDefault="00B61209" w:rsidP="00A920EC">
      <w:pPr>
        <w:pStyle w:val="ExecSummaryandAppendixHeading"/>
        <w:spacing w:after="240"/>
      </w:pPr>
      <w:bookmarkStart w:id="497" w:name="_Toc211849479"/>
      <w:bookmarkStart w:id="498" w:name="_Toc218157384"/>
      <w:r w:rsidRPr="00EC02CA">
        <w:t xml:space="preserve">Appendix </w:t>
      </w:r>
      <w:r w:rsidR="00DE38F8" w:rsidRPr="00EC02CA">
        <w:t>H</w:t>
      </w:r>
      <w:r w:rsidRPr="00EC02CA">
        <w:t>:</w:t>
      </w:r>
      <w:r w:rsidR="007E4B94" w:rsidRPr="00EC02CA">
        <w:t xml:space="preserve"> Tasmanian</w:t>
      </w:r>
      <w:r w:rsidRPr="00EC02CA">
        <w:t xml:space="preserve"> </w:t>
      </w:r>
      <w:r w:rsidR="00FD4491" w:rsidRPr="00EC02CA">
        <w:t>r</w:t>
      </w:r>
      <w:r w:rsidR="007E4B94" w:rsidRPr="00EC02CA">
        <w:t>eporting requirements for child sexual abuse</w:t>
      </w:r>
      <w:bookmarkEnd w:id="497"/>
      <w:bookmarkEnd w:id="498"/>
    </w:p>
    <w:p w14:paraId="0C7FE569" w14:textId="77777777" w:rsidR="00B61209" w:rsidRPr="00EC02CA" w:rsidRDefault="00B61209" w:rsidP="00A920EC">
      <w:pPr>
        <w:rPr>
          <w:sz w:val="28"/>
          <w:szCs w:val="28"/>
        </w:rPr>
      </w:pPr>
      <w:bookmarkStart w:id="499" w:name="_Toc211849480"/>
      <w:r w:rsidRPr="00EC02CA">
        <w:rPr>
          <w:b/>
          <w:bCs/>
          <w:sz w:val="28"/>
          <w:szCs w:val="28"/>
        </w:rPr>
        <w:t xml:space="preserve">Reporting to Tasmania Police under the </w:t>
      </w:r>
      <w:r w:rsidRPr="00EC02CA">
        <w:rPr>
          <w:b/>
          <w:bCs/>
          <w:i/>
          <w:sz w:val="28"/>
          <w:szCs w:val="28"/>
        </w:rPr>
        <w:t xml:space="preserve">Criminal Code </w:t>
      </w:r>
      <w:r w:rsidRPr="00EC02CA">
        <w:rPr>
          <w:b/>
          <w:bCs/>
          <w:sz w:val="28"/>
          <w:szCs w:val="28"/>
        </w:rPr>
        <w:t>(Tas) s 105A</w:t>
      </w:r>
      <w:bookmarkEnd w:id="499"/>
    </w:p>
    <w:p w14:paraId="2190B694" w14:textId="45BA595E" w:rsidR="00B61209" w:rsidRPr="00EC02CA" w:rsidRDefault="00B61209" w:rsidP="00A920EC">
      <w:r w:rsidRPr="00EC02CA">
        <w:t xml:space="preserve">The </w:t>
      </w:r>
      <w:r w:rsidRPr="00EC02CA">
        <w:rPr>
          <w:i/>
          <w:iCs/>
        </w:rPr>
        <w:t xml:space="preserve">Criminal Code </w:t>
      </w:r>
      <w:r w:rsidRPr="00EC02CA">
        <w:t xml:space="preserve">(Tas) s 105A creates an indictable offence of failing to report the abuse of a child. It is a broad provision that applies to the failure to report many of the sexual offences under the </w:t>
      </w:r>
      <w:r w:rsidRPr="00EC02CA">
        <w:rPr>
          <w:i/>
          <w:iCs/>
        </w:rPr>
        <w:t xml:space="preserve">Criminal Code </w:t>
      </w:r>
      <w:r w:rsidRPr="00EC02CA">
        <w:t>(Tas) (as shown in Table</w:t>
      </w:r>
      <w:r w:rsidR="0029763C" w:rsidRPr="00EC02CA">
        <w:t>s B.1 and B.2</w:t>
      </w:r>
      <w:r w:rsidRPr="00EC02CA">
        <w:t>). Written authority of the Director of Public Prosecutions is need</w:t>
      </w:r>
      <w:r w:rsidR="002D5857" w:rsidRPr="00EC02CA">
        <w:t>ed</w:t>
      </w:r>
      <w:r w:rsidRPr="00EC02CA">
        <w:t xml:space="preserve"> for a prosecution to be commenced under this section.</w:t>
      </w:r>
      <w:r w:rsidRPr="00EC02CA">
        <w:rPr>
          <w:rStyle w:val="FootnoteReference"/>
        </w:rPr>
        <w:footnoteReference w:id="957"/>
      </w:r>
      <w:r w:rsidRPr="00EC02CA">
        <w:t xml:space="preserve"> Under the </w:t>
      </w:r>
      <w:r w:rsidRPr="00EC02CA">
        <w:rPr>
          <w:i/>
          <w:iCs/>
        </w:rPr>
        <w:t xml:space="preserve">Criminal Code </w:t>
      </w:r>
      <w:r w:rsidRPr="00EC02CA">
        <w:t>(Tas)</w:t>
      </w:r>
      <w:r w:rsidR="00610AED" w:rsidRPr="00EC02CA">
        <w:t xml:space="preserve"> </w:t>
      </w:r>
      <w:r w:rsidRPr="00EC02CA">
        <w:t>s 105A, it is a crime if a person:</w:t>
      </w:r>
    </w:p>
    <w:p w14:paraId="47B8FF8A" w14:textId="77777777" w:rsidR="00B61209" w:rsidRPr="00EC02CA" w:rsidRDefault="00B61209" w:rsidP="00B61209">
      <w:pPr>
        <w:pStyle w:val="DotPointTLRI"/>
      </w:pPr>
      <w:r w:rsidRPr="00EC02CA">
        <w:t>has information that leads the person to form a reasonable belief that an abuse offence has been committed against another person who was a child at the time of the alleged offence; and</w:t>
      </w:r>
    </w:p>
    <w:p w14:paraId="1F303EAE" w14:textId="19034BBC" w:rsidR="00B61209" w:rsidRPr="00EC02CA" w:rsidRDefault="00B61209" w:rsidP="00B61209">
      <w:pPr>
        <w:pStyle w:val="DotPointTLRI"/>
      </w:pPr>
      <w:r w:rsidRPr="00EC02CA">
        <w:t>fails</w:t>
      </w:r>
      <w:r w:rsidR="003E307C" w:rsidRPr="00EC02CA">
        <w:t>,</w:t>
      </w:r>
      <w:r w:rsidRPr="00EC02CA">
        <w:t xml:space="preserve"> without reasonable excuse</w:t>
      </w:r>
      <w:r w:rsidR="003E307C" w:rsidRPr="00EC02CA">
        <w:t>,</w:t>
      </w:r>
      <w:r w:rsidRPr="00EC02CA">
        <w:t xml:space="preserve"> to disclose that information to a police office</w:t>
      </w:r>
      <w:r w:rsidR="002D5857" w:rsidRPr="00EC02CA">
        <w:t>r</w:t>
      </w:r>
      <w:r w:rsidRPr="00EC02CA">
        <w:t xml:space="preserve"> as soon as practicable.</w:t>
      </w:r>
    </w:p>
    <w:p w14:paraId="18E1621E" w14:textId="13139425" w:rsidR="00B61209" w:rsidRPr="00EC02CA" w:rsidRDefault="00B61209" w:rsidP="00A920EC">
      <w:r w:rsidRPr="00EC02CA">
        <w:t>It is a defence if the person was a child at the time they obtained the information,</w:t>
      </w:r>
      <w:r w:rsidRPr="00EC02CA">
        <w:rPr>
          <w:rStyle w:val="FootnoteReference"/>
        </w:rPr>
        <w:footnoteReference w:id="958"/>
      </w:r>
      <w:r w:rsidRPr="00EC02CA">
        <w:t xml:space="preserve"> or the alleged victim of the offence had attained the age of 18 years at the time the information was obtained</w:t>
      </w:r>
      <w:r w:rsidR="000E4C9B" w:rsidRPr="00EC02CA">
        <w:t>,</w:t>
      </w:r>
      <w:r w:rsidRPr="00EC02CA">
        <w:t xml:space="preserve"> and the person believes on reasonable grounds that the alleged </w:t>
      </w:r>
      <w:r w:rsidR="00F75DCA" w:rsidRPr="00EC02CA">
        <w:t xml:space="preserve">victim </w:t>
      </w:r>
      <w:r w:rsidRPr="00EC02CA">
        <w:t>does not wish the information to be reported to a police officer.</w:t>
      </w:r>
      <w:r w:rsidRPr="00EC02CA">
        <w:rPr>
          <w:rStyle w:val="FootnoteReference"/>
        </w:rPr>
        <w:footnoteReference w:id="959"/>
      </w:r>
      <w:r w:rsidRPr="00EC02CA">
        <w:t xml:space="preserve"> Further, matters that may amount to a ‘reasonable excuse’ are set out as (but not limited to):</w:t>
      </w:r>
      <w:r w:rsidRPr="00EC02CA">
        <w:rPr>
          <w:rStyle w:val="FootnoteReference"/>
        </w:rPr>
        <w:footnoteReference w:id="960"/>
      </w:r>
    </w:p>
    <w:p w14:paraId="197DE8A0" w14:textId="2E7D23F2" w:rsidR="00B61209" w:rsidRPr="00EC02CA" w:rsidRDefault="0029763C" w:rsidP="00B61209">
      <w:pPr>
        <w:pStyle w:val="DotPointTLRI"/>
      </w:pPr>
      <w:r w:rsidRPr="00EC02CA">
        <w:t>a</w:t>
      </w:r>
      <w:r w:rsidR="00B61209" w:rsidRPr="00EC02CA">
        <w:t xml:space="preserve"> fear on reasonable grounds that disclosing the information would endanger the safety of any person (other than the person reasonably believed to have committed or been involved in the child abuse offence)</w:t>
      </w:r>
      <w:r w:rsidRPr="00EC02CA">
        <w:t>;</w:t>
      </w:r>
    </w:p>
    <w:p w14:paraId="0E51FFCB" w14:textId="11D8BAAE" w:rsidR="00B61209" w:rsidRPr="00EC02CA" w:rsidRDefault="0029763C" w:rsidP="00B61209">
      <w:pPr>
        <w:pStyle w:val="DotPointTLRI"/>
      </w:pPr>
      <w:r w:rsidRPr="00EC02CA">
        <w:t>r</w:t>
      </w:r>
      <w:r w:rsidR="00B61209" w:rsidRPr="00EC02CA">
        <w:t>eporting the information would disclosure information in respect of which there is a lawful claim or right of privilege. This does not apply to a member of the clergy of any church or religious denomination</w:t>
      </w:r>
      <w:r w:rsidRPr="00EC02CA">
        <w:t>;</w:t>
      </w:r>
    </w:p>
    <w:p w14:paraId="7ACED507" w14:textId="076D2376" w:rsidR="00B61209" w:rsidRPr="00EC02CA" w:rsidRDefault="0029763C" w:rsidP="00B61209">
      <w:pPr>
        <w:pStyle w:val="DotPointTLRI"/>
      </w:pPr>
      <w:r w:rsidRPr="00EC02CA">
        <w:t>a</w:t>
      </w:r>
      <w:r w:rsidR="00B61209" w:rsidRPr="00EC02CA">
        <w:t xml:space="preserve"> belief on reasonable grounds that another person has already reported the information to a proper authority or a proper authority already has the information. A property authority means a police officer, a correctional officer, a probation officer or a Crown Law Officer</w:t>
      </w:r>
      <w:r w:rsidRPr="00EC02CA">
        <w:t>;</w:t>
      </w:r>
      <w:r w:rsidR="00B61209" w:rsidRPr="00EC02CA">
        <w:rPr>
          <w:rStyle w:val="FootnoteReference"/>
        </w:rPr>
        <w:footnoteReference w:id="961"/>
      </w:r>
      <w:r w:rsidRPr="00EC02CA">
        <w:t xml:space="preserve"> and</w:t>
      </w:r>
    </w:p>
    <w:p w14:paraId="6BCF55EA" w14:textId="00F624D0" w:rsidR="00B61209" w:rsidRPr="00EC02CA" w:rsidRDefault="0029763C" w:rsidP="00B61209">
      <w:pPr>
        <w:pStyle w:val="DotPointTLRI"/>
      </w:pPr>
      <w:r w:rsidRPr="00EC02CA">
        <w:t>t</w:t>
      </w:r>
      <w:r w:rsidR="00B61209" w:rsidRPr="00EC02CA">
        <w:t>he information is generally available to the public.</w:t>
      </w:r>
    </w:p>
    <w:p w14:paraId="0C1FF343" w14:textId="13999A79" w:rsidR="00B61209" w:rsidRPr="00EC02CA" w:rsidRDefault="00B61209" w:rsidP="00A920EC">
      <w:pPr>
        <w:spacing w:before="240" w:after="240"/>
        <w:rPr>
          <w:sz w:val="28"/>
          <w:szCs w:val="28"/>
        </w:rPr>
      </w:pPr>
      <w:bookmarkStart w:id="500" w:name="_Toc211849481"/>
      <w:r w:rsidRPr="00EC02CA">
        <w:rPr>
          <w:b/>
          <w:bCs/>
          <w:sz w:val="28"/>
          <w:szCs w:val="28"/>
        </w:rPr>
        <w:t xml:space="preserve">Reporting to the Strong Families, </w:t>
      </w:r>
      <w:r w:rsidR="00E83B8C" w:rsidRPr="00EC02CA">
        <w:rPr>
          <w:b/>
          <w:bCs/>
          <w:sz w:val="28"/>
          <w:szCs w:val="28"/>
        </w:rPr>
        <w:t>S</w:t>
      </w:r>
      <w:r w:rsidRPr="00EC02CA">
        <w:rPr>
          <w:b/>
          <w:bCs/>
          <w:sz w:val="28"/>
          <w:szCs w:val="28"/>
        </w:rPr>
        <w:t xml:space="preserve">afe Kids Advice and Referral Line under </w:t>
      </w:r>
      <w:r w:rsidRPr="00EC02CA">
        <w:rPr>
          <w:b/>
          <w:bCs/>
          <w:i/>
          <w:iCs/>
          <w:sz w:val="28"/>
          <w:szCs w:val="28"/>
        </w:rPr>
        <w:t xml:space="preserve">Children, Young Persons and Their Families Act 1997 </w:t>
      </w:r>
      <w:r w:rsidRPr="00EC02CA">
        <w:rPr>
          <w:b/>
          <w:bCs/>
          <w:sz w:val="28"/>
          <w:szCs w:val="28"/>
        </w:rPr>
        <w:t>(Tas)</w:t>
      </w:r>
      <w:bookmarkEnd w:id="500"/>
    </w:p>
    <w:p w14:paraId="40C4118E" w14:textId="2328F192" w:rsidR="00B61209" w:rsidRPr="00EC02CA" w:rsidRDefault="00B61209" w:rsidP="00A920EC">
      <w:r w:rsidRPr="00EC02CA">
        <w:t xml:space="preserve">In addition to the potential for criminal responsibility under the </w:t>
      </w:r>
      <w:r w:rsidRPr="00EC02CA">
        <w:rPr>
          <w:i/>
          <w:iCs/>
        </w:rPr>
        <w:t xml:space="preserve">Criminal Code </w:t>
      </w:r>
      <w:r w:rsidRPr="00EC02CA">
        <w:t xml:space="preserve">(Tas) for failure to report child sexual abuse, there are also mandatory reporting obligations for certain people as ‘mandatory reporters’ under the </w:t>
      </w:r>
      <w:r w:rsidRPr="00EC02CA">
        <w:rPr>
          <w:i/>
          <w:iCs/>
        </w:rPr>
        <w:t xml:space="preserve">Children, Young Persons and Their Families Act 1997 </w:t>
      </w:r>
      <w:r w:rsidRPr="00EC02CA">
        <w:t>(Tas)</w:t>
      </w:r>
      <w:r w:rsidR="000E4C9B" w:rsidRPr="00EC02CA">
        <w:t>. These reporting obligations arise</w:t>
      </w:r>
      <w:r w:rsidRPr="00EC02CA">
        <w:t xml:space="preserve"> if a prescribed person knows, believes or suspects on reasonable grounds that a child is suffering, has suffered or is likely to suffer abuse.</w:t>
      </w:r>
      <w:r w:rsidRPr="00EC02CA">
        <w:rPr>
          <w:rStyle w:val="FootnoteReference"/>
        </w:rPr>
        <w:footnoteReference w:id="962"/>
      </w:r>
      <w:r w:rsidRPr="00EC02CA">
        <w:t xml:space="preserve"> This includes sexual abuse.</w:t>
      </w:r>
      <w:r w:rsidRPr="00EC02CA">
        <w:rPr>
          <w:rStyle w:val="FootnoteReference"/>
        </w:rPr>
        <w:footnoteReference w:id="963"/>
      </w:r>
      <w:r w:rsidRPr="00EC02CA">
        <w:t xml:space="preserve"> The reporting obligations apply to medical practitioners, nurses, midwives, dentists and dental therapists/hygienists, psychologists, police officers, probation officers, school principals or teachers, childcare providers, people involved in the management of a childcare centre or education provider, </w:t>
      </w:r>
      <w:r w:rsidR="000E4C9B" w:rsidRPr="00EC02CA">
        <w:t xml:space="preserve">and </w:t>
      </w:r>
      <w:r w:rsidRPr="00EC02CA">
        <w:t>any person who volunteers or works for an organisation that receives government funding and provides health, welfare, education, childcare or residential services to young people.</w:t>
      </w:r>
      <w:r w:rsidRPr="00EC02CA">
        <w:rPr>
          <w:rStyle w:val="FootnoteReference"/>
        </w:rPr>
        <w:footnoteReference w:id="964"/>
      </w:r>
      <w:r w:rsidRPr="00EC02CA">
        <w:t xml:space="preserve"> There are penalties under the legislation if </w:t>
      </w:r>
      <w:r w:rsidR="000E4C9B" w:rsidRPr="00EC02CA">
        <w:t xml:space="preserve">the </w:t>
      </w:r>
      <w:r w:rsidRPr="00EC02CA">
        <w:t>mandatory reporter fails to make a report.</w:t>
      </w:r>
      <w:r w:rsidRPr="00EC02CA">
        <w:rPr>
          <w:rStyle w:val="FootnoteReference"/>
        </w:rPr>
        <w:footnoteReference w:id="965"/>
      </w:r>
      <w:r w:rsidRPr="00EC02CA">
        <w:t xml:space="preserve"> In addition, reports in relation to concerns around child safety can be made by other people (non-mandatory reporters).</w:t>
      </w:r>
    </w:p>
    <w:p w14:paraId="471A924A" w14:textId="220E312C" w:rsidR="000D1EA1" w:rsidRPr="00EC02CA" w:rsidRDefault="00B61209" w:rsidP="00A920EC">
      <w:r w:rsidRPr="00EC02CA">
        <w:t xml:space="preserve">Reports are made to the Child Safety </w:t>
      </w:r>
      <w:r w:rsidR="000E4C9B" w:rsidRPr="00EC02CA">
        <w:t xml:space="preserve">Service (CSS) </w:t>
      </w:r>
      <w:r w:rsidRPr="00EC02CA">
        <w:t>through the Strong Families</w:t>
      </w:r>
      <w:r w:rsidR="002C6AC9" w:rsidRPr="00EC02CA">
        <w:t>,</w:t>
      </w:r>
      <w:r w:rsidRPr="00EC02CA">
        <w:t xml:space="preserve"> Safe Kids Advi</w:t>
      </w:r>
      <w:r w:rsidR="002C6AC9" w:rsidRPr="00EC02CA">
        <w:t>c</w:t>
      </w:r>
      <w:r w:rsidRPr="00EC02CA">
        <w:t>e and Referral line</w:t>
      </w:r>
      <w:r w:rsidR="000E4C9B" w:rsidRPr="00EC02CA">
        <w:t xml:space="preserve"> (ARL).</w:t>
      </w:r>
      <w:r w:rsidRPr="00EC02CA">
        <w:t xml:space="preserve"> Figure </w:t>
      </w:r>
      <w:r w:rsidR="00DE38F8" w:rsidRPr="00EC02CA">
        <w:t>H</w:t>
      </w:r>
      <w:r w:rsidRPr="00EC02CA">
        <w:t>.</w:t>
      </w:r>
      <w:r w:rsidR="00DE38F8" w:rsidRPr="00EC02CA">
        <w:t xml:space="preserve">1 </w:t>
      </w:r>
      <w:r w:rsidR="00240EE8" w:rsidRPr="00EC02CA">
        <w:t>and</w:t>
      </w:r>
      <w:r w:rsidR="00873851" w:rsidRPr="00EC02CA">
        <w:t xml:space="preserve"> Tables </w:t>
      </w:r>
      <w:r w:rsidR="00DE38F8" w:rsidRPr="00EC02CA">
        <w:t>H</w:t>
      </w:r>
      <w:r w:rsidR="00873851" w:rsidRPr="00EC02CA">
        <w:t>.</w:t>
      </w:r>
      <w:r w:rsidR="00120BD7" w:rsidRPr="00EC02CA">
        <w:t>1</w:t>
      </w:r>
      <w:r w:rsidR="00240EE8" w:rsidRPr="00EC02CA">
        <w:t xml:space="preserve"> </w:t>
      </w:r>
      <w:r w:rsidR="00120BD7" w:rsidRPr="00EC02CA">
        <w:t>to</w:t>
      </w:r>
      <w:r w:rsidR="00873851" w:rsidRPr="00EC02CA">
        <w:t xml:space="preserve"> </w:t>
      </w:r>
      <w:r w:rsidR="00120BD7" w:rsidRPr="00EC02CA">
        <w:t>H</w:t>
      </w:r>
      <w:r w:rsidR="00873851" w:rsidRPr="00EC02CA">
        <w:t>.</w:t>
      </w:r>
      <w:r w:rsidR="00120BD7" w:rsidRPr="00EC02CA">
        <w:t>3</w:t>
      </w:r>
      <w:r w:rsidR="00873851" w:rsidRPr="00EC02CA">
        <w:t xml:space="preserve"> </w:t>
      </w:r>
      <w:r w:rsidR="00240EE8" w:rsidRPr="00EC02CA">
        <w:t xml:space="preserve">set out details about </w:t>
      </w:r>
      <w:r w:rsidR="000E4C9B" w:rsidRPr="00EC02CA">
        <w:t xml:space="preserve">these </w:t>
      </w:r>
      <w:r w:rsidR="00240EE8" w:rsidRPr="00EC02CA">
        <w:t>reports.</w:t>
      </w:r>
    </w:p>
    <w:p w14:paraId="58D5618A" w14:textId="77071279" w:rsidR="000D1EA1" w:rsidRPr="00EC02CA" w:rsidRDefault="00D06F7B" w:rsidP="00A920EC">
      <w:r w:rsidRPr="00EC02CA">
        <w:t>These reports can</w:t>
      </w:r>
      <w:r w:rsidR="00F8078D" w:rsidRPr="00EC02CA">
        <w:t xml:space="preserve"> be recorded as </w:t>
      </w:r>
      <w:r w:rsidR="000E4C9B" w:rsidRPr="00EC02CA">
        <w:t>‘</w:t>
      </w:r>
      <w:r w:rsidR="00F8078D" w:rsidRPr="00EC02CA">
        <w:t>conversation</w:t>
      </w:r>
      <w:r w:rsidR="000E4C9B" w:rsidRPr="00EC02CA">
        <w:t>’</w:t>
      </w:r>
      <w:r w:rsidR="00F8078D" w:rsidRPr="00EC02CA">
        <w:t xml:space="preserve"> or </w:t>
      </w:r>
      <w:r w:rsidR="000E4C9B" w:rsidRPr="00EC02CA">
        <w:t>‘</w:t>
      </w:r>
      <w:r w:rsidR="00F8078D" w:rsidRPr="00EC02CA">
        <w:t>incidents</w:t>
      </w:r>
      <w:r w:rsidR="000E4C9B" w:rsidRPr="00EC02CA">
        <w:t>’</w:t>
      </w:r>
      <w:r w:rsidR="00F8078D" w:rsidRPr="00EC02CA">
        <w:t xml:space="preserve">. </w:t>
      </w:r>
      <w:r w:rsidR="000D1EA1" w:rsidRPr="00EC02CA">
        <w:t>An</w:t>
      </w:r>
      <w:r w:rsidR="002C6AC9" w:rsidRPr="00EC02CA">
        <w:t xml:space="preserve"> </w:t>
      </w:r>
      <w:r w:rsidR="000D1EA1" w:rsidRPr="00EC02CA">
        <w:rPr>
          <w:i/>
          <w:iCs/>
        </w:rPr>
        <w:t>incident</w:t>
      </w:r>
      <w:r w:rsidR="002C6AC9" w:rsidRPr="00EC02CA">
        <w:t xml:space="preserve"> </w:t>
      </w:r>
      <w:r w:rsidR="000D1EA1" w:rsidRPr="00EC02CA">
        <w:t>is recorded for a child where information received following contact with the ARL or CSS indicates the child may be at risk of abuse or neglect</w:t>
      </w:r>
      <w:r w:rsidR="000E4C9B" w:rsidRPr="00EC02CA">
        <w:t>,</w:t>
      </w:r>
      <w:r w:rsidR="000D1EA1" w:rsidRPr="00EC02CA">
        <w:t xml:space="preserve"> and where safety planning may be required.</w:t>
      </w:r>
    </w:p>
    <w:p w14:paraId="6028EDDF" w14:textId="5915FEE4" w:rsidR="00554106" w:rsidRPr="00EC02CA" w:rsidRDefault="00554106" w:rsidP="00A920EC">
      <w:r w:rsidRPr="00EC02CA">
        <w:t>A</w:t>
      </w:r>
      <w:r w:rsidR="002C6AC9" w:rsidRPr="00EC02CA">
        <w:t xml:space="preserve"> </w:t>
      </w:r>
      <w:r w:rsidRPr="00EC02CA">
        <w:rPr>
          <w:i/>
          <w:iCs/>
        </w:rPr>
        <w:t>conversation</w:t>
      </w:r>
      <w:r w:rsidR="002C6AC9" w:rsidRPr="00EC02CA">
        <w:t xml:space="preserve"> </w:t>
      </w:r>
      <w:r w:rsidRPr="00EC02CA">
        <w:t>is transferred to an</w:t>
      </w:r>
      <w:r w:rsidR="002C6AC9" w:rsidRPr="00EC02CA">
        <w:t xml:space="preserve"> </w:t>
      </w:r>
      <w:r w:rsidRPr="00EC02CA">
        <w:rPr>
          <w:i/>
          <w:iCs/>
        </w:rPr>
        <w:t>incident</w:t>
      </w:r>
      <w:r w:rsidR="002C6AC9" w:rsidRPr="00EC02CA">
        <w:t xml:space="preserve"> </w:t>
      </w:r>
      <w:r w:rsidRPr="00EC02CA">
        <w:t>when it is assessed</w:t>
      </w:r>
      <w:r w:rsidR="000E4C9B" w:rsidRPr="00EC02CA">
        <w:t>:</w:t>
      </w:r>
      <w:r w:rsidRPr="00EC02CA">
        <w:t xml:space="preserve"> that a child may be at risk of abuse or neglect</w:t>
      </w:r>
      <w:r w:rsidR="000E4C9B" w:rsidRPr="00EC02CA">
        <w:t>;</w:t>
      </w:r>
      <w:r w:rsidRPr="00EC02CA">
        <w:t xml:space="preserve"> that the family requires targeted support to address safety concerns</w:t>
      </w:r>
      <w:r w:rsidR="000E4C9B" w:rsidRPr="00EC02CA">
        <w:t>;</w:t>
      </w:r>
      <w:r w:rsidRPr="00EC02CA">
        <w:t xml:space="preserve"> that the child requires protection from harm</w:t>
      </w:r>
      <w:r w:rsidR="000E4C9B" w:rsidRPr="00EC02CA">
        <w:t>;</w:t>
      </w:r>
      <w:r w:rsidRPr="00EC02CA">
        <w:t xml:space="preserve"> that ongoing service coordination is necessary</w:t>
      </w:r>
      <w:r w:rsidR="000E4C9B" w:rsidRPr="00EC02CA">
        <w:t>;</w:t>
      </w:r>
      <w:r w:rsidRPr="00EC02CA">
        <w:t xml:space="preserve"> or where cumulative harm is evident.</w:t>
      </w:r>
    </w:p>
    <w:p w14:paraId="3CE2419D" w14:textId="4B648F0B" w:rsidR="00B61209" w:rsidRPr="00EC02CA" w:rsidRDefault="00B11D58" w:rsidP="00A920EC">
      <w:r w:rsidRPr="00EC02CA">
        <w:t>The system used for the recording of</w:t>
      </w:r>
      <w:r w:rsidR="002C6AC9" w:rsidRPr="00EC02CA">
        <w:t xml:space="preserve"> </w:t>
      </w:r>
      <w:r w:rsidRPr="00EC02CA">
        <w:rPr>
          <w:i/>
          <w:iCs/>
        </w:rPr>
        <w:t>conversations</w:t>
      </w:r>
      <w:r w:rsidR="002C6AC9" w:rsidRPr="00EC02CA">
        <w:t xml:space="preserve"> </w:t>
      </w:r>
      <w:r w:rsidRPr="00EC02CA">
        <w:t>is not designed for reporting of persons believed responsible. Records for persons believed responsible can only be created in the system used for the recording of</w:t>
      </w:r>
      <w:r w:rsidR="002C6AC9" w:rsidRPr="00EC02CA">
        <w:t xml:space="preserve"> </w:t>
      </w:r>
      <w:r w:rsidRPr="00EC02CA">
        <w:rPr>
          <w:i/>
          <w:iCs/>
        </w:rPr>
        <w:t>incidents</w:t>
      </w:r>
      <w:r w:rsidRPr="00EC02CA">
        <w:t>.</w:t>
      </w:r>
    </w:p>
    <w:p w14:paraId="4EFBF362" w14:textId="33066D13" w:rsidR="00B61209" w:rsidRPr="00EC02CA" w:rsidRDefault="00B61209" w:rsidP="00A920EC">
      <w:r w:rsidRPr="00EC02CA">
        <w:rPr>
          <w:b/>
          <w:bCs/>
        </w:rPr>
        <w:t xml:space="preserve">Figure </w:t>
      </w:r>
      <w:r w:rsidR="00DE38F8" w:rsidRPr="00EC02CA">
        <w:rPr>
          <w:b/>
          <w:bCs/>
        </w:rPr>
        <w:t>H</w:t>
      </w:r>
      <w:r w:rsidRPr="00EC02CA">
        <w:rPr>
          <w:b/>
          <w:bCs/>
        </w:rPr>
        <w:t>.</w:t>
      </w:r>
      <w:r w:rsidR="00E13A82" w:rsidRPr="00EC02CA">
        <w:rPr>
          <w:b/>
          <w:bCs/>
        </w:rPr>
        <w:t>1</w:t>
      </w:r>
      <w:r w:rsidRPr="00EC02CA">
        <w:t>:</w:t>
      </w:r>
      <w:r w:rsidR="00785257" w:rsidRPr="00EC02CA">
        <w:t xml:space="preserve"> New conversations to the ARL</w:t>
      </w:r>
      <w:r w:rsidR="00953179" w:rsidRPr="00EC02CA">
        <w:t>, 2020 to 2024</w:t>
      </w:r>
    </w:p>
    <w:p w14:paraId="32B4DE27" w14:textId="77777777" w:rsidR="00B61209" w:rsidRPr="00EC02CA" w:rsidRDefault="00B61209" w:rsidP="00A920EC">
      <w:r w:rsidRPr="00EC02CA">
        <w:rPr>
          <w:noProof/>
        </w:rPr>
        <w:drawing>
          <wp:inline distT="0" distB="0" distL="0" distR="0" wp14:anchorId="02A354AC" wp14:editId="731CF5C1">
            <wp:extent cx="5486400" cy="3200400"/>
            <wp:effectExtent l="0" t="0" r="0" b="0"/>
            <wp:docPr id="169693559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1545497" w14:textId="6BD06AF7" w:rsidR="00B61209" w:rsidRPr="00EC02CA" w:rsidRDefault="00B61209" w:rsidP="004379D4">
      <w:pPr>
        <w:keepNext/>
        <w:keepLines/>
      </w:pPr>
      <w:bookmarkStart w:id="501" w:name="_Hlk202280053"/>
      <w:r w:rsidRPr="00EC02CA">
        <w:rPr>
          <w:b/>
          <w:bCs/>
        </w:rPr>
        <w:t xml:space="preserve">Table </w:t>
      </w:r>
      <w:r w:rsidR="00120BD7" w:rsidRPr="00EC02CA">
        <w:rPr>
          <w:b/>
          <w:bCs/>
        </w:rPr>
        <w:t>H</w:t>
      </w:r>
      <w:r w:rsidRPr="00EC02CA">
        <w:rPr>
          <w:b/>
          <w:bCs/>
        </w:rPr>
        <w:t>.</w:t>
      </w:r>
      <w:r w:rsidR="00E13A82" w:rsidRPr="00EC02CA">
        <w:rPr>
          <w:b/>
          <w:bCs/>
        </w:rPr>
        <w:t>1</w:t>
      </w:r>
      <w:r w:rsidRPr="00EC02CA">
        <w:t xml:space="preserve"> New conversations to the ARL for mandatory reports</w:t>
      </w:r>
      <w:r w:rsidR="00B7036C" w:rsidRPr="00EC02CA">
        <w:t>,</w:t>
      </w:r>
      <w:r w:rsidRPr="00EC02CA">
        <w:t xml:space="preserve"> by year and contact source</w:t>
      </w:r>
      <w:r w:rsidR="00953179" w:rsidRPr="00EC02CA">
        <w:t>, 2020 to 2024</w:t>
      </w:r>
    </w:p>
    <w:tbl>
      <w:tblPr>
        <w:tblStyle w:val="TableGrid"/>
        <w:tblW w:w="0" w:type="auto"/>
        <w:tblInd w:w="-5" w:type="dxa"/>
        <w:tblLook w:val="04A0" w:firstRow="1" w:lastRow="0" w:firstColumn="1" w:lastColumn="0" w:noHBand="0" w:noVBand="1"/>
      </w:tblPr>
      <w:tblGrid>
        <w:gridCol w:w="1877"/>
        <w:gridCol w:w="885"/>
        <w:gridCol w:w="885"/>
        <w:gridCol w:w="895"/>
        <w:gridCol w:w="896"/>
        <w:gridCol w:w="984"/>
        <w:gridCol w:w="985"/>
        <w:gridCol w:w="1614"/>
      </w:tblGrid>
      <w:tr w:rsidR="00B61209" w:rsidRPr="00EC02CA" w14:paraId="7252787E" w14:textId="77777777" w:rsidTr="00A920EC">
        <w:tc>
          <w:tcPr>
            <w:tcW w:w="1877" w:type="dxa"/>
          </w:tcPr>
          <w:p w14:paraId="0B3DEAEB" w14:textId="77777777" w:rsidR="00B61209" w:rsidRPr="00EC02CA" w:rsidRDefault="00B61209" w:rsidP="004379D4">
            <w:pPr>
              <w:keepNext/>
              <w:keepLines/>
              <w:spacing w:before="60" w:after="60"/>
              <w:rPr>
                <w:b/>
                <w:bCs/>
                <w:sz w:val="20"/>
              </w:rPr>
            </w:pPr>
            <w:r w:rsidRPr="00EC02CA">
              <w:rPr>
                <w:b/>
                <w:bCs/>
                <w:sz w:val="20"/>
                <w:szCs w:val="20"/>
              </w:rPr>
              <w:t>Year</w:t>
            </w:r>
          </w:p>
        </w:tc>
        <w:tc>
          <w:tcPr>
            <w:tcW w:w="1770" w:type="dxa"/>
            <w:gridSpan w:val="2"/>
          </w:tcPr>
          <w:p w14:paraId="6169E67A" w14:textId="77777777" w:rsidR="00B61209" w:rsidRPr="00EC02CA" w:rsidRDefault="00B61209" w:rsidP="004379D4">
            <w:pPr>
              <w:keepNext/>
              <w:keepLines/>
              <w:spacing w:before="60" w:after="60"/>
              <w:rPr>
                <w:b/>
                <w:bCs/>
                <w:sz w:val="20"/>
              </w:rPr>
            </w:pPr>
            <w:r w:rsidRPr="00EC02CA">
              <w:rPr>
                <w:b/>
                <w:bCs/>
                <w:sz w:val="20"/>
                <w:szCs w:val="20"/>
              </w:rPr>
              <w:t>Police</w:t>
            </w:r>
          </w:p>
        </w:tc>
        <w:tc>
          <w:tcPr>
            <w:tcW w:w="1791" w:type="dxa"/>
            <w:gridSpan w:val="2"/>
          </w:tcPr>
          <w:p w14:paraId="36BBBD7F" w14:textId="77777777" w:rsidR="00B61209" w:rsidRPr="00EC02CA" w:rsidRDefault="00B61209" w:rsidP="004379D4">
            <w:pPr>
              <w:keepNext/>
              <w:keepLines/>
              <w:spacing w:before="60" w:after="60"/>
              <w:rPr>
                <w:b/>
                <w:bCs/>
                <w:sz w:val="20"/>
              </w:rPr>
            </w:pPr>
            <w:r w:rsidRPr="00EC02CA">
              <w:rPr>
                <w:b/>
                <w:bCs/>
                <w:sz w:val="20"/>
                <w:szCs w:val="20"/>
              </w:rPr>
              <w:t>School</w:t>
            </w:r>
          </w:p>
        </w:tc>
        <w:tc>
          <w:tcPr>
            <w:tcW w:w="1969" w:type="dxa"/>
            <w:gridSpan w:val="2"/>
          </w:tcPr>
          <w:p w14:paraId="5B618F8C" w14:textId="77777777" w:rsidR="00B61209" w:rsidRPr="00EC02CA" w:rsidRDefault="00B61209" w:rsidP="004379D4">
            <w:pPr>
              <w:keepNext/>
              <w:keepLines/>
              <w:spacing w:before="60" w:after="60"/>
              <w:rPr>
                <w:b/>
                <w:bCs/>
                <w:sz w:val="20"/>
              </w:rPr>
            </w:pPr>
            <w:r w:rsidRPr="00EC02CA">
              <w:rPr>
                <w:b/>
                <w:bCs/>
                <w:sz w:val="20"/>
                <w:szCs w:val="20"/>
              </w:rPr>
              <w:t>Other professionals</w:t>
            </w:r>
          </w:p>
        </w:tc>
        <w:tc>
          <w:tcPr>
            <w:tcW w:w="1614" w:type="dxa"/>
          </w:tcPr>
          <w:p w14:paraId="48CCC29A" w14:textId="482020E3" w:rsidR="00B61209" w:rsidRPr="00EC02CA" w:rsidRDefault="00B61209" w:rsidP="004379D4">
            <w:pPr>
              <w:keepNext/>
              <w:keepLines/>
              <w:spacing w:before="60" w:after="60"/>
              <w:rPr>
                <w:b/>
                <w:bCs/>
                <w:sz w:val="20"/>
              </w:rPr>
            </w:pPr>
            <w:r w:rsidRPr="00EC02CA">
              <w:rPr>
                <w:b/>
                <w:bCs/>
                <w:sz w:val="20"/>
                <w:szCs w:val="20"/>
              </w:rPr>
              <w:t>Total</w:t>
            </w:r>
            <w:r w:rsidR="0031747A" w:rsidRPr="00EC02CA">
              <w:rPr>
                <w:b/>
                <w:bCs/>
                <w:sz w:val="20"/>
                <w:szCs w:val="20"/>
              </w:rPr>
              <w:t xml:space="preserve"> conversations</w:t>
            </w:r>
          </w:p>
        </w:tc>
      </w:tr>
      <w:tr w:rsidR="00B61209" w:rsidRPr="00EC02CA" w14:paraId="02E424C4" w14:textId="77777777" w:rsidTr="00A920EC">
        <w:tc>
          <w:tcPr>
            <w:tcW w:w="1877" w:type="dxa"/>
          </w:tcPr>
          <w:p w14:paraId="60E55EDA" w14:textId="77777777" w:rsidR="00B61209" w:rsidRPr="00EC02CA" w:rsidRDefault="00B61209" w:rsidP="00AB59E8">
            <w:pPr>
              <w:keepNext/>
              <w:keepLines/>
              <w:spacing w:before="60" w:after="60"/>
              <w:rPr>
                <w:sz w:val="20"/>
              </w:rPr>
            </w:pPr>
          </w:p>
        </w:tc>
        <w:tc>
          <w:tcPr>
            <w:tcW w:w="885" w:type="dxa"/>
          </w:tcPr>
          <w:p w14:paraId="5A74AC62" w14:textId="77777777" w:rsidR="00B61209" w:rsidRPr="00EC02CA" w:rsidRDefault="00B61209" w:rsidP="00AB59E8">
            <w:pPr>
              <w:keepNext/>
              <w:keepLines/>
              <w:spacing w:before="60" w:after="60"/>
              <w:jc w:val="right"/>
              <w:rPr>
                <w:sz w:val="20"/>
              </w:rPr>
            </w:pPr>
            <w:r w:rsidRPr="00EC02CA">
              <w:rPr>
                <w:sz w:val="20"/>
                <w:szCs w:val="20"/>
              </w:rPr>
              <w:t>No.</w:t>
            </w:r>
          </w:p>
        </w:tc>
        <w:tc>
          <w:tcPr>
            <w:tcW w:w="885" w:type="dxa"/>
          </w:tcPr>
          <w:p w14:paraId="4906079D" w14:textId="77777777" w:rsidR="00B61209" w:rsidRPr="00EC02CA" w:rsidRDefault="00B61209" w:rsidP="00AB59E8">
            <w:pPr>
              <w:keepNext/>
              <w:keepLines/>
              <w:spacing w:before="60" w:after="60"/>
              <w:jc w:val="right"/>
              <w:rPr>
                <w:sz w:val="20"/>
              </w:rPr>
            </w:pPr>
            <w:r w:rsidRPr="00EC02CA">
              <w:rPr>
                <w:sz w:val="20"/>
                <w:szCs w:val="20"/>
              </w:rPr>
              <w:t>%</w:t>
            </w:r>
          </w:p>
        </w:tc>
        <w:tc>
          <w:tcPr>
            <w:tcW w:w="895" w:type="dxa"/>
          </w:tcPr>
          <w:p w14:paraId="075EEDFA" w14:textId="77777777" w:rsidR="00B61209" w:rsidRPr="00EC02CA" w:rsidRDefault="00B61209" w:rsidP="00AB59E8">
            <w:pPr>
              <w:keepNext/>
              <w:keepLines/>
              <w:spacing w:before="60" w:after="60"/>
              <w:jc w:val="right"/>
              <w:rPr>
                <w:sz w:val="20"/>
              </w:rPr>
            </w:pPr>
            <w:r w:rsidRPr="00EC02CA">
              <w:rPr>
                <w:sz w:val="20"/>
                <w:szCs w:val="20"/>
              </w:rPr>
              <w:t>No</w:t>
            </w:r>
          </w:p>
        </w:tc>
        <w:tc>
          <w:tcPr>
            <w:tcW w:w="896" w:type="dxa"/>
          </w:tcPr>
          <w:p w14:paraId="5FDC3E6D" w14:textId="77777777" w:rsidR="00B61209" w:rsidRPr="00EC02CA" w:rsidRDefault="00B61209" w:rsidP="00AB59E8">
            <w:pPr>
              <w:keepNext/>
              <w:keepLines/>
              <w:spacing w:before="60" w:after="60"/>
              <w:jc w:val="right"/>
              <w:rPr>
                <w:sz w:val="20"/>
              </w:rPr>
            </w:pPr>
            <w:r w:rsidRPr="00EC02CA">
              <w:rPr>
                <w:sz w:val="20"/>
                <w:szCs w:val="20"/>
              </w:rPr>
              <w:t>%</w:t>
            </w:r>
          </w:p>
        </w:tc>
        <w:tc>
          <w:tcPr>
            <w:tcW w:w="984" w:type="dxa"/>
          </w:tcPr>
          <w:p w14:paraId="1F53B4B1" w14:textId="77777777" w:rsidR="00B61209" w:rsidRPr="00EC02CA" w:rsidRDefault="00B61209" w:rsidP="00AB59E8">
            <w:pPr>
              <w:keepNext/>
              <w:keepLines/>
              <w:spacing w:before="60" w:after="60"/>
              <w:jc w:val="right"/>
              <w:rPr>
                <w:sz w:val="20"/>
              </w:rPr>
            </w:pPr>
            <w:r w:rsidRPr="00EC02CA">
              <w:rPr>
                <w:sz w:val="20"/>
                <w:szCs w:val="20"/>
              </w:rPr>
              <w:t>No</w:t>
            </w:r>
          </w:p>
        </w:tc>
        <w:tc>
          <w:tcPr>
            <w:tcW w:w="985" w:type="dxa"/>
          </w:tcPr>
          <w:p w14:paraId="69479CA7" w14:textId="77777777" w:rsidR="00B61209" w:rsidRPr="00EC02CA" w:rsidRDefault="00B61209" w:rsidP="00AB59E8">
            <w:pPr>
              <w:keepNext/>
              <w:keepLines/>
              <w:spacing w:before="60" w:after="60"/>
              <w:jc w:val="right"/>
              <w:rPr>
                <w:sz w:val="20"/>
              </w:rPr>
            </w:pPr>
            <w:r w:rsidRPr="00EC02CA">
              <w:rPr>
                <w:sz w:val="20"/>
                <w:szCs w:val="20"/>
              </w:rPr>
              <w:t>%</w:t>
            </w:r>
          </w:p>
        </w:tc>
        <w:tc>
          <w:tcPr>
            <w:tcW w:w="1614" w:type="dxa"/>
          </w:tcPr>
          <w:p w14:paraId="7B518EE7" w14:textId="77777777" w:rsidR="00B61209" w:rsidRPr="00EC02CA" w:rsidRDefault="00B61209" w:rsidP="00AB59E8">
            <w:pPr>
              <w:keepNext/>
              <w:keepLines/>
              <w:spacing w:before="60" w:after="60"/>
              <w:jc w:val="right"/>
              <w:rPr>
                <w:sz w:val="20"/>
              </w:rPr>
            </w:pPr>
          </w:p>
        </w:tc>
      </w:tr>
      <w:tr w:rsidR="00B61209" w:rsidRPr="00EC02CA" w14:paraId="1B23BC43" w14:textId="77777777" w:rsidTr="00A920EC">
        <w:tc>
          <w:tcPr>
            <w:tcW w:w="1877" w:type="dxa"/>
          </w:tcPr>
          <w:p w14:paraId="05631599" w14:textId="77777777" w:rsidR="00B61209" w:rsidRPr="00EC02CA" w:rsidRDefault="00B61209" w:rsidP="00AB59E8">
            <w:pPr>
              <w:keepNext/>
              <w:keepLines/>
              <w:spacing w:before="60" w:after="60"/>
              <w:rPr>
                <w:sz w:val="20"/>
              </w:rPr>
            </w:pPr>
            <w:r w:rsidRPr="00EC02CA">
              <w:rPr>
                <w:sz w:val="20"/>
                <w:szCs w:val="20"/>
              </w:rPr>
              <w:t>2020</w:t>
            </w:r>
          </w:p>
        </w:tc>
        <w:tc>
          <w:tcPr>
            <w:tcW w:w="885" w:type="dxa"/>
          </w:tcPr>
          <w:p w14:paraId="4540505F" w14:textId="77777777" w:rsidR="00B61209" w:rsidRPr="00EC02CA" w:rsidRDefault="00B61209" w:rsidP="00AB59E8">
            <w:pPr>
              <w:keepNext/>
              <w:keepLines/>
              <w:spacing w:before="60" w:after="60"/>
              <w:jc w:val="right"/>
              <w:rPr>
                <w:sz w:val="20"/>
              </w:rPr>
            </w:pPr>
            <w:r w:rsidRPr="00EC02CA">
              <w:rPr>
                <w:sz w:val="20"/>
                <w:szCs w:val="20"/>
              </w:rPr>
              <w:t xml:space="preserve"> 3,209 </w:t>
            </w:r>
          </w:p>
        </w:tc>
        <w:tc>
          <w:tcPr>
            <w:tcW w:w="885" w:type="dxa"/>
          </w:tcPr>
          <w:p w14:paraId="4F58296A" w14:textId="77777777" w:rsidR="00B61209" w:rsidRPr="00EC02CA" w:rsidRDefault="00B61209" w:rsidP="00AB59E8">
            <w:pPr>
              <w:keepNext/>
              <w:keepLines/>
              <w:spacing w:before="60" w:after="60"/>
              <w:jc w:val="right"/>
              <w:rPr>
                <w:sz w:val="20"/>
              </w:rPr>
            </w:pPr>
            <w:r w:rsidRPr="00EC02CA">
              <w:rPr>
                <w:sz w:val="20"/>
                <w:szCs w:val="20"/>
              </w:rPr>
              <w:t>32</w:t>
            </w:r>
          </w:p>
        </w:tc>
        <w:tc>
          <w:tcPr>
            <w:tcW w:w="895" w:type="dxa"/>
          </w:tcPr>
          <w:p w14:paraId="04399B0F" w14:textId="77777777" w:rsidR="00B61209" w:rsidRPr="00EC02CA" w:rsidRDefault="00B61209" w:rsidP="00AB59E8">
            <w:pPr>
              <w:keepNext/>
              <w:keepLines/>
              <w:spacing w:before="60" w:after="60"/>
              <w:jc w:val="right"/>
              <w:rPr>
                <w:sz w:val="20"/>
              </w:rPr>
            </w:pPr>
            <w:r w:rsidRPr="00EC02CA">
              <w:rPr>
                <w:sz w:val="20"/>
                <w:szCs w:val="20"/>
              </w:rPr>
              <w:t xml:space="preserve"> 2,995 </w:t>
            </w:r>
          </w:p>
        </w:tc>
        <w:tc>
          <w:tcPr>
            <w:tcW w:w="896" w:type="dxa"/>
          </w:tcPr>
          <w:p w14:paraId="30FE2FDE" w14:textId="77777777" w:rsidR="00B61209" w:rsidRPr="00EC02CA" w:rsidRDefault="00B61209" w:rsidP="00AB59E8">
            <w:pPr>
              <w:keepNext/>
              <w:keepLines/>
              <w:spacing w:before="60" w:after="60"/>
              <w:jc w:val="right"/>
              <w:rPr>
                <w:sz w:val="20"/>
              </w:rPr>
            </w:pPr>
            <w:r w:rsidRPr="00EC02CA">
              <w:rPr>
                <w:sz w:val="20"/>
                <w:szCs w:val="20"/>
              </w:rPr>
              <w:t>30</w:t>
            </w:r>
          </w:p>
        </w:tc>
        <w:tc>
          <w:tcPr>
            <w:tcW w:w="984" w:type="dxa"/>
          </w:tcPr>
          <w:p w14:paraId="227F31F0" w14:textId="77777777" w:rsidR="00B61209" w:rsidRPr="00EC02CA" w:rsidRDefault="00B61209" w:rsidP="00AB59E8">
            <w:pPr>
              <w:keepNext/>
              <w:keepLines/>
              <w:spacing w:before="60" w:after="60"/>
              <w:jc w:val="right"/>
              <w:rPr>
                <w:sz w:val="20"/>
              </w:rPr>
            </w:pPr>
            <w:r w:rsidRPr="00EC02CA">
              <w:rPr>
                <w:sz w:val="20"/>
                <w:szCs w:val="20"/>
              </w:rPr>
              <w:t xml:space="preserve"> 3,876 </w:t>
            </w:r>
          </w:p>
        </w:tc>
        <w:tc>
          <w:tcPr>
            <w:tcW w:w="985" w:type="dxa"/>
          </w:tcPr>
          <w:p w14:paraId="04AB994F" w14:textId="77777777" w:rsidR="00B61209" w:rsidRPr="00EC02CA" w:rsidRDefault="00B61209" w:rsidP="00AB59E8">
            <w:pPr>
              <w:keepNext/>
              <w:keepLines/>
              <w:spacing w:before="60" w:after="60"/>
              <w:jc w:val="right"/>
              <w:rPr>
                <w:sz w:val="20"/>
              </w:rPr>
            </w:pPr>
            <w:r w:rsidRPr="00EC02CA">
              <w:rPr>
                <w:sz w:val="20"/>
                <w:szCs w:val="20"/>
              </w:rPr>
              <w:t xml:space="preserve"> 38 </w:t>
            </w:r>
          </w:p>
        </w:tc>
        <w:tc>
          <w:tcPr>
            <w:tcW w:w="1614" w:type="dxa"/>
          </w:tcPr>
          <w:p w14:paraId="46252C5D" w14:textId="77777777" w:rsidR="00B61209" w:rsidRPr="00EC02CA" w:rsidRDefault="00B61209" w:rsidP="00AB59E8">
            <w:pPr>
              <w:keepNext/>
              <w:keepLines/>
              <w:spacing w:before="60" w:after="60"/>
              <w:jc w:val="right"/>
              <w:rPr>
                <w:sz w:val="20"/>
              </w:rPr>
            </w:pPr>
            <w:r w:rsidRPr="00EC02CA">
              <w:rPr>
                <w:sz w:val="20"/>
                <w:szCs w:val="20"/>
              </w:rPr>
              <w:t xml:space="preserve"> 10,080 </w:t>
            </w:r>
          </w:p>
        </w:tc>
      </w:tr>
      <w:tr w:rsidR="00B61209" w:rsidRPr="00EC02CA" w14:paraId="02C64C95" w14:textId="77777777" w:rsidTr="00A920EC">
        <w:tc>
          <w:tcPr>
            <w:tcW w:w="1877" w:type="dxa"/>
          </w:tcPr>
          <w:p w14:paraId="44FA0CF6" w14:textId="77777777" w:rsidR="00B61209" w:rsidRPr="00EC02CA" w:rsidRDefault="00B61209" w:rsidP="00AB59E8">
            <w:pPr>
              <w:keepNext/>
              <w:keepLines/>
              <w:spacing w:before="60" w:after="60"/>
              <w:rPr>
                <w:sz w:val="20"/>
              </w:rPr>
            </w:pPr>
            <w:r w:rsidRPr="00EC02CA">
              <w:rPr>
                <w:sz w:val="20"/>
                <w:szCs w:val="20"/>
              </w:rPr>
              <w:t>2021</w:t>
            </w:r>
          </w:p>
        </w:tc>
        <w:tc>
          <w:tcPr>
            <w:tcW w:w="885" w:type="dxa"/>
          </w:tcPr>
          <w:p w14:paraId="47D0232A" w14:textId="77777777" w:rsidR="00B61209" w:rsidRPr="00EC02CA" w:rsidRDefault="00B61209" w:rsidP="00AB59E8">
            <w:pPr>
              <w:keepNext/>
              <w:keepLines/>
              <w:spacing w:before="60" w:after="60"/>
              <w:jc w:val="right"/>
              <w:rPr>
                <w:sz w:val="20"/>
              </w:rPr>
            </w:pPr>
            <w:r w:rsidRPr="00EC02CA">
              <w:rPr>
                <w:sz w:val="20"/>
                <w:szCs w:val="20"/>
              </w:rPr>
              <w:t>3,461</w:t>
            </w:r>
          </w:p>
        </w:tc>
        <w:tc>
          <w:tcPr>
            <w:tcW w:w="885" w:type="dxa"/>
          </w:tcPr>
          <w:p w14:paraId="16E1EE62" w14:textId="77777777" w:rsidR="00B61209" w:rsidRPr="00EC02CA" w:rsidRDefault="00B61209" w:rsidP="00AB59E8">
            <w:pPr>
              <w:keepNext/>
              <w:keepLines/>
              <w:spacing w:before="60" w:after="60"/>
              <w:jc w:val="right"/>
              <w:rPr>
                <w:sz w:val="20"/>
              </w:rPr>
            </w:pPr>
            <w:r w:rsidRPr="00EC02CA">
              <w:rPr>
                <w:sz w:val="20"/>
                <w:szCs w:val="20"/>
              </w:rPr>
              <w:t>29</w:t>
            </w:r>
          </w:p>
        </w:tc>
        <w:tc>
          <w:tcPr>
            <w:tcW w:w="895" w:type="dxa"/>
          </w:tcPr>
          <w:p w14:paraId="7482DD32" w14:textId="77777777" w:rsidR="00B61209" w:rsidRPr="00EC02CA" w:rsidRDefault="00B61209" w:rsidP="00AB59E8">
            <w:pPr>
              <w:keepNext/>
              <w:keepLines/>
              <w:spacing w:before="60" w:after="60"/>
              <w:jc w:val="right"/>
              <w:rPr>
                <w:sz w:val="20"/>
              </w:rPr>
            </w:pPr>
            <w:r w:rsidRPr="00EC02CA">
              <w:rPr>
                <w:sz w:val="20"/>
                <w:szCs w:val="20"/>
              </w:rPr>
              <w:t xml:space="preserve"> 3,830 </w:t>
            </w:r>
          </w:p>
        </w:tc>
        <w:tc>
          <w:tcPr>
            <w:tcW w:w="896" w:type="dxa"/>
          </w:tcPr>
          <w:p w14:paraId="5B6CBED3" w14:textId="77777777" w:rsidR="00B61209" w:rsidRPr="00EC02CA" w:rsidRDefault="00B61209" w:rsidP="00AB59E8">
            <w:pPr>
              <w:keepNext/>
              <w:keepLines/>
              <w:spacing w:before="60" w:after="60"/>
              <w:jc w:val="right"/>
              <w:rPr>
                <w:sz w:val="20"/>
              </w:rPr>
            </w:pPr>
            <w:r w:rsidRPr="00EC02CA">
              <w:rPr>
                <w:sz w:val="20"/>
                <w:szCs w:val="20"/>
              </w:rPr>
              <w:t>32</w:t>
            </w:r>
          </w:p>
        </w:tc>
        <w:tc>
          <w:tcPr>
            <w:tcW w:w="984" w:type="dxa"/>
          </w:tcPr>
          <w:p w14:paraId="75E181A3" w14:textId="77777777" w:rsidR="00B61209" w:rsidRPr="00EC02CA" w:rsidRDefault="00B61209" w:rsidP="00AB59E8">
            <w:pPr>
              <w:keepNext/>
              <w:keepLines/>
              <w:spacing w:before="60" w:after="60"/>
              <w:jc w:val="right"/>
              <w:rPr>
                <w:sz w:val="20"/>
              </w:rPr>
            </w:pPr>
            <w:r w:rsidRPr="00EC02CA">
              <w:rPr>
                <w:sz w:val="20"/>
                <w:szCs w:val="20"/>
              </w:rPr>
              <w:t xml:space="preserve"> 4,665 </w:t>
            </w:r>
          </w:p>
        </w:tc>
        <w:tc>
          <w:tcPr>
            <w:tcW w:w="985" w:type="dxa"/>
          </w:tcPr>
          <w:p w14:paraId="67373403" w14:textId="77777777" w:rsidR="00B61209" w:rsidRPr="00EC02CA" w:rsidRDefault="00B61209" w:rsidP="00AB59E8">
            <w:pPr>
              <w:keepNext/>
              <w:keepLines/>
              <w:spacing w:before="60" w:after="60"/>
              <w:jc w:val="right"/>
              <w:rPr>
                <w:sz w:val="20"/>
              </w:rPr>
            </w:pPr>
            <w:r w:rsidRPr="00EC02CA">
              <w:rPr>
                <w:sz w:val="20"/>
                <w:szCs w:val="20"/>
              </w:rPr>
              <w:t xml:space="preserve"> 39 </w:t>
            </w:r>
          </w:p>
        </w:tc>
        <w:tc>
          <w:tcPr>
            <w:tcW w:w="1614" w:type="dxa"/>
          </w:tcPr>
          <w:p w14:paraId="4BD34336" w14:textId="77777777" w:rsidR="00B61209" w:rsidRPr="00EC02CA" w:rsidRDefault="00B61209" w:rsidP="00AB59E8">
            <w:pPr>
              <w:keepNext/>
              <w:keepLines/>
              <w:spacing w:before="60" w:after="60"/>
              <w:jc w:val="right"/>
              <w:rPr>
                <w:sz w:val="20"/>
              </w:rPr>
            </w:pPr>
            <w:r w:rsidRPr="00EC02CA">
              <w:rPr>
                <w:sz w:val="20"/>
                <w:szCs w:val="20"/>
              </w:rPr>
              <w:t xml:space="preserve"> 11,956 </w:t>
            </w:r>
          </w:p>
        </w:tc>
      </w:tr>
      <w:tr w:rsidR="00B61209" w:rsidRPr="00EC02CA" w14:paraId="5A1B2013" w14:textId="77777777" w:rsidTr="00A920EC">
        <w:tc>
          <w:tcPr>
            <w:tcW w:w="1877" w:type="dxa"/>
          </w:tcPr>
          <w:p w14:paraId="0C749B11" w14:textId="77777777" w:rsidR="00B61209" w:rsidRPr="00EC02CA" w:rsidRDefault="00B61209" w:rsidP="00AB59E8">
            <w:pPr>
              <w:keepNext/>
              <w:keepLines/>
              <w:spacing w:before="60" w:after="60"/>
              <w:rPr>
                <w:sz w:val="20"/>
              </w:rPr>
            </w:pPr>
            <w:r w:rsidRPr="00EC02CA">
              <w:rPr>
                <w:sz w:val="20"/>
                <w:szCs w:val="20"/>
              </w:rPr>
              <w:t>2022</w:t>
            </w:r>
          </w:p>
        </w:tc>
        <w:tc>
          <w:tcPr>
            <w:tcW w:w="885" w:type="dxa"/>
          </w:tcPr>
          <w:p w14:paraId="706D91B9" w14:textId="77777777" w:rsidR="00B61209" w:rsidRPr="00EC02CA" w:rsidRDefault="00B61209" w:rsidP="00AB59E8">
            <w:pPr>
              <w:keepNext/>
              <w:keepLines/>
              <w:spacing w:before="60" w:after="60"/>
              <w:jc w:val="right"/>
              <w:rPr>
                <w:sz w:val="20"/>
              </w:rPr>
            </w:pPr>
            <w:r w:rsidRPr="00EC02CA">
              <w:rPr>
                <w:sz w:val="20"/>
                <w:szCs w:val="20"/>
              </w:rPr>
              <w:t>4,274</w:t>
            </w:r>
          </w:p>
        </w:tc>
        <w:tc>
          <w:tcPr>
            <w:tcW w:w="885" w:type="dxa"/>
          </w:tcPr>
          <w:p w14:paraId="367C6008" w14:textId="77777777" w:rsidR="00B61209" w:rsidRPr="00EC02CA" w:rsidRDefault="00B61209" w:rsidP="00AB59E8">
            <w:pPr>
              <w:keepNext/>
              <w:keepLines/>
              <w:spacing w:before="60" w:after="60"/>
              <w:jc w:val="right"/>
              <w:rPr>
                <w:sz w:val="20"/>
              </w:rPr>
            </w:pPr>
            <w:r w:rsidRPr="00EC02CA">
              <w:rPr>
                <w:sz w:val="20"/>
                <w:szCs w:val="20"/>
              </w:rPr>
              <w:t>31</w:t>
            </w:r>
          </w:p>
        </w:tc>
        <w:tc>
          <w:tcPr>
            <w:tcW w:w="895" w:type="dxa"/>
          </w:tcPr>
          <w:p w14:paraId="5C7CEAF2" w14:textId="77777777" w:rsidR="00B61209" w:rsidRPr="00EC02CA" w:rsidRDefault="00B61209" w:rsidP="00AB59E8">
            <w:pPr>
              <w:keepNext/>
              <w:keepLines/>
              <w:spacing w:before="60" w:after="60"/>
              <w:jc w:val="right"/>
              <w:rPr>
                <w:sz w:val="20"/>
              </w:rPr>
            </w:pPr>
            <w:r w:rsidRPr="00EC02CA">
              <w:rPr>
                <w:sz w:val="20"/>
                <w:szCs w:val="20"/>
              </w:rPr>
              <w:t xml:space="preserve"> 4,846 </w:t>
            </w:r>
          </w:p>
        </w:tc>
        <w:tc>
          <w:tcPr>
            <w:tcW w:w="896" w:type="dxa"/>
          </w:tcPr>
          <w:p w14:paraId="3F4E302A" w14:textId="77777777" w:rsidR="00B61209" w:rsidRPr="00EC02CA" w:rsidRDefault="00B61209" w:rsidP="00AB59E8">
            <w:pPr>
              <w:keepNext/>
              <w:keepLines/>
              <w:spacing w:before="60" w:after="60"/>
              <w:jc w:val="right"/>
              <w:rPr>
                <w:sz w:val="20"/>
              </w:rPr>
            </w:pPr>
            <w:r w:rsidRPr="00EC02CA">
              <w:rPr>
                <w:sz w:val="20"/>
                <w:szCs w:val="20"/>
              </w:rPr>
              <w:t>35</w:t>
            </w:r>
          </w:p>
        </w:tc>
        <w:tc>
          <w:tcPr>
            <w:tcW w:w="984" w:type="dxa"/>
          </w:tcPr>
          <w:p w14:paraId="359A8477" w14:textId="77777777" w:rsidR="00B61209" w:rsidRPr="00EC02CA" w:rsidRDefault="00B61209" w:rsidP="00AB59E8">
            <w:pPr>
              <w:keepNext/>
              <w:keepLines/>
              <w:spacing w:before="60" w:after="60"/>
              <w:jc w:val="right"/>
              <w:rPr>
                <w:sz w:val="20"/>
              </w:rPr>
            </w:pPr>
            <w:r w:rsidRPr="00EC02CA">
              <w:rPr>
                <w:sz w:val="20"/>
                <w:szCs w:val="20"/>
              </w:rPr>
              <w:t xml:space="preserve"> 4,729 </w:t>
            </w:r>
          </w:p>
        </w:tc>
        <w:tc>
          <w:tcPr>
            <w:tcW w:w="985" w:type="dxa"/>
          </w:tcPr>
          <w:p w14:paraId="03D88E78" w14:textId="77777777" w:rsidR="00B61209" w:rsidRPr="00EC02CA" w:rsidRDefault="00B61209" w:rsidP="00AB59E8">
            <w:pPr>
              <w:keepNext/>
              <w:keepLines/>
              <w:spacing w:before="60" w:after="60"/>
              <w:jc w:val="right"/>
              <w:rPr>
                <w:sz w:val="20"/>
              </w:rPr>
            </w:pPr>
            <w:r w:rsidRPr="00EC02CA">
              <w:rPr>
                <w:sz w:val="20"/>
                <w:szCs w:val="20"/>
              </w:rPr>
              <w:t xml:space="preserve"> 34 </w:t>
            </w:r>
          </w:p>
        </w:tc>
        <w:tc>
          <w:tcPr>
            <w:tcW w:w="1614" w:type="dxa"/>
          </w:tcPr>
          <w:p w14:paraId="25DE3EC7" w14:textId="77777777" w:rsidR="00B61209" w:rsidRPr="00EC02CA" w:rsidRDefault="00B61209" w:rsidP="00AB59E8">
            <w:pPr>
              <w:keepNext/>
              <w:keepLines/>
              <w:spacing w:before="60" w:after="60"/>
              <w:jc w:val="right"/>
              <w:rPr>
                <w:sz w:val="20"/>
              </w:rPr>
            </w:pPr>
            <w:r w:rsidRPr="00EC02CA">
              <w:rPr>
                <w:sz w:val="20"/>
                <w:szCs w:val="20"/>
              </w:rPr>
              <w:t xml:space="preserve"> 13,849 </w:t>
            </w:r>
          </w:p>
        </w:tc>
      </w:tr>
      <w:tr w:rsidR="00B61209" w:rsidRPr="00EC02CA" w14:paraId="643480DA" w14:textId="77777777" w:rsidTr="00A920EC">
        <w:tc>
          <w:tcPr>
            <w:tcW w:w="1877" w:type="dxa"/>
          </w:tcPr>
          <w:p w14:paraId="5DAA5330" w14:textId="77777777" w:rsidR="00B61209" w:rsidRPr="00EC02CA" w:rsidRDefault="00B61209" w:rsidP="00AB59E8">
            <w:pPr>
              <w:keepNext/>
              <w:keepLines/>
              <w:spacing w:before="60" w:after="60"/>
              <w:rPr>
                <w:sz w:val="20"/>
              </w:rPr>
            </w:pPr>
            <w:r w:rsidRPr="00EC02CA">
              <w:rPr>
                <w:sz w:val="20"/>
                <w:szCs w:val="20"/>
              </w:rPr>
              <w:t>2023</w:t>
            </w:r>
          </w:p>
        </w:tc>
        <w:tc>
          <w:tcPr>
            <w:tcW w:w="885" w:type="dxa"/>
          </w:tcPr>
          <w:p w14:paraId="6A4653EB" w14:textId="77777777" w:rsidR="00B61209" w:rsidRPr="00EC02CA" w:rsidRDefault="00B61209" w:rsidP="00AB59E8">
            <w:pPr>
              <w:keepNext/>
              <w:keepLines/>
              <w:spacing w:before="60" w:after="60"/>
              <w:jc w:val="right"/>
              <w:rPr>
                <w:sz w:val="20"/>
              </w:rPr>
            </w:pPr>
            <w:r w:rsidRPr="00EC02CA">
              <w:rPr>
                <w:sz w:val="20"/>
                <w:szCs w:val="20"/>
              </w:rPr>
              <w:t>5,226</w:t>
            </w:r>
          </w:p>
        </w:tc>
        <w:tc>
          <w:tcPr>
            <w:tcW w:w="885" w:type="dxa"/>
          </w:tcPr>
          <w:p w14:paraId="270E4566" w14:textId="77777777" w:rsidR="00B61209" w:rsidRPr="00EC02CA" w:rsidRDefault="00B61209" w:rsidP="00AB59E8">
            <w:pPr>
              <w:keepNext/>
              <w:keepLines/>
              <w:spacing w:before="60" w:after="60"/>
              <w:jc w:val="right"/>
              <w:rPr>
                <w:sz w:val="20"/>
              </w:rPr>
            </w:pPr>
            <w:r w:rsidRPr="00EC02CA">
              <w:rPr>
                <w:sz w:val="20"/>
                <w:szCs w:val="20"/>
              </w:rPr>
              <w:t>29</w:t>
            </w:r>
          </w:p>
        </w:tc>
        <w:tc>
          <w:tcPr>
            <w:tcW w:w="895" w:type="dxa"/>
          </w:tcPr>
          <w:p w14:paraId="69892A87" w14:textId="77777777" w:rsidR="00B61209" w:rsidRPr="00EC02CA" w:rsidRDefault="00B61209" w:rsidP="00AB59E8">
            <w:pPr>
              <w:keepNext/>
              <w:keepLines/>
              <w:spacing w:before="60" w:after="60"/>
              <w:jc w:val="right"/>
              <w:rPr>
                <w:sz w:val="20"/>
              </w:rPr>
            </w:pPr>
            <w:r w:rsidRPr="00EC02CA">
              <w:rPr>
                <w:sz w:val="20"/>
                <w:szCs w:val="20"/>
              </w:rPr>
              <w:t xml:space="preserve"> 6,740 </w:t>
            </w:r>
          </w:p>
        </w:tc>
        <w:tc>
          <w:tcPr>
            <w:tcW w:w="896" w:type="dxa"/>
          </w:tcPr>
          <w:p w14:paraId="4E315A07" w14:textId="77777777" w:rsidR="00B61209" w:rsidRPr="00EC02CA" w:rsidRDefault="00B61209" w:rsidP="00AB59E8">
            <w:pPr>
              <w:keepNext/>
              <w:keepLines/>
              <w:spacing w:before="60" w:after="60"/>
              <w:jc w:val="right"/>
              <w:rPr>
                <w:sz w:val="20"/>
              </w:rPr>
            </w:pPr>
            <w:r w:rsidRPr="00EC02CA">
              <w:rPr>
                <w:sz w:val="20"/>
                <w:szCs w:val="20"/>
              </w:rPr>
              <w:t>38</w:t>
            </w:r>
          </w:p>
        </w:tc>
        <w:tc>
          <w:tcPr>
            <w:tcW w:w="984" w:type="dxa"/>
          </w:tcPr>
          <w:p w14:paraId="5657A857" w14:textId="77777777" w:rsidR="00B61209" w:rsidRPr="00EC02CA" w:rsidRDefault="00B61209" w:rsidP="00AB59E8">
            <w:pPr>
              <w:keepNext/>
              <w:keepLines/>
              <w:spacing w:before="60" w:after="60"/>
              <w:jc w:val="right"/>
              <w:rPr>
                <w:sz w:val="20"/>
              </w:rPr>
            </w:pPr>
            <w:r w:rsidRPr="00EC02CA">
              <w:rPr>
                <w:sz w:val="20"/>
                <w:szCs w:val="20"/>
              </w:rPr>
              <w:t xml:space="preserve"> 5,951 </w:t>
            </w:r>
          </w:p>
        </w:tc>
        <w:tc>
          <w:tcPr>
            <w:tcW w:w="985" w:type="dxa"/>
          </w:tcPr>
          <w:p w14:paraId="7BE1FDB9" w14:textId="77777777" w:rsidR="00B61209" w:rsidRPr="00EC02CA" w:rsidRDefault="00B61209" w:rsidP="00AB59E8">
            <w:pPr>
              <w:keepNext/>
              <w:keepLines/>
              <w:spacing w:before="60" w:after="60"/>
              <w:jc w:val="right"/>
              <w:rPr>
                <w:sz w:val="20"/>
              </w:rPr>
            </w:pPr>
            <w:r w:rsidRPr="00EC02CA">
              <w:rPr>
                <w:sz w:val="20"/>
                <w:szCs w:val="20"/>
              </w:rPr>
              <w:t xml:space="preserve"> 33 </w:t>
            </w:r>
          </w:p>
        </w:tc>
        <w:tc>
          <w:tcPr>
            <w:tcW w:w="1614" w:type="dxa"/>
          </w:tcPr>
          <w:p w14:paraId="27CFA688" w14:textId="77777777" w:rsidR="00B61209" w:rsidRPr="00EC02CA" w:rsidRDefault="00B61209" w:rsidP="00AB59E8">
            <w:pPr>
              <w:keepNext/>
              <w:keepLines/>
              <w:spacing w:before="60" w:after="60"/>
              <w:jc w:val="right"/>
              <w:rPr>
                <w:sz w:val="20"/>
              </w:rPr>
            </w:pPr>
            <w:r w:rsidRPr="00EC02CA">
              <w:rPr>
                <w:sz w:val="20"/>
                <w:szCs w:val="20"/>
              </w:rPr>
              <w:t xml:space="preserve"> 17,917 </w:t>
            </w:r>
          </w:p>
        </w:tc>
      </w:tr>
      <w:tr w:rsidR="00B61209" w:rsidRPr="00EC02CA" w14:paraId="7FAF228F" w14:textId="77777777" w:rsidTr="00A920EC">
        <w:tc>
          <w:tcPr>
            <w:tcW w:w="1877" w:type="dxa"/>
          </w:tcPr>
          <w:p w14:paraId="4D40160B" w14:textId="77777777" w:rsidR="00B61209" w:rsidRPr="00EC02CA" w:rsidRDefault="00B61209" w:rsidP="00AB59E8">
            <w:pPr>
              <w:keepNext/>
              <w:keepLines/>
              <w:spacing w:before="60" w:after="60"/>
              <w:rPr>
                <w:sz w:val="20"/>
              </w:rPr>
            </w:pPr>
            <w:r w:rsidRPr="00EC02CA">
              <w:rPr>
                <w:sz w:val="20"/>
                <w:szCs w:val="20"/>
              </w:rPr>
              <w:t>2024</w:t>
            </w:r>
          </w:p>
        </w:tc>
        <w:tc>
          <w:tcPr>
            <w:tcW w:w="885" w:type="dxa"/>
          </w:tcPr>
          <w:p w14:paraId="2E9A7E96" w14:textId="77777777" w:rsidR="00B61209" w:rsidRPr="00EC02CA" w:rsidRDefault="00B61209" w:rsidP="00AB59E8">
            <w:pPr>
              <w:keepNext/>
              <w:keepLines/>
              <w:spacing w:before="60" w:after="60"/>
              <w:jc w:val="right"/>
              <w:rPr>
                <w:sz w:val="20"/>
              </w:rPr>
            </w:pPr>
            <w:r w:rsidRPr="00EC02CA">
              <w:rPr>
                <w:sz w:val="20"/>
                <w:szCs w:val="20"/>
              </w:rPr>
              <w:t>5,757</w:t>
            </w:r>
          </w:p>
        </w:tc>
        <w:tc>
          <w:tcPr>
            <w:tcW w:w="885" w:type="dxa"/>
          </w:tcPr>
          <w:p w14:paraId="77F70B1E" w14:textId="77777777" w:rsidR="00B61209" w:rsidRPr="00EC02CA" w:rsidRDefault="00B61209" w:rsidP="00AB59E8">
            <w:pPr>
              <w:keepNext/>
              <w:keepLines/>
              <w:spacing w:before="60" w:after="60"/>
              <w:jc w:val="right"/>
              <w:rPr>
                <w:sz w:val="20"/>
              </w:rPr>
            </w:pPr>
            <w:r w:rsidRPr="00EC02CA">
              <w:rPr>
                <w:sz w:val="20"/>
                <w:szCs w:val="20"/>
              </w:rPr>
              <w:t>30</w:t>
            </w:r>
          </w:p>
        </w:tc>
        <w:tc>
          <w:tcPr>
            <w:tcW w:w="895" w:type="dxa"/>
          </w:tcPr>
          <w:p w14:paraId="5B727ACD" w14:textId="77777777" w:rsidR="00B61209" w:rsidRPr="00EC02CA" w:rsidRDefault="00B61209" w:rsidP="00AB59E8">
            <w:pPr>
              <w:keepNext/>
              <w:keepLines/>
              <w:spacing w:before="60" w:after="60"/>
              <w:jc w:val="right"/>
              <w:rPr>
                <w:sz w:val="20"/>
              </w:rPr>
            </w:pPr>
            <w:r w:rsidRPr="00EC02CA">
              <w:rPr>
                <w:sz w:val="20"/>
                <w:szCs w:val="20"/>
              </w:rPr>
              <w:t xml:space="preserve"> 7,121 </w:t>
            </w:r>
          </w:p>
        </w:tc>
        <w:tc>
          <w:tcPr>
            <w:tcW w:w="896" w:type="dxa"/>
          </w:tcPr>
          <w:p w14:paraId="51DE02E2" w14:textId="77777777" w:rsidR="00B61209" w:rsidRPr="00EC02CA" w:rsidRDefault="00B61209" w:rsidP="00AB59E8">
            <w:pPr>
              <w:keepNext/>
              <w:keepLines/>
              <w:spacing w:before="60" w:after="60"/>
              <w:jc w:val="right"/>
              <w:rPr>
                <w:sz w:val="20"/>
              </w:rPr>
            </w:pPr>
            <w:r w:rsidRPr="00EC02CA">
              <w:rPr>
                <w:sz w:val="20"/>
                <w:szCs w:val="20"/>
              </w:rPr>
              <w:t>37</w:t>
            </w:r>
          </w:p>
        </w:tc>
        <w:tc>
          <w:tcPr>
            <w:tcW w:w="984" w:type="dxa"/>
          </w:tcPr>
          <w:p w14:paraId="4D216DF8" w14:textId="77777777" w:rsidR="00B61209" w:rsidRPr="00EC02CA" w:rsidRDefault="00B61209" w:rsidP="00AB59E8">
            <w:pPr>
              <w:keepNext/>
              <w:keepLines/>
              <w:spacing w:before="60" w:after="60"/>
              <w:jc w:val="right"/>
              <w:rPr>
                <w:sz w:val="20"/>
              </w:rPr>
            </w:pPr>
            <w:r w:rsidRPr="00EC02CA">
              <w:rPr>
                <w:sz w:val="20"/>
                <w:szCs w:val="20"/>
              </w:rPr>
              <w:t xml:space="preserve"> 6,274 </w:t>
            </w:r>
          </w:p>
        </w:tc>
        <w:tc>
          <w:tcPr>
            <w:tcW w:w="985" w:type="dxa"/>
          </w:tcPr>
          <w:p w14:paraId="1684A314" w14:textId="77777777" w:rsidR="00B61209" w:rsidRPr="00EC02CA" w:rsidRDefault="00B61209" w:rsidP="00AB59E8">
            <w:pPr>
              <w:keepNext/>
              <w:keepLines/>
              <w:spacing w:before="60" w:after="60"/>
              <w:jc w:val="right"/>
              <w:rPr>
                <w:sz w:val="20"/>
              </w:rPr>
            </w:pPr>
            <w:r w:rsidRPr="00EC02CA">
              <w:rPr>
                <w:sz w:val="20"/>
                <w:szCs w:val="20"/>
              </w:rPr>
              <w:t xml:space="preserve"> 33 </w:t>
            </w:r>
          </w:p>
        </w:tc>
        <w:tc>
          <w:tcPr>
            <w:tcW w:w="1614" w:type="dxa"/>
          </w:tcPr>
          <w:p w14:paraId="797103E3" w14:textId="77777777" w:rsidR="00B61209" w:rsidRPr="00EC02CA" w:rsidRDefault="00B61209" w:rsidP="00AB59E8">
            <w:pPr>
              <w:keepNext/>
              <w:keepLines/>
              <w:spacing w:before="60" w:after="60"/>
              <w:jc w:val="right"/>
              <w:rPr>
                <w:sz w:val="20"/>
              </w:rPr>
            </w:pPr>
            <w:r w:rsidRPr="00EC02CA">
              <w:rPr>
                <w:sz w:val="20"/>
                <w:szCs w:val="20"/>
              </w:rPr>
              <w:t xml:space="preserve"> 19,152 </w:t>
            </w:r>
          </w:p>
        </w:tc>
      </w:tr>
    </w:tbl>
    <w:bookmarkEnd w:id="501"/>
    <w:p w14:paraId="7AA47305" w14:textId="32723E96" w:rsidR="00B61209" w:rsidRPr="00EC02CA" w:rsidRDefault="00B61209" w:rsidP="00A920EC">
      <w:pPr>
        <w:spacing w:before="240"/>
      </w:pPr>
      <w:r w:rsidRPr="00EC02CA">
        <w:rPr>
          <w:b/>
          <w:bCs/>
        </w:rPr>
        <w:t xml:space="preserve">Table </w:t>
      </w:r>
      <w:r w:rsidR="00120BD7" w:rsidRPr="00EC02CA">
        <w:rPr>
          <w:b/>
          <w:bCs/>
        </w:rPr>
        <w:t>H</w:t>
      </w:r>
      <w:r w:rsidRPr="00EC02CA">
        <w:rPr>
          <w:b/>
          <w:bCs/>
        </w:rPr>
        <w:t>.</w:t>
      </w:r>
      <w:r w:rsidR="00E13A82" w:rsidRPr="00EC02CA">
        <w:rPr>
          <w:b/>
          <w:bCs/>
        </w:rPr>
        <w:t>2</w:t>
      </w:r>
      <w:r w:rsidRPr="00EC02CA">
        <w:t xml:space="preserve"> New conversations to the ARL for non-mandatory reports</w:t>
      </w:r>
      <w:r w:rsidR="00B7036C" w:rsidRPr="00EC02CA">
        <w:t>,</w:t>
      </w:r>
      <w:r w:rsidRPr="00EC02CA">
        <w:t xml:space="preserve"> by year and contact source</w:t>
      </w:r>
      <w:r w:rsidR="002C6851" w:rsidRPr="00EC02CA">
        <w:t>, 2020 to 2024</w:t>
      </w:r>
    </w:p>
    <w:tbl>
      <w:tblPr>
        <w:tblStyle w:val="TableGrid"/>
        <w:tblW w:w="0" w:type="auto"/>
        <w:tblInd w:w="-5" w:type="dxa"/>
        <w:tblLook w:val="04A0" w:firstRow="1" w:lastRow="0" w:firstColumn="1" w:lastColumn="0" w:noHBand="0" w:noVBand="1"/>
      </w:tblPr>
      <w:tblGrid>
        <w:gridCol w:w="1701"/>
        <w:gridCol w:w="1346"/>
        <w:gridCol w:w="1347"/>
        <w:gridCol w:w="1347"/>
        <w:gridCol w:w="1347"/>
        <w:gridCol w:w="1843"/>
      </w:tblGrid>
      <w:tr w:rsidR="00B61209" w:rsidRPr="00EC02CA" w14:paraId="5C6746BB" w14:textId="77777777" w:rsidTr="00A920EC">
        <w:tc>
          <w:tcPr>
            <w:tcW w:w="1701" w:type="dxa"/>
          </w:tcPr>
          <w:p w14:paraId="11DD7A6F" w14:textId="77777777" w:rsidR="00B61209" w:rsidRPr="00EC02CA" w:rsidRDefault="00B61209" w:rsidP="00A920EC">
            <w:pPr>
              <w:spacing w:before="60" w:after="60"/>
              <w:rPr>
                <w:b/>
                <w:bCs/>
                <w:sz w:val="20"/>
              </w:rPr>
            </w:pPr>
            <w:r w:rsidRPr="00EC02CA">
              <w:rPr>
                <w:b/>
                <w:bCs/>
                <w:sz w:val="20"/>
                <w:szCs w:val="20"/>
              </w:rPr>
              <w:t>Year</w:t>
            </w:r>
          </w:p>
        </w:tc>
        <w:tc>
          <w:tcPr>
            <w:tcW w:w="2693" w:type="dxa"/>
            <w:gridSpan w:val="2"/>
          </w:tcPr>
          <w:p w14:paraId="78AEB249" w14:textId="77777777" w:rsidR="00B61209" w:rsidRPr="00EC02CA" w:rsidRDefault="00B61209" w:rsidP="00A920EC">
            <w:pPr>
              <w:spacing w:before="60" w:after="60"/>
              <w:rPr>
                <w:b/>
                <w:bCs/>
                <w:sz w:val="20"/>
              </w:rPr>
            </w:pPr>
            <w:r w:rsidRPr="00EC02CA">
              <w:rPr>
                <w:b/>
                <w:bCs/>
                <w:sz w:val="20"/>
                <w:szCs w:val="20"/>
              </w:rPr>
              <w:t>Family members</w:t>
            </w:r>
          </w:p>
        </w:tc>
        <w:tc>
          <w:tcPr>
            <w:tcW w:w="2694" w:type="dxa"/>
            <w:gridSpan w:val="2"/>
          </w:tcPr>
          <w:p w14:paraId="60FAA30A" w14:textId="77777777" w:rsidR="00B61209" w:rsidRPr="00EC02CA" w:rsidRDefault="00B61209" w:rsidP="00A920EC">
            <w:pPr>
              <w:spacing w:before="60" w:after="60"/>
              <w:rPr>
                <w:b/>
                <w:bCs/>
                <w:sz w:val="20"/>
              </w:rPr>
            </w:pPr>
            <w:r w:rsidRPr="00EC02CA">
              <w:rPr>
                <w:b/>
                <w:bCs/>
                <w:sz w:val="20"/>
                <w:szCs w:val="20"/>
              </w:rPr>
              <w:t>Others</w:t>
            </w:r>
          </w:p>
        </w:tc>
        <w:tc>
          <w:tcPr>
            <w:tcW w:w="1843" w:type="dxa"/>
          </w:tcPr>
          <w:p w14:paraId="0A4D8EAD" w14:textId="581CDAF7" w:rsidR="00B61209" w:rsidRPr="00EC02CA" w:rsidRDefault="00B61209" w:rsidP="00A920EC">
            <w:pPr>
              <w:spacing w:before="60" w:after="60"/>
              <w:rPr>
                <w:b/>
                <w:bCs/>
                <w:sz w:val="20"/>
              </w:rPr>
            </w:pPr>
            <w:r w:rsidRPr="00EC02CA">
              <w:rPr>
                <w:b/>
                <w:bCs/>
                <w:sz w:val="20"/>
                <w:szCs w:val="20"/>
              </w:rPr>
              <w:t>Total</w:t>
            </w:r>
            <w:r w:rsidR="0031747A" w:rsidRPr="00EC02CA">
              <w:rPr>
                <w:b/>
                <w:bCs/>
                <w:sz w:val="20"/>
                <w:szCs w:val="20"/>
              </w:rPr>
              <w:t xml:space="preserve"> conversations</w:t>
            </w:r>
          </w:p>
        </w:tc>
      </w:tr>
      <w:tr w:rsidR="00B61209" w:rsidRPr="00EC02CA" w14:paraId="76330F8D" w14:textId="77777777" w:rsidTr="00A920EC">
        <w:tc>
          <w:tcPr>
            <w:tcW w:w="1701" w:type="dxa"/>
          </w:tcPr>
          <w:p w14:paraId="01116382" w14:textId="77777777" w:rsidR="00B61209" w:rsidRPr="00EC02CA" w:rsidRDefault="00B61209" w:rsidP="00A920EC">
            <w:pPr>
              <w:spacing w:before="60" w:after="60"/>
              <w:rPr>
                <w:sz w:val="20"/>
              </w:rPr>
            </w:pPr>
          </w:p>
        </w:tc>
        <w:tc>
          <w:tcPr>
            <w:tcW w:w="1346" w:type="dxa"/>
          </w:tcPr>
          <w:p w14:paraId="1323111A" w14:textId="77777777" w:rsidR="00B61209" w:rsidRPr="00EC02CA" w:rsidRDefault="00B61209" w:rsidP="00A920EC">
            <w:pPr>
              <w:spacing w:before="60" w:after="60"/>
              <w:jc w:val="right"/>
              <w:rPr>
                <w:sz w:val="20"/>
              </w:rPr>
            </w:pPr>
            <w:r w:rsidRPr="00EC02CA">
              <w:rPr>
                <w:sz w:val="20"/>
                <w:szCs w:val="20"/>
              </w:rPr>
              <w:t>No.</w:t>
            </w:r>
          </w:p>
        </w:tc>
        <w:tc>
          <w:tcPr>
            <w:tcW w:w="1347" w:type="dxa"/>
          </w:tcPr>
          <w:p w14:paraId="4353BFA1" w14:textId="77777777" w:rsidR="00B61209" w:rsidRPr="00EC02CA" w:rsidRDefault="00B61209" w:rsidP="00A920EC">
            <w:pPr>
              <w:spacing w:before="60" w:after="60"/>
              <w:jc w:val="right"/>
              <w:rPr>
                <w:sz w:val="20"/>
              </w:rPr>
            </w:pPr>
            <w:r w:rsidRPr="00EC02CA">
              <w:rPr>
                <w:sz w:val="20"/>
                <w:szCs w:val="20"/>
              </w:rPr>
              <w:t>%</w:t>
            </w:r>
          </w:p>
        </w:tc>
        <w:tc>
          <w:tcPr>
            <w:tcW w:w="1347" w:type="dxa"/>
          </w:tcPr>
          <w:p w14:paraId="7EEB56C4" w14:textId="77777777" w:rsidR="00B61209" w:rsidRPr="00EC02CA" w:rsidRDefault="00B61209" w:rsidP="00A920EC">
            <w:pPr>
              <w:spacing w:before="60" w:after="60"/>
              <w:jc w:val="right"/>
              <w:rPr>
                <w:sz w:val="20"/>
              </w:rPr>
            </w:pPr>
            <w:r w:rsidRPr="00EC02CA">
              <w:rPr>
                <w:sz w:val="20"/>
                <w:szCs w:val="20"/>
              </w:rPr>
              <w:t>No</w:t>
            </w:r>
          </w:p>
        </w:tc>
        <w:tc>
          <w:tcPr>
            <w:tcW w:w="1347" w:type="dxa"/>
          </w:tcPr>
          <w:p w14:paraId="256CAC78" w14:textId="77777777" w:rsidR="00B61209" w:rsidRPr="00EC02CA" w:rsidRDefault="00B61209" w:rsidP="00A920EC">
            <w:pPr>
              <w:spacing w:before="60" w:after="60"/>
              <w:jc w:val="right"/>
              <w:rPr>
                <w:sz w:val="20"/>
              </w:rPr>
            </w:pPr>
            <w:r w:rsidRPr="00EC02CA">
              <w:rPr>
                <w:sz w:val="20"/>
                <w:szCs w:val="20"/>
              </w:rPr>
              <w:t>%</w:t>
            </w:r>
          </w:p>
        </w:tc>
        <w:tc>
          <w:tcPr>
            <w:tcW w:w="1843" w:type="dxa"/>
          </w:tcPr>
          <w:p w14:paraId="55213675" w14:textId="77777777" w:rsidR="00B61209" w:rsidRPr="00EC02CA" w:rsidRDefault="00B61209" w:rsidP="00A920EC">
            <w:pPr>
              <w:spacing w:before="60" w:after="60"/>
              <w:jc w:val="right"/>
              <w:rPr>
                <w:sz w:val="20"/>
              </w:rPr>
            </w:pPr>
          </w:p>
        </w:tc>
      </w:tr>
      <w:tr w:rsidR="00B61209" w:rsidRPr="00EC02CA" w14:paraId="5B0EBEEB" w14:textId="77777777" w:rsidTr="00A920EC">
        <w:tc>
          <w:tcPr>
            <w:tcW w:w="1701" w:type="dxa"/>
          </w:tcPr>
          <w:p w14:paraId="1FE88764" w14:textId="77777777" w:rsidR="00B61209" w:rsidRPr="00EC02CA" w:rsidRDefault="00B61209" w:rsidP="00A920EC">
            <w:pPr>
              <w:spacing w:before="60" w:after="60"/>
              <w:rPr>
                <w:sz w:val="20"/>
              </w:rPr>
            </w:pPr>
            <w:r w:rsidRPr="00EC02CA">
              <w:rPr>
                <w:sz w:val="20"/>
                <w:szCs w:val="20"/>
              </w:rPr>
              <w:t>2020</w:t>
            </w:r>
          </w:p>
        </w:tc>
        <w:tc>
          <w:tcPr>
            <w:tcW w:w="1346" w:type="dxa"/>
          </w:tcPr>
          <w:p w14:paraId="369EC1D9" w14:textId="77777777" w:rsidR="00B61209" w:rsidRPr="00EC02CA" w:rsidRDefault="00B61209" w:rsidP="00A920EC">
            <w:pPr>
              <w:spacing w:before="60" w:after="60"/>
              <w:jc w:val="right"/>
              <w:rPr>
                <w:sz w:val="20"/>
              </w:rPr>
            </w:pPr>
            <w:r w:rsidRPr="00EC02CA">
              <w:rPr>
                <w:sz w:val="20"/>
                <w:szCs w:val="20"/>
              </w:rPr>
              <w:t xml:space="preserve"> 1,762 </w:t>
            </w:r>
          </w:p>
        </w:tc>
        <w:tc>
          <w:tcPr>
            <w:tcW w:w="1347" w:type="dxa"/>
          </w:tcPr>
          <w:p w14:paraId="037F765B" w14:textId="77777777" w:rsidR="00B61209" w:rsidRPr="00EC02CA" w:rsidRDefault="00B61209" w:rsidP="00A920EC">
            <w:pPr>
              <w:spacing w:before="60" w:after="60"/>
              <w:jc w:val="right"/>
              <w:rPr>
                <w:sz w:val="20"/>
              </w:rPr>
            </w:pPr>
            <w:r w:rsidRPr="00EC02CA">
              <w:rPr>
                <w:sz w:val="20"/>
                <w:szCs w:val="20"/>
              </w:rPr>
              <w:t xml:space="preserve"> 68 </w:t>
            </w:r>
          </w:p>
        </w:tc>
        <w:tc>
          <w:tcPr>
            <w:tcW w:w="1347" w:type="dxa"/>
          </w:tcPr>
          <w:p w14:paraId="4BEC3057" w14:textId="77777777" w:rsidR="00B61209" w:rsidRPr="00EC02CA" w:rsidRDefault="00B61209" w:rsidP="00A920EC">
            <w:pPr>
              <w:spacing w:before="60" w:after="60"/>
              <w:jc w:val="right"/>
              <w:rPr>
                <w:sz w:val="20"/>
              </w:rPr>
            </w:pPr>
            <w:r w:rsidRPr="00EC02CA">
              <w:rPr>
                <w:sz w:val="20"/>
                <w:szCs w:val="20"/>
              </w:rPr>
              <w:t xml:space="preserve"> 820 </w:t>
            </w:r>
          </w:p>
        </w:tc>
        <w:tc>
          <w:tcPr>
            <w:tcW w:w="1347" w:type="dxa"/>
          </w:tcPr>
          <w:p w14:paraId="3F0744AF" w14:textId="77777777" w:rsidR="00B61209" w:rsidRPr="00EC02CA" w:rsidRDefault="00B61209" w:rsidP="00A920EC">
            <w:pPr>
              <w:spacing w:before="60" w:after="60"/>
              <w:jc w:val="right"/>
              <w:rPr>
                <w:sz w:val="20"/>
              </w:rPr>
            </w:pPr>
            <w:r w:rsidRPr="00EC02CA">
              <w:rPr>
                <w:sz w:val="20"/>
                <w:szCs w:val="20"/>
              </w:rPr>
              <w:t xml:space="preserve"> 32 </w:t>
            </w:r>
          </w:p>
        </w:tc>
        <w:tc>
          <w:tcPr>
            <w:tcW w:w="1843" w:type="dxa"/>
          </w:tcPr>
          <w:p w14:paraId="14E2C791" w14:textId="77777777" w:rsidR="00B61209" w:rsidRPr="00EC02CA" w:rsidRDefault="00B61209" w:rsidP="00A920EC">
            <w:pPr>
              <w:spacing w:before="60" w:after="60"/>
              <w:jc w:val="right"/>
              <w:rPr>
                <w:sz w:val="20"/>
              </w:rPr>
            </w:pPr>
            <w:r w:rsidRPr="00EC02CA">
              <w:rPr>
                <w:sz w:val="20"/>
                <w:szCs w:val="20"/>
              </w:rPr>
              <w:t xml:space="preserve"> 2,582 </w:t>
            </w:r>
          </w:p>
        </w:tc>
      </w:tr>
      <w:tr w:rsidR="00B61209" w:rsidRPr="00EC02CA" w14:paraId="437F69B0" w14:textId="77777777" w:rsidTr="00A920EC">
        <w:tc>
          <w:tcPr>
            <w:tcW w:w="1701" w:type="dxa"/>
          </w:tcPr>
          <w:p w14:paraId="5FBF34E1" w14:textId="77777777" w:rsidR="00B61209" w:rsidRPr="00EC02CA" w:rsidRDefault="00B61209" w:rsidP="00A920EC">
            <w:pPr>
              <w:spacing w:before="60" w:after="60"/>
              <w:rPr>
                <w:sz w:val="20"/>
              </w:rPr>
            </w:pPr>
            <w:r w:rsidRPr="00EC02CA">
              <w:rPr>
                <w:sz w:val="20"/>
                <w:szCs w:val="20"/>
              </w:rPr>
              <w:t>2021</w:t>
            </w:r>
          </w:p>
        </w:tc>
        <w:tc>
          <w:tcPr>
            <w:tcW w:w="1346" w:type="dxa"/>
          </w:tcPr>
          <w:p w14:paraId="455C9113" w14:textId="77777777" w:rsidR="00B61209" w:rsidRPr="00EC02CA" w:rsidRDefault="00B61209" w:rsidP="00A920EC">
            <w:pPr>
              <w:spacing w:before="60" w:after="60"/>
              <w:jc w:val="right"/>
              <w:rPr>
                <w:sz w:val="20"/>
              </w:rPr>
            </w:pPr>
            <w:r w:rsidRPr="00EC02CA">
              <w:rPr>
                <w:sz w:val="20"/>
                <w:szCs w:val="20"/>
              </w:rPr>
              <w:t xml:space="preserve"> 1,848 </w:t>
            </w:r>
          </w:p>
        </w:tc>
        <w:tc>
          <w:tcPr>
            <w:tcW w:w="1347" w:type="dxa"/>
          </w:tcPr>
          <w:p w14:paraId="0B3670FA" w14:textId="77777777" w:rsidR="00B61209" w:rsidRPr="00EC02CA" w:rsidRDefault="00B61209" w:rsidP="00A920EC">
            <w:pPr>
              <w:spacing w:before="60" w:after="60"/>
              <w:jc w:val="right"/>
              <w:rPr>
                <w:sz w:val="20"/>
              </w:rPr>
            </w:pPr>
            <w:r w:rsidRPr="00EC02CA">
              <w:rPr>
                <w:sz w:val="20"/>
                <w:szCs w:val="20"/>
              </w:rPr>
              <w:t xml:space="preserve"> 67 </w:t>
            </w:r>
          </w:p>
        </w:tc>
        <w:tc>
          <w:tcPr>
            <w:tcW w:w="1347" w:type="dxa"/>
          </w:tcPr>
          <w:p w14:paraId="4298EFF3" w14:textId="77777777" w:rsidR="00B61209" w:rsidRPr="00EC02CA" w:rsidRDefault="00B61209" w:rsidP="00A920EC">
            <w:pPr>
              <w:spacing w:before="60" w:after="60"/>
              <w:jc w:val="right"/>
              <w:rPr>
                <w:sz w:val="20"/>
              </w:rPr>
            </w:pPr>
            <w:r w:rsidRPr="00EC02CA">
              <w:rPr>
                <w:sz w:val="20"/>
                <w:szCs w:val="20"/>
              </w:rPr>
              <w:t xml:space="preserve"> 890 </w:t>
            </w:r>
          </w:p>
        </w:tc>
        <w:tc>
          <w:tcPr>
            <w:tcW w:w="1347" w:type="dxa"/>
          </w:tcPr>
          <w:p w14:paraId="003A21E9" w14:textId="77777777" w:rsidR="00B61209" w:rsidRPr="00EC02CA" w:rsidRDefault="00B61209" w:rsidP="00A920EC">
            <w:pPr>
              <w:spacing w:before="60" w:after="60"/>
              <w:jc w:val="right"/>
              <w:rPr>
                <w:sz w:val="20"/>
              </w:rPr>
            </w:pPr>
            <w:r w:rsidRPr="00EC02CA">
              <w:rPr>
                <w:sz w:val="20"/>
                <w:szCs w:val="20"/>
              </w:rPr>
              <w:t xml:space="preserve"> 33 </w:t>
            </w:r>
          </w:p>
        </w:tc>
        <w:tc>
          <w:tcPr>
            <w:tcW w:w="1843" w:type="dxa"/>
          </w:tcPr>
          <w:p w14:paraId="513398F2" w14:textId="77777777" w:rsidR="00B61209" w:rsidRPr="00EC02CA" w:rsidRDefault="00B61209" w:rsidP="00A920EC">
            <w:pPr>
              <w:spacing w:before="60" w:after="60"/>
              <w:jc w:val="right"/>
              <w:rPr>
                <w:sz w:val="20"/>
              </w:rPr>
            </w:pPr>
            <w:r w:rsidRPr="00EC02CA">
              <w:rPr>
                <w:sz w:val="20"/>
                <w:szCs w:val="20"/>
              </w:rPr>
              <w:t xml:space="preserve"> 2,738 </w:t>
            </w:r>
          </w:p>
        </w:tc>
      </w:tr>
      <w:tr w:rsidR="00B61209" w:rsidRPr="00EC02CA" w14:paraId="3478FA55" w14:textId="77777777" w:rsidTr="00A920EC">
        <w:tc>
          <w:tcPr>
            <w:tcW w:w="1701" w:type="dxa"/>
          </w:tcPr>
          <w:p w14:paraId="0A064AC6" w14:textId="77777777" w:rsidR="00B61209" w:rsidRPr="00EC02CA" w:rsidRDefault="00B61209" w:rsidP="00A920EC">
            <w:pPr>
              <w:spacing w:before="60" w:after="60"/>
              <w:rPr>
                <w:sz w:val="20"/>
              </w:rPr>
            </w:pPr>
            <w:r w:rsidRPr="00EC02CA">
              <w:rPr>
                <w:sz w:val="20"/>
                <w:szCs w:val="20"/>
              </w:rPr>
              <w:t>2022</w:t>
            </w:r>
          </w:p>
        </w:tc>
        <w:tc>
          <w:tcPr>
            <w:tcW w:w="1346" w:type="dxa"/>
          </w:tcPr>
          <w:p w14:paraId="2E6F4C7F" w14:textId="77777777" w:rsidR="00B61209" w:rsidRPr="00EC02CA" w:rsidRDefault="00B61209" w:rsidP="00A920EC">
            <w:pPr>
              <w:spacing w:before="60" w:after="60"/>
              <w:jc w:val="right"/>
              <w:rPr>
                <w:sz w:val="20"/>
              </w:rPr>
            </w:pPr>
            <w:r w:rsidRPr="00EC02CA">
              <w:rPr>
                <w:sz w:val="20"/>
                <w:szCs w:val="20"/>
              </w:rPr>
              <w:t xml:space="preserve"> 1,866 </w:t>
            </w:r>
          </w:p>
        </w:tc>
        <w:tc>
          <w:tcPr>
            <w:tcW w:w="1347" w:type="dxa"/>
          </w:tcPr>
          <w:p w14:paraId="7ED6714F" w14:textId="77777777" w:rsidR="00B61209" w:rsidRPr="00EC02CA" w:rsidRDefault="00B61209" w:rsidP="00A920EC">
            <w:pPr>
              <w:spacing w:before="60" w:after="60"/>
              <w:jc w:val="right"/>
              <w:rPr>
                <w:sz w:val="20"/>
              </w:rPr>
            </w:pPr>
            <w:r w:rsidRPr="00EC02CA">
              <w:rPr>
                <w:sz w:val="20"/>
                <w:szCs w:val="20"/>
              </w:rPr>
              <w:t xml:space="preserve"> 69 </w:t>
            </w:r>
          </w:p>
        </w:tc>
        <w:tc>
          <w:tcPr>
            <w:tcW w:w="1347" w:type="dxa"/>
          </w:tcPr>
          <w:p w14:paraId="03C5E75A" w14:textId="77777777" w:rsidR="00B61209" w:rsidRPr="00EC02CA" w:rsidRDefault="00B61209" w:rsidP="00A920EC">
            <w:pPr>
              <w:spacing w:before="60" w:after="60"/>
              <w:jc w:val="right"/>
              <w:rPr>
                <w:sz w:val="20"/>
              </w:rPr>
            </w:pPr>
            <w:r w:rsidRPr="00EC02CA">
              <w:rPr>
                <w:sz w:val="20"/>
                <w:szCs w:val="20"/>
              </w:rPr>
              <w:t xml:space="preserve"> 828 </w:t>
            </w:r>
          </w:p>
        </w:tc>
        <w:tc>
          <w:tcPr>
            <w:tcW w:w="1347" w:type="dxa"/>
          </w:tcPr>
          <w:p w14:paraId="5A4920B7" w14:textId="77777777" w:rsidR="00B61209" w:rsidRPr="00EC02CA" w:rsidRDefault="00B61209" w:rsidP="00A920EC">
            <w:pPr>
              <w:spacing w:before="60" w:after="60"/>
              <w:jc w:val="right"/>
              <w:rPr>
                <w:sz w:val="20"/>
              </w:rPr>
            </w:pPr>
            <w:r w:rsidRPr="00EC02CA">
              <w:rPr>
                <w:sz w:val="20"/>
                <w:szCs w:val="20"/>
              </w:rPr>
              <w:t xml:space="preserve"> 31 </w:t>
            </w:r>
          </w:p>
        </w:tc>
        <w:tc>
          <w:tcPr>
            <w:tcW w:w="1843" w:type="dxa"/>
          </w:tcPr>
          <w:p w14:paraId="4278EF16" w14:textId="77777777" w:rsidR="00B61209" w:rsidRPr="00EC02CA" w:rsidRDefault="00B61209" w:rsidP="00A920EC">
            <w:pPr>
              <w:spacing w:before="60" w:after="60"/>
              <w:jc w:val="right"/>
              <w:rPr>
                <w:sz w:val="20"/>
              </w:rPr>
            </w:pPr>
            <w:r w:rsidRPr="00EC02CA">
              <w:rPr>
                <w:sz w:val="20"/>
                <w:szCs w:val="20"/>
              </w:rPr>
              <w:t xml:space="preserve"> 2,694 </w:t>
            </w:r>
          </w:p>
        </w:tc>
      </w:tr>
      <w:tr w:rsidR="00B61209" w:rsidRPr="00EC02CA" w14:paraId="615FD457" w14:textId="77777777" w:rsidTr="00A920EC">
        <w:tc>
          <w:tcPr>
            <w:tcW w:w="1701" w:type="dxa"/>
          </w:tcPr>
          <w:p w14:paraId="20285277" w14:textId="77777777" w:rsidR="00B61209" w:rsidRPr="00EC02CA" w:rsidRDefault="00B61209" w:rsidP="00A920EC">
            <w:pPr>
              <w:spacing w:before="60" w:after="60"/>
              <w:rPr>
                <w:sz w:val="20"/>
              </w:rPr>
            </w:pPr>
            <w:r w:rsidRPr="00EC02CA">
              <w:rPr>
                <w:sz w:val="20"/>
                <w:szCs w:val="20"/>
              </w:rPr>
              <w:t>2023</w:t>
            </w:r>
          </w:p>
        </w:tc>
        <w:tc>
          <w:tcPr>
            <w:tcW w:w="1346" w:type="dxa"/>
          </w:tcPr>
          <w:p w14:paraId="45F072ED" w14:textId="77777777" w:rsidR="00B61209" w:rsidRPr="00EC02CA" w:rsidRDefault="00B61209" w:rsidP="00A920EC">
            <w:pPr>
              <w:spacing w:before="60" w:after="60"/>
              <w:jc w:val="right"/>
              <w:rPr>
                <w:sz w:val="20"/>
              </w:rPr>
            </w:pPr>
            <w:r w:rsidRPr="00EC02CA">
              <w:rPr>
                <w:sz w:val="20"/>
                <w:szCs w:val="20"/>
              </w:rPr>
              <w:t xml:space="preserve"> 1,960 </w:t>
            </w:r>
          </w:p>
        </w:tc>
        <w:tc>
          <w:tcPr>
            <w:tcW w:w="1347" w:type="dxa"/>
          </w:tcPr>
          <w:p w14:paraId="3475C3D1" w14:textId="77777777" w:rsidR="00B61209" w:rsidRPr="00EC02CA" w:rsidRDefault="00B61209" w:rsidP="00A920EC">
            <w:pPr>
              <w:spacing w:before="60" w:after="60"/>
              <w:jc w:val="right"/>
              <w:rPr>
                <w:sz w:val="20"/>
              </w:rPr>
            </w:pPr>
            <w:r w:rsidRPr="00EC02CA">
              <w:rPr>
                <w:sz w:val="20"/>
                <w:szCs w:val="20"/>
              </w:rPr>
              <w:t xml:space="preserve"> 66 </w:t>
            </w:r>
          </w:p>
        </w:tc>
        <w:tc>
          <w:tcPr>
            <w:tcW w:w="1347" w:type="dxa"/>
          </w:tcPr>
          <w:p w14:paraId="24E5FAF9" w14:textId="77777777" w:rsidR="00B61209" w:rsidRPr="00EC02CA" w:rsidRDefault="00B61209" w:rsidP="00A920EC">
            <w:pPr>
              <w:spacing w:before="60" w:after="60"/>
              <w:jc w:val="right"/>
              <w:rPr>
                <w:sz w:val="20"/>
              </w:rPr>
            </w:pPr>
            <w:r w:rsidRPr="00EC02CA">
              <w:rPr>
                <w:sz w:val="20"/>
                <w:szCs w:val="20"/>
              </w:rPr>
              <w:t xml:space="preserve"> 1,028 </w:t>
            </w:r>
          </w:p>
        </w:tc>
        <w:tc>
          <w:tcPr>
            <w:tcW w:w="1347" w:type="dxa"/>
          </w:tcPr>
          <w:p w14:paraId="25D9F854" w14:textId="77777777" w:rsidR="00B61209" w:rsidRPr="00EC02CA" w:rsidRDefault="00B61209" w:rsidP="00A920EC">
            <w:pPr>
              <w:spacing w:before="60" w:after="60"/>
              <w:jc w:val="right"/>
              <w:rPr>
                <w:sz w:val="20"/>
              </w:rPr>
            </w:pPr>
            <w:r w:rsidRPr="00EC02CA">
              <w:rPr>
                <w:sz w:val="20"/>
                <w:szCs w:val="20"/>
              </w:rPr>
              <w:t xml:space="preserve"> 34 </w:t>
            </w:r>
          </w:p>
        </w:tc>
        <w:tc>
          <w:tcPr>
            <w:tcW w:w="1843" w:type="dxa"/>
          </w:tcPr>
          <w:p w14:paraId="36186823" w14:textId="77777777" w:rsidR="00B61209" w:rsidRPr="00EC02CA" w:rsidRDefault="00B61209" w:rsidP="00A920EC">
            <w:pPr>
              <w:spacing w:before="60" w:after="60"/>
              <w:jc w:val="right"/>
              <w:rPr>
                <w:sz w:val="20"/>
              </w:rPr>
            </w:pPr>
            <w:r w:rsidRPr="00EC02CA">
              <w:rPr>
                <w:sz w:val="20"/>
                <w:szCs w:val="20"/>
              </w:rPr>
              <w:t xml:space="preserve"> 2,988 </w:t>
            </w:r>
          </w:p>
        </w:tc>
      </w:tr>
      <w:tr w:rsidR="00B61209" w:rsidRPr="00EC02CA" w14:paraId="271E5097" w14:textId="77777777" w:rsidTr="00A920EC">
        <w:tc>
          <w:tcPr>
            <w:tcW w:w="1701" w:type="dxa"/>
          </w:tcPr>
          <w:p w14:paraId="3461EE57" w14:textId="77777777" w:rsidR="00B61209" w:rsidRPr="00EC02CA" w:rsidRDefault="00B61209" w:rsidP="00A920EC">
            <w:pPr>
              <w:spacing w:before="60" w:after="60"/>
              <w:rPr>
                <w:sz w:val="20"/>
              </w:rPr>
            </w:pPr>
            <w:r w:rsidRPr="00EC02CA">
              <w:rPr>
                <w:sz w:val="20"/>
                <w:szCs w:val="20"/>
              </w:rPr>
              <w:t>2024</w:t>
            </w:r>
          </w:p>
        </w:tc>
        <w:tc>
          <w:tcPr>
            <w:tcW w:w="1346" w:type="dxa"/>
          </w:tcPr>
          <w:p w14:paraId="2C014631" w14:textId="77777777" w:rsidR="00B61209" w:rsidRPr="00EC02CA" w:rsidRDefault="00B61209" w:rsidP="00A920EC">
            <w:pPr>
              <w:spacing w:before="60" w:after="60"/>
              <w:jc w:val="right"/>
              <w:rPr>
                <w:sz w:val="20"/>
              </w:rPr>
            </w:pPr>
            <w:r w:rsidRPr="00EC02CA">
              <w:rPr>
                <w:sz w:val="20"/>
                <w:szCs w:val="20"/>
              </w:rPr>
              <w:t xml:space="preserve"> 1,829 </w:t>
            </w:r>
          </w:p>
        </w:tc>
        <w:tc>
          <w:tcPr>
            <w:tcW w:w="1347" w:type="dxa"/>
          </w:tcPr>
          <w:p w14:paraId="47EE7D53" w14:textId="77777777" w:rsidR="00B61209" w:rsidRPr="00EC02CA" w:rsidRDefault="00B61209" w:rsidP="00A920EC">
            <w:pPr>
              <w:spacing w:before="60" w:after="60"/>
              <w:jc w:val="right"/>
              <w:rPr>
                <w:sz w:val="20"/>
              </w:rPr>
            </w:pPr>
            <w:r w:rsidRPr="00EC02CA">
              <w:rPr>
                <w:sz w:val="20"/>
                <w:szCs w:val="20"/>
              </w:rPr>
              <w:t xml:space="preserve"> 64 </w:t>
            </w:r>
          </w:p>
        </w:tc>
        <w:tc>
          <w:tcPr>
            <w:tcW w:w="1347" w:type="dxa"/>
          </w:tcPr>
          <w:p w14:paraId="234AA37C" w14:textId="77777777" w:rsidR="00B61209" w:rsidRPr="00EC02CA" w:rsidRDefault="00B61209" w:rsidP="00A920EC">
            <w:pPr>
              <w:spacing w:before="60" w:after="60"/>
              <w:jc w:val="right"/>
              <w:rPr>
                <w:sz w:val="20"/>
              </w:rPr>
            </w:pPr>
            <w:r w:rsidRPr="00EC02CA">
              <w:rPr>
                <w:sz w:val="20"/>
                <w:szCs w:val="20"/>
              </w:rPr>
              <w:t xml:space="preserve"> 1,016 </w:t>
            </w:r>
          </w:p>
        </w:tc>
        <w:tc>
          <w:tcPr>
            <w:tcW w:w="1347" w:type="dxa"/>
          </w:tcPr>
          <w:p w14:paraId="016E86B8" w14:textId="77777777" w:rsidR="00B61209" w:rsidRPr="00EC02CA" w:rsidRDefault="00B61209" w:rsidP="00A920EC">
            <w:pPr>
              <w:spacing w:before="60" w:after="60"/>
              <w:jc w:val="right"/>
              <w:rPr>
                <w:sz w:val="20"/>
              </w:rPr>
            </w:pPr>
            <w:r w:rsidRPr="00EC02CA">
              <w:rPr>
                <w:sz w:val="20"/>
                <w:szCs w:val="20"/>
              </w:rPr>
              <w:t xml:space="preserve"> 36 </w:t>
            </w:r>
          </w:p>
        </w:tc>
        <w:tc>
          <w:tcPr>
            <w:tcW w:w="1843" w:type="dxa"/>
          </w:tcPr>
          <w:p w14:paraId="0832FCF1" w14:textId="77777777" w:rsidR="00B61209" w:rsidRPr="00EC02CA" w:rsidRDefault="00B61209" w:rsidP="00A920EC">
            <w:pPr>
              <w:spacing w:before="60" w:after="60"/>
              <w:jc w:val="right"/>
              <w:rPr>
                <w:sz w:val="20"/>
              </w:rPr>
            </w:pPr>
            <w:r w:rsidRPr="00EC02CA">
              <w:rPr>
                <w:sz w:val="20"/>
                <w:szCs w:val="20"/>
              </w:rPr>
              <w:t xml:space="preserve"> 2,845 </w:t>
            </w:r>
          </w:p>
        </w:tc>
      </w:tr>
    </w:tbl>
    <w:p w14:paraId="1659C3BB" w14:textId="63D7CE7E" w:rsidR="00B11D58" w:rsidRPr="00EC02CA" w:rsidRDefault="00D06F7B" w:rsidP="00A920EC">
      <w:pPr>
        <w:spacing w:before="240"/>
      </w:pPr>
      <w:r w:rsidRPr="00EC02CA">
        <w:rPr>
          <w:b/>
          <w:bCs/>
        </w:rPr>
        <w:t xml:space="preserve">Table </w:t>
      </w:r>
      <w:r w:rsidR="00120BD7" w:rsidRPr="00EC02CA">
        <w:rPr>
          <w:b/>
          <w:bCs/>
        </w:rPr>
        <w:t>H</w:t>
      </w:r>
      <w:r w:rsidRPr="00EC02CA">
        <w:rPr>
          <w:b/>
          <w:bCs/>
        </w:rPr>
        <w:t>.</w:t>
      </w:r>
      <w:r w:rsidR="00E13A82" w:rsidRPr="00EC02CA">
        <w:rPr>
          <w:b/>
          <w:bCs/>
        </w:rPr>
        <w:t>3</w:t>
      </w:r>
      <w:r w:rsidRPr="00EC02CA">
        <w:t xml:space="preserve"> Percent of incidents by age group of persons believed responsible</w:t>
      </w:r>
      <w:r w:rsidR="0031747A" w:rsidRPr="00EC02CA">
        <w:t>, 202</w:t>
      </w:r>
      <w:r w:rsidR="00A24556" w:rsidRPr="00EC02CA">
        <w:t>0 to 2024</w:t>
      </w:r>
    </w:p>
    <w:tbl>
      <w:tblPr>
        <w:tblStyle w:val="TableGrid"/>
        <w:tblW w:w="8931" w:type="dxa"/>
        <w:tblInd w:w="-5" w:type="dxa"/>
        <w:tblLook w:val="04A0" w:firstRow="1" w:lastRow="0" w:firstColumn="1" w:lastColumn="0" w:noHBand="0" w:noVBand="1"/>
      </w:tblPr>
      <w:tblGrid>
        <w:gridCol w:w="2088"/>
        <w:gridCol w:w="2196"/>
        <w:gridCol w:w="2196"/>
        <w:gridCol w:w="2451"/>
      </w:tblGrid>
      <w:tr w:rsidR="0031747A" w:rsidRPr="00EC02CA" w14:paraId="28852EB8" w14:textId="0DA04A9F" w:rsidTr="00A920EC">
        <w:tc>
          <w:tcPr>
            <w:tcW w:w="2088" w:type="dxa"/>
          </w:tcPr>
          <w:p w14:paraId="3591B37A" w14:textId="2386F8FA" w:rsidR="0031747A" w:rsidRPr="00EC02CA" w:rsidRDefault="0031747A" w:rsidP="00A920EC">
            <w:pPr>
              <w:spacing w:before="60" w:after="60"/>
              <w:jc w:val="center"/>
              <w:rPr>
                <w:b/>
                <w:bCs/>
                <w:sz w:val="20"/>
              </w:rPr>
            </w:pPr>
            <w:r w:rsidRPr="00EC02CA">
              <w:rPr>
                <w:b/>
                <w:bCs/>
                <w:sz w:val="20"/>
                <w:szCs w:val="20"/>
              </w:rPr>
              <w:t>&lt;10 years</w:t>
            </w:r>
          </w:p>
        </w:tc>
        <w:tc>
          <w:tcPr>
            <w:tcW w:w="2196" w:type="dxa"/>
          </w:tcPr>
          <w:p w14:paraId="319F23EA" w14:textId="1227B0D4" w:rsidR="0031747A" w:rsidRPr="00EC02CA" w:rsidRDefault="0031747A" w:rsidP="00A920EC">
            <w:pPr>
              <w:spacing w:before="60" w:after="60"/>
              <w:jc w:val="center"/>
              <w:rPr>
                <w:b/>
                <w:bCs/>
                <w:sz w:val="20"/>
              </w:rPr>
            </w:pPr>
            <w:r w:rsidRPr="00EC02CA">
              <w:rPr>
                <w:b/>
                <w:bCs/>
                <w:sz w:val="20"/>
                <w:szCs w:val="20"/>
              </w:rPr>
              <w:t>10 to 17 years</w:t>
            </w:r>
          </w:p>
        </w:tc>
        <w:tc>
          <w:tcPr>
            <w:tcW w:w="2196" w:type="dxa"/>
          </w:tcPr>
          <w:p w14:paraId="4131A49F" w14:textId="7846A78D" w:rsidR="0031747A" w:rsidRPr="00EC02CA" w:rsidRDefault="0031747A" w:rsidP="00A920EC">
            <w:pPr>
              <w:spacing w:before="60" w:after="60"/>
              <w:jc w:val="center"/>
              <w:rPr>
                <w:b/>
                <w:bCs/>
                <w:sz w:val="20"/>
              </w:rPr>
            </w:pPr>
            <w:r w:rsidRPr="00EC02CA">
              <w:rPr>
                <w:b/>
                <w:bCs/>
                <w:sz w:val="20"/>
                <w:szCs w:val="20"/>
              </w:rPr>
              <w:t>18+ years</w:t>
            </w:r>
          </w:p>
        </w:tc>
        <w:tc>
          <w:tcPr>
            <w:tcW w:w="2451" w:type="dxa"/>
          </w:tcPr>
          <w:p w14:paraId="595B723A" w14:textId="211B803B" w:rsidR="0031747A" w:rsidRPr="00EC02CA" w:rsidRDefault="0031747A" w:rsidP="00A920EC">
            <w:pPr>
              <w:spacing w:before="60" w:after="60"/>
              <w:jc w:val="center"/>
              <w:rPr>
                <w:b/>
                <w:bCs/>
                <w:sz w:val="20"/>
              </w:rPr>
            </w:pPr>
            <w:r w:rsidRPr="00EC02CA">
              <w:rPr>
                <w:b/>
                <w:bCs/>
                <w:sz w:val="20"/>
                <w:szCs w:val="20"/>
              </w:rPr>
              <w:t>Total incidents</w:t>
            </w:r>
          </w:p>
        </w:tc>
      </w:tr>
      <w:tr w:rsidR="0031747A" w:rsidRPr="00EC02CA" w14:paraId="28E8EC27" w14:textId="243A8A20" w:rsidTr="00A920EC">
        <w:tc>
          <w:tcPr>
            <w:tcW w:w="2088" w:type="dxa"/>
          </w:tcPr>
          <w:p w14:paraId="6E798457" w14:textId="5F795CDA" w:rsidR="0031747A" w:rsidRPr="00EC02CA" w:rsidRDefault="00A24556" w:rsidP="00A920EC">
            <w:pPr>
              <w:spacing w:before="60" w:after="60"/>
              <w:jc w:val="right"/>
              <w:rPr>
                <w:sz w:val="20"/>
              </w:rPr>
            </w:pPr>
            <w:r w:rsidRPr="00EC02CA">
              <w:rPr>
                <w:sz w:val="20"/>
                <w:szCs w:val="20"/>
              </w:rPr>
              <w:t>0.2%</w:t>
            </w:r>
          </w:p>
        </w:tc>
        <w:tc>
          <w:tcPr>
            <w:tcW w:w="2196" w:type="dxa"/>
          </w:tcPr>
          <w:p w14:paraId="46D6E083" w14:textId="34059EE2" w:rsidR="0031747A" w:rsidRPr="00EC02CA" w:rsidRDefault="00A24556" w:rsidP="00A920EC">
            <w:pPr>
              <w:spacing w:before="60" w:after="60"/>
              <w:jc w:val="right"/>
              <w:rPr>
                <w:sz w:val="20"/>
              </w:rPr>
            </w:pPr>
            <w:r w:rsidRPr="00EC02CA">
              <w:rPr>
                <w:sz w:val="20"/>
                <w:szCs w:val="20"/>
              </w:rPr>
              <w:t>13.5%</w:t>
            </w:r>
          </w:p>
        </w:tc>
        <w:tc>
          <w:tcPr>
            <w:tcW w:w="2196" w:type="dxa"/>
          </w:tcPr>
          <w:p w14:paraId="3C6FD270" w14:textId="69650BF6" w:rsidR="0031747A" w:rsidRPr="00EC02CA" w:rsidRDefault="00A24556" w:rsidP="00A920EC">
            <w:pPr>
              <w:spacing w:before="60" w:after="60"/>
              <w:jc w:val="right"/>
              <w:rPr>
                <w:sz w:val="20"/>
              </w:rPr>
            </w:pPr>
            <w:r w:rsidRPr="00EC02CA">
              <w:rPr>
                <w:sz w:val="20"/>
                <w:szCs w:val="20"/>
              </w:rPr>
              <w:t>88.5%</w:t>
            </w:r>
          </w:p>
        </w:tc>
        <w:tc>
          <w:tcPr>
            <w:tcW w:w="2451" w:type="dxa"/>
          </w:tcPr>
          <w:p w14:paraId="74D1B8C6" w14:textId="691994FB" w:rsidR="0031747A" w:rsidRPr="00EC02CA" w:rsidRDefault="00A24556" w:rsidP="00A920EC">
            <w:pPr>
              <w:spacing w:before="60" w:after="60"/>
              <w:jc w:val="right"/>
              <w:rPr>
                <w:sz w:val="20"/>
              </w:rPr>
            </w:pPr>
            <w:r w:rsidRPr="00EC02CA">
              <w:rPr>
                <w:sz w:val="20"/>
                <w:szCs w:val="20"/>
              </w:rPr>
              <w:t>14</w:t>
            </w:r>
            <w:r w:rsidR="009757DD" w:rsidRPr="00EC02CA">
              <w:rPr>
                <w:sz w:val="20"/>
                <w:szCs w:val="20"/>
              </w:rPr>
              <w:t>,181</w:t>
            </w:r>
          </w:p>
        </w:tc>
      </w:tr>
    </w:tbl>
    <w:p w14:paraId="48D532EF" w14:textId="77777777" w:rsidR="00CE1A08" w:rsidRPr="00EC02CA" w:rsidRDefault="00CE1A08" w:rsidP="00CE1A08"/>
    <w:p w14:paraId="31D04100" w14:textId="70B77375" w:rsidR="009757DD" w:rsidRPr="00EC02CA" w:rsidRDefault="009757DD" w:rsidP="00A920EC">
      <w:r w:rsidRPr="00EC02CA">
        <w:t>Notes:</w:t>
      </w:r>
    </w:p>
    <w:p w14:paraId="5D328636" w14:textId="77777777" w:rsidR="00AD0256" w:rsidRPr="00EC02CA" w:rsidRDefault="009757DD" w:rsidP="00A920EC">
      <w:pPr>
        <w:pStyle w:val="DotPointTLRI"/>
      </w:pPr>
      <w:r w:rsidRPr="00EC02CA">
        <w:t>Data for persons believed responsible can only be recorded for incidents as the system for recording conversations is not designed for such reporting.</w:t>
      </w:r>
    </w:p>
    <w:p w14:paraId="413DEAF0" w14:textId="77777777" w:rsidR="00AD0256" w:rsidRPr="00EC02CA" w:rsidRDefault="00AD0256" w:rsidP="00A920EC">
      <w:pPr>
        <w:pStyle w:val="DotPointTLRI"/>
      </w:pPr>
      <w:r w:rsidRPr="00EC02CA">
        <w:t>Incidents relate to individual children and therefore cannot be compared to conversations.</w:t>
      </w:r>
    </w:p>
    <w:p w14:paraId="3E1884D7" w14:textId="77777777" w:rsidR="00E862E9" w:rsidRPr="00EC02CA" w:rsidRDefault="00AD0256" w:rsidP="00A920EC">
      <w:pPr>
        <w:pStyle w:val="DotPointTLRI"/>
      </w:pPr>
      <w:r w:rsidRPr="00EC02CA">
        <w:t>Where there are multiple persons believed responsible in the same age group for an incident, the incident will only be counted once in that age group.</w:t>
      </w:r>
    </w:p>
    <w:p w14:paraId="7DB4DB87" w14:textId="15755FE4" w:rsidR="00E862E9" w:rsidRPr="00EC02CA" w:rsidRDefault="00E862E9" w:rsidP="00A920EC">
      <w:pPr>
        <w:pStyle w:val="DotPointTLRI"/>
      </w:pPr>
      <w:r w:rsidRPr="00EC02CA">
        <w:t xml:space="preserve">Percentages </w:t>
      </w:r>
      <w:r w:rsidR="002F5665" w:rsidRPr="00EC02CA">
        <w:t xml:space="preserve">do not </w:t>
      </w:r>
      <w:r w:rsidRPr="00EC02CA">
        <w:t>sum to 100.0% where a single incident has persons believed responsible in different age groups.</w:t>
      </w:r>
    </w:p>
    <w:p w14:paraId="35EF2E42" w14:textId="5240D4CA" w:rsidR="00E862E9" w:rsidRPr="00EC02CA" w:rsidRDefault="00E862E9" w:rsidP="00A920EC">
      <w:pPr>
        <w:pStyle w:val="DotPointTLRI"/>
      </w:pPr>
      <w:r w:rsidRPr="00EC02CA">
        <w:t>Th</w:t>
      </w:r>
      <w:r w:rsidR="002F5665" w:rsidRPr="00EC02CA">
        <w:t>ese</w:t>
      </w:r>
      <w:r w:rsidRPr="00EC02CA">
        <w:t xml:space="preserve"> data </w:t>
      </w:r>
      <w:r w:rsidR="002F5665" w:rsidRPr="00EC02CA">
        <w:t xml:space="preserve">are </w:t>
      </w:r>
      <w:r w:rsidRPr="00EC02CA">
        <w:t>limited to incidents where the age of persons believed responsible is recorded.</w:t>
      </w:r>
    </w:p>
    <w:p w14:paraId="29D5D918" w14:textId="0239F7D4" w:rsidR="009E4473" w:rsidRPr="00EC02CA" w:rsidRDefault="00E862E9" w:rsidP="00A920EC">
      <w:pPr>
        <w:pStyle w:val="DotPointTLRI"/>
      </w:pPr>
      <w:r w:rsidRPr="00EC02CA">
        <w:t>Th</w:t>
      </w:r>
      <w:r w:rsidR="002F5665" w:rsidRPr="00EC02CA">
        <w:t>ese</w:t>
      </w:r>
      <w:r w:rsidRPr="00EC02CA">
        <w:t xml:space="preserve"> data </w:t>
      </w:r>
      <w:r w:rsidR="002F5665" w:rsidRPr="00EC02CA">
        <w:t xml:space="preserve">are </w:t>
      </w:r>
      <w:r w:rsidRPr="00EC02CA">
        <w:t>for incidents with an allegation status of alleged, confirmed (ie the harm or risk was confirmed), or where the status was not recorded.</w:t>
      </w:r>
    </w:p>
    <w:p w14:paraId="5106882F" w14:textId="70CF45B7" w:rsidR="00B61209" w:rsidRPr="00EC02CA" w:rsidRDefault="009E4473" w:rsidP="00A920EC">
      <w:pPr>
        <w:pStyle w:val="DotPointTLRI"/>
        <w:rPr>
          <w:b/>
          <w:bCs/>
        </w:rPr>
      </w:pPr>
      <w:r w:rsidRPr="00EC02CA">
        <w:t xml:space="preserve">A person believed responsible with an initial allegation status of </w:t>
      </w:r>
      <w:r w:rsidR="007565FC" w:rsidRPr="00EC02CA">
        <w:t>‘</w:t>
      </w:r>
      <w:r w:rsidRPr="00EC02CA">
        <w:t>alleged</w:t>
      </w:r>
      <w:r w:rsidR="007565FC" w:rsidRPr="00EC02CA">
        <w:t>’</w:t>
      </w:r>
      <w:r w:rsidRPr="00EC02CA">
        <w:t xml:space="preserve"> that was updated to </w:t>
      </w:r>
      <w:r w:rsidR="007565FC" w:rsidRPr="00EC02CA">
        <w:t>‘</w:t>
      </w:r>
      <w:r w:rsidRPr="00EC02CA">
        <w:t>not confirmed</w:t>
      </w:r>
      <w:r w:rsidR="007565FC" w:rsidRPr="00EC02CA">
        <w:t>’</w:t>
      </w:r>
      <w:r w:rsidRPr="00EC02CA">
        <w:t xml:space="preserve"> during the child safety assessment (ie the harm or risk was confirmed to not have occurred by that person) is included.</w:t>
      </w:r>
    </w:p>
    <w:p w14:paraId="57788159" w14:textId="77777777" w:rsidR="006E28D9" w:rsidRPr="00EC02CA" w:rsidRDefault="006E28D9" w:rsidP="00BB5C16">
      <w:pPr>
        <w:sectPr w:rsidR="006E28D9" w:rsidRPr="00EC02CA" w:rsidSect="0037247A">
          <w:headerReference w:type="default" r:id="rId61"/>
          <w:pgSz w:w="11906" w:h="16838"/>
          <w:pgMar w:top="1440" w:right="1440" w:bottom="1440" w:left="1440" w:header="708" w:footer="708" w:gutter="0"/>
          <w:cols w:space="708"/>
          <w:docGrid w:linePitch="360"/>
        </w:sectPr>
      </w:pPr>
    </w:p>
    <w:p w14:paraId="65D464A9" w14:textId="0FEBCDE4" w:rsidR="006D0EB8" w:rsidRPr="00EC02CA" w:rsidRDefault="00BB5C16" w:rsidP="00063DED">
      <w:pPr>
        <w:pStyle w:val="ExecSummaryandAppendixHeading"/>
      </w:pPr>
      <w:bookmarkStart w:id="502" w:name="_Toc211849482"/>
      <w:bookmarkStart w:id="503" w:name="_Toc218157385"/>
      <w:r w:rsidRPr="00EC02CA">
        <w:t xml:space="preserve">Appendix </w:t>
      </w:r>
      <w:r w:rsidR="00107939" w:rsidRPr="00EC02CA">
        <w:t>I</w:t>
      </w:r>
      <w:r w:rsidRPr="00EC02CA">
        <w:t>: Jurisdiction of courts and availability of diversionary procedures for sexual offences where the offender is under 18 at the time of the alleged offence</w:t>
      </w:r>
      <w:bookmarkEnd w:id="502"/>
      <w:bookmarkEnd w:id="503"/>
    </w:p>
    <w:p w14:paraId="38FDBF6C" w14:textId="5AB274C4" w:rsidR="00773141" w:rsidRPr="00EC02CA" w:rsidRDefault="00773141" w:rsidP="00773141">
      <w:r w:rsidRPr="00EC02CA">
        <w:rPr>
          <w:b/>
          <w:bCs/>
        </w:rPr>
        <w:t xml:space="preserve">Table </w:t>
      </w:r>
      <w:r w:rsidR="00107939" w:rsidRPr="00EC02CA">
        <w:rPr>
          <w:b/>
          <w:bCs/>
        </w:rPr>
        <w:t>I</w:t>
      </w:r>
      <w:r w:rsidRPr="00EC02CA">
        <w:rPr>
          <w:b/>
          <w:bCs/>
        </w:rPr>
        <w:t xml:space="preserve">.1 </w:t>
      </w:r>
      <w:r w:rsidRPr="00EC02CA">
        <w:t>Jurisdiction of courts and availability of diversionary procedures for sexual offences where the offender is under 18 at the time of the alleged offence</w:t>
      </w:r>
    </w:p>
    <w:tbl>
      <w:tblPr>
        <w:tblStyle w:val="TableGrid"/>
        <w:tblW w:w="0" w:type="auto"/>
        <w:tblLook w:val="04A0" w:firstRow="1" w:lastRow="0" w:firstColumn="1" w:lastColumn="0" w:noHBand="0" w:noVBand="1"/>
      </w:tblPr>
      <w:tblGrid>
        <w:gridCol w:w="1838"/>
        <w:gridCol w:w="6055"/>
        <w:gridCol w:w="6055"/>
      </w:tblGrid>
      <w:tr w:rsidR="006D0EB8" w:rsidRPr="00EC02CA" w14:paraId="0DA28CF8" w14:textId="77777777" w:rsidTr="00A920EC">
        <w:trPr>
          <w:tblHeader/>
        </w:trPr>
        <w:tc>
          <w:tcPr>
            <w:tcW w:w="1838" w:type="dxa"/>
          </w:tcPr>
          <w:p w14:paraId="2026A640"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Jurisdiction</w:t>
            </w:r>
          </w:p>
        </w:tc>
        <w:tc>
          <w:tcPr>
            <w:tcW w:w="6055" w:type="dxa"/>
          </w:tcPr>
          <w:p w14:paraId="05C4AC96"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Description</w:t>
            </w:r>
          </w:p>
        </w:tc>
        <w:tc>
          <w:tcPr>
            <w:tcW w:w="6055" w:type="dxa"/>
          </w:tcPr>
          <w:p w14:paraId="3D9B65F0" w14:textId="509E1FE3"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Legislation/policy/guidelines</w:t>
            </w:r>
          </w:p>
        </w:tc>
      </w:tr>
      <w:tr w:rsidR="006D0EB8" w:rsidRPr="00EC02CA" w14:paraId="1BB98247" w14:textId="77777777" w:rsidTr="00A920EC">
        <w:tc>
          <w:tcPr>
            <w:tcW w:w="1838" w:type="dxa"/>
            <w:vMerge w:val="restart"/>
          </w:tcPr>
          <w:p w14:paraId="0ECD3369" w14:textId="16A52BF5" w:rsidR="006D0EB8" w:rsidRPr="00EC02CA" w:rsidRDefault="006D0EB8" w:rsidP="00A920EC">
            <w:pPr>
              <w:spacing w:before="60" w:after="60"/>
              <w:jc w:val="left"/>
              <w:rPr>
                <w:rFonts w:cs="Times New Roman"/>
                <w:sz w:val="20"/>
                <w:szCs w:val="20"/>
              </w:rPr>
            </w:pPr>
            <w:r w:rsidRPr="00EC02CA">
              <w:rPr>
                <w:rFonts w:cs="Times New Roman"/>
                <w:sz w:val="20"/>
                <w:szCs w:val="20"/>
              </w:rPr>
              <w:t>Victoria</w:t>
            </w:r>
          </w:p>
        </w:tc>
        <w:tc>
          <w:tcPr>
            <w:tcW w:w="6055" w:type="dxa"/>
          </w:tcPr>
          <w:p w14:paraId="7139FB57"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5DD2E159" w14:textId="677E8E8D" w:rsidR="006D0EB8" w:rsidRPr="00EC02CA" w:rsidRDefault="006D0EB8" w:rsidP="00A920EC">
            <w:pPr>
              <w:spacing w:before="60" w:after="60"/>
              <w:jc w:val="left"/>
              <w:rPr>
                <w:rFonts w:cs="Times New Roman"/>
                <w:b/>
                <w:bCs/>
                <w:sz w:val="20"/>
                <w:szCs w:val="20"/>
              </w:rPr>
            </w:pPr>
            <w:r w:rsidRPr="00EC02CA">
              <w:rPr>
                <w:rFonts w:cs="Times New Roman"/>
                <w:sz w:val="20"/>
                <w:szCs w:val="20"/>
              </w:rPr>
              <w:t>Power of police to issue a caution</w:t>
            </w:r>
          </w:p>
        </w:tc>
        <w:tc>
          <w:tcPr>
            <w:tcW w:w="6055" w:type="dxa"/>
          </w:tcPr>
          <w:p w14:paraId="0C468FA7" w14:textId="77777777" w:rsidR="00800DB9" w:rsidRPr="00EC02CA" w:rsidRDefault="006D0EB8" w:rsidP="00A920EC">
            <w:pPr>
              <w:spacing w:before="60" w:after="60"/>
              <w:jc w:val="left"/>
              <w:rPr>
                <w:rFonts w:cs="Times New Roman"/>
                <w:sz w:val="20"/>
                <w:szCs w:val="20"/>
              </w:rPr>
            </w:pPr>
            <w:r w:rsidRPr="00EC02CA">
              <w:rPr>
                <w:rFonts w:cs="Times New Roman"/>
                <w:sz w:val="20"/>
                <w:szCs w:val="20"/>
              </w:rPr>
              <w:t>Youth Diversion statement</w:t>
            </w:r>
          </w:p>
          <w:p w14:paraId="7E1C09A4" w14:textId="4C690FB3" w:rsidR="006D0EB8" w:rsidRPr="00EC02CA" w:rsidRDefault="006D0EB8" w:rsidP="00A920EC">
            <w:pPr>
              <w:spacing w:before="60" w:after="60"/>
              <w:jc w:val="left"/>
              <w:rPr>
                <w:rFonts w:cs="Times New Roman"/>
                <w:sz w:val="20"/>
                <w:szCs w:val="20"/>
              </w:rPr>
            </w:pPr>
            <w:r w:rsidRPr="00EC02CA">
              <w:rPr>
                <w:rFonts w:cs="Times New Roman"/>
                <w:sz w:val="20"/>
                <w:szCs w:val="20"/>
              </w:rPr>
              <w:t>&lt;</w:t>
            </w:r>
            <w:r w:rsidR="00D33760" w:rsidRPr="00AB59E8">
              <w:t>https://files.justice.vic.gov.au/2022-03/Youth-diversion-statement.pdf</w:t>
            </w:r>
            <w:r w:rsidRPr="00EC02CA">
              <w:rPr>
                <w:rFonts w:cs="Times New Roman"/>
                <w:sz w:val="20"/>
                <w:szCs w:val="20"/>
              </w:rPr>
              <w:t>&gt;</w:t>
            </w:r>
          </w:p>
          <w:p w14:paraId="78346F05"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Common law power</w:t>
            </w:r>
          </w:p>
          <w:p w14:paraId="7DB48754" w14:textId="5298C281" w:rsidR="006D0EB8" w:rsidRPr="00EC02CA" w:rsidRDefault="006D0EB8" w:rsidP="00A920EC">
            <w:pPr>
              <w:spacing w:before="60" w:after="60"/>
              <w:jc w:val="left"/>
              <w:rPr>
                <w:rFonts w:cs="Times New Roman"/>
                <w:sz w:val="20"/>
                <w:szCs w:val="20"/>
              </w:rPr>
            </w:pPr>
            <w:r w:rsidRPr="00EC02CA">
              <w:rPr>
                <w:rFonts w:cs="Times New Roman"/>
                <w:sz w:val="20"/>
                <w:szCs w:val="20"/>
              </w:rPr>
              <w:t>A caution can only be given if the young person admits an offence. The Victorian Police Manual sets out criteria including that:</w:t>
            </w:r>
          </w:p>
          <w:p w14:paraId="11B8AEC2" w14:textId="23452111" w:rsidR="006D0EB8" w:rsidRPr="00EC02CA" w:rsidRDefault="00F14E8C" w:rsidP="00A920EC">
            <w:pPr>
              <w:pStyle w:val="ListParagraph"/>
              <w:numPr>
                <w:ilvl w:val="0"/>
                <w:numId w:val="23"/>
              </w:numPr>
              <w:spacing w:before="60" w:after="60"/>
              <w:jc w:val="left"/>
              <w:rPr>
                <w:rFonts w:cs="Times New Roman"/>
                <w:sz w:val="20"/>
                <w:szCs w:val="20"/>
              </w:rPr>
            </w:pPr>
            <w:r>
              <w:rPr>
                <w:rFonts w:cs="Times New Roman"/>
                <w:sz w:val="20"/>
                <w:szCs w:val="20"/>
              </w:rPr>
              <w:t>there is s</w:t>
            </w:r>
            <w:r w:rsidR="006D0EB8" w:rsidRPr="00EC02CA">
              <w:rPr>
                <w:rFonts w:cs="Times New Roman"/>
                <w:sz w:val="20"/>
                <w:szCs w:val="20"/>
              </w:rPr>
              <w:t>ufficient admissible evidence to establish the offence</w:t>
            </w:r>
            <w:r>
              <w:rPr>
                <w:rFonts w:cs="Times New Roman"/>
                <w:sz w:val="20"/>
                <w:szCs w:val="20"/>
              </w:rPr>
              <w:t>;</w:t>
            </w:r>
          </w:p>
          <w:p w14:paraId="366045AC" w14:textId="36227ACF" w:rsidR="004E6834" w:rsidRPr="00EC02CA" w:rsidRDefault="00F14E8C" w:rsidP="00A920EC">
            <w:pPr>
              <w:pStyle w:val="ListParagraph"/>
              <w:numPr>
                <w:ilvl w:val="0"/>
                <w:numId w:val="23"/>
              </w:numPr>
              <w:spacing w:before="60" w:after="60"/>
              <w:jc w:val="left"/>
              <w:rPr>
                <w:rFonts w:cs="Times New Roman"/>
                <w:sz w:val="20"/>
                <w:szCs w:val="20"/>
              </w:rPr>
            </w:pPr>
            <w:r>
              <w:rPr>
                <w:rFonts w:cs="Times New Roman"/>
                <w:sz w:val="20"/>
                <w:szCs w:val="20"/>
              </w:rPr>
              <w:t>t</w:t>
            </w:r>
            <w:r w:rsidR="006D0EB8" w:rsidRPr="00EC02CA">
              <w:rPr>
                <w:rFonts w:cs="Times New Roman"/>
                <w:sz w:val="20"/>
                <w:szCs w:val="20"/>
              </w:rPr>
              <w:t>he young person admits the offence.</w:t>
            </w:r>
          </w:p>
          <w:p w14:paraId="03ED115F"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Other factors are: the seriousness of the offence, the child and the victim’s circumstances, how much damage or injury the child caused and whether a caution would act as a deterrent.</w:t>
            </w:r>
          </w:p>
          <w:p w14:paraId="7F5930FE" w14:textId="2B3E62D2" w:rsidR="006D0EB8" w:rsidRPr="00EC02CA" w:rsidRDefault="006D0EB8" w:rsidP="00A920EC">
            <w:pPr>
              <w:spacing w:before="60" w:after="60"/>
              <w:jc w:val="left"/>
              <w:rPr>
                <w:rFonts w:cs="Times New Roman"/>
                <w:sz w:val="20"/>
                <w:szCs w:val="20"/>
              </w:rPr>
            </w:pPr>
            <w:r w:rsidRPr="00EC02CA">
              <w:rPr>
                <w:rFonts w:cs="Times New Roman"/>
                <w:sz w:val="20"/>
                <w:szCs w:val="20"/>
              </w:rPr>
              <w:t>There is no prohibition on a caution being issued for sexual offences.</w:t>
            </w:r>
            <w:r w:rsidR="00E85CFF" w:rsidRPr="00EC02CA">
              <w:rPr>
                <w:rFonts w:cs="Times New Roman"/>
                <w:sz w:val="20"/>
                <w:szCs w:val="20"/>
              </w:rPr>
              <w:t xml:space="preserve"> However, only caution for sexual offences in exceptional circumstances.</w:t>
            </w:r>
          </w:p>
        </w:tc>
      </w:tr>
      <w:tr w:rsidR="006D0EB8" w:rsidRPr="00EC02CA" w14:paraId="49CED128" w14:textId="77777777" w:rsidTr="00A920EC">
        <w:tc>
          <w:tcPr>
            <w:tcW w:w="1838" w:type="dxa"/>
            <w:vMerge/>
          </w:tcPr>
          <w:p w14:paraId="36C796F7" w14:textId="77777777" w:rsidR="006D0EB8" w:rsidRPr="00EC02CA" w:rsidRDefault="006D0EB8" w:rsidP="00A920EC">
            <w:pPr>
              <w:spacing w:before="60" w:after="60"/>
              <w:jc w:val="left"/>
              <w:rPr>
                <w:rFonts w:cs="Times New Roman"/>
                <w:sz w:val="20"/>
                <w:szCs w:val="20"/>
              </w:rPr>
            </w:pPr>
          </w:p>
        </w:tc>
        <w:tc>
          <w:tcPr>
            <w:tcW w:w="6055" w:type="dxa"/>
          </w:tcPr>
          <w:p w14:paraId="2727FCBE" w14:textId="5A365BE4"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5F949B12" w14:textId="42B30FF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2A5A53B9" w14:textId="2120B9B5" w:rsidR="006D0EB8" w:rsidRPr="00EC02CA" w:rsidRDefault="006D0EB8" w:rsidP="00A920EC">
            <w:pPr>
              <w:spacing w:before="60" w:after="60"/>
              <w:jc w:val="left"/>
              <w:rPr>
                <w:rFonts w:cs="Times New Roman"/>
                <w:sz w:val="20"/>
                <w:szCs w:val="20"/>
              </w:rPr>
            </w:pPr>
            <w:r w:rsidRPr="00EC02CA">
              <w:rPr>
                <w:rFonts w:cs="Times New Roman"/>
                <w:sz w:val="20"/>
                <w:szCs w:val="20"/>
              </w:rPr>
              <w:t>Criminal: Children’s Court (Criminal Division) has power to hear sexual offences against a child)</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s 516</w:t>
            </w:r>
            <w:r w:rsidR="0089316B" w:rsidRPr="00EC02CA">
              <w:rPr>
                <w:rFonts w:cs="Times New Roman"/>
                <w:sz w:val="20"/>
                <w:szCs w:val="20"/>
              </w:rPr>
              <w:t>.</w:t>
            </w:r>
          </w:p>
          <w:p w14:paraId="5BB09174" w14:textId="03708867" w:rsidR="006D0EB8" w:rsidRPr="00EC02CA" w:rsidRDefault="006D0EB8" w:rsidP="00A920EC">
            <w:pPr>
              <w:spacing w:before="60" w:after="60"/>
              <w:jc w:val="left"/>
              <w:rPr>
                <w:rFonts w:cs="Times New Roman"/>
                <w:sz w:val="20"/>
                <w:szCs w:val="20"/>
              </w:rPr>
            </w:pPr>
            <w:r w:rsidRPr="00EC02CA">
              <w:rPr>
                <w:rFonts w:cs="Times New Roman"/>
                <w:sz w:val="20"/>
                <w:szCs w:val="20"/>
              </w:rPr>
              <w:t>For a young person 16 or older, the court must consider whether the charge is unsuitable to be heard and determined summarily for rape and rape compelling sexual penetration</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s</w:t>
            </w:r>
            <w:r w:rsidR="0089316B" w:rsidRPr="00EC02CA">
              <w:rPr>
                <w:rFonts w:cs="Times New Roman"/>
                <w:sz w:val="20"/>
                <w:szCs w:val="20"/>
              </w:rPr>
              <w:t>s</w:t>
            </w:r>
            <w:r w:rsidRPr="00EC02CA">
              <w:rPr>
                <w:rFonts w:cs="Times New Roman"/>
                <w:sz w:val="20"/>
                <w:szCs w:val="20"/>
              </w:rPr>
              <w:t xml:space="preserve"> 3(1), 356(3), </w:t>
            </w:r>
            <w:r w:rsidR="0089316B" w:rsidRPr="00EC02CA">
              <w:rPr>
                <w:rFonts w:cs="Times New Roman"/>
                <w:sz w:val="20"/>
                <w:szCs w:val="20"/>
              </w:rPr>
              <w:t>356</w:t>
            </w:r>
            <w:r w:rsidRPr="00EC02CA">
              <w:rPr>
                <w:rFonts w:cs="Times New Roman"/>
                <w:sz w:val="20"/>
                <w:szCs w:val="20"/>
              </w:rPr>
              <w:t>(8).</w:t>
            </w:r>
          </w:p>
          <w:p w14:paraId="7A98CB9A" w14:textId="1B2CD976" w:rsidR="006D0EB8" w:rsidRPr="00EC02CA" w:rsidRDefault="006D0EB8" w:rsidP="00A920EC">
            <w:pPr>
              <w:spacing w:before="60" w:after="60"/>
              <w:jc w:val="left"/>
              <w:rPr>
                <w:rFonts w:cs="Times New Roman"/>
                <w:sz w:val="20"/>
                <w:szCs w:val="20"/>
              </w:rPr>
            </w:pPr>
            <w:r w:rsidRPr="00EC02CA">
              <w:rPr>
                <w:rFonts w:cs="Times New Roman"/>
                <w:sz w:val="20"/>
                <w:szCs w:val="20"/>
              </w:rPr>
              <w:t>The court may also order uplift to a higher court if exceptional circumstances exists for any young person for any indicatable offence</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s 356(3)(b).</w:t>
            </w:r>
          </w:p>
          <w:p w14:paraId="54EE2224" w14:textId="1C29881B"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05CEB63D" w14:textId="7F810754" w:rsidR="006D0EB8" w:rsidRPr="00EC02CA" w:rsidRDefault="006D0EB8" w:rsidP="00A920EC">
            <w:pPr>
              <w:spacing w:before="60" w:after="60"/>
              <w:jc w:val="left"/>
              <w:rPr>
                <w:rFonts w:cs="Times New Roman"/>
                <w:sz w:val="20"/>
                <w:szCs w:val="20"/>
              </w:rPr>
            </w:pPr>
            <w:r w:rsidRPr="00EC02CA">
              <w:rPr>
                <w:rFonts w:cs="Times New Roman"/>
                <w:sz w:val="20"/>
                <w:szCs w:val="20"/>
              </w:rPr>
              <w:t>The court has the power to adjourn the matter if a child has exhibited sexually abusive behaviour and will voluntarily participate in a therapeutic treatment program</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s 354A. If satisfactory completion, the court must discharge.</w:t>
            </w:r>
          </w:p>
          <w:p w14:paraId="66320631" w14:textId="54EF9BA9" w:rsidR="006D0EB8" w:rsidRPr="00EC02CA" w:rsidRDefault="006D0EB8" w:rsidP="00A920EC">
            <w:pPr>
              <w:spacing w:before="60" w:after="60"/>
              <w:jc w:val="left"/>
              <w:rPr>
                <w:rFonts w:cs="Times New Roman"/>
                <w:sz w:val="20"/>
                <w:szCs w:val="20"/>
              </w:rPr>
            </w:pPr>
            <w:r w:rsidRPr="00EC02CA">
              <w:rPr>
                <w:rFonts w:cs="Times New Roman"/>
                <w:sz w:val="20"/>
                <w:szCs w:val="20"/>
              </w:rPr>
              <w:t>If there are criminal proceedings, the court may refer to the Secretary for investigation about making a TTO</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s 349(2).</w:t>
            </w:r>
          </w:p>
          <w:p w14:paraId="1BCE2AB2" w14:textId="1A8F3171" w:rsidR="006D0EB8" w:rsidRPr="00EC02CA" w:rsidRDefault="006D0EB8" w:rsidP="00A920EC">
            <w:pPr>
              <w:spacing w:before="60" w:after="60"/>
              <w:jc w:val="left"/>
              <w:rPr>
                <w:rFonts w:cs="Times New Roman"/>
                <w:sz w:val="20"/>
                <w:szCs w:val="20"/>
              </w:rPr>
            </w:pPr>
            <w:r w:rsidRPr="00EC02CA">
              <w:rPr>
                <w:rFonts w:cs="Times New Roman"/>
                <w:sz w:val="20"/>
                <w:szCs w:val="20"/>
              </w:rPr>
              <w:t>A TTO can only be made by the Family Division of the Children’s Court (</w:t>
            </w:r>
            <w:r w:rsidR="0089316B" w:rsidRPr="00EC02CA">
              <w:rPr>
                <w:rFonts w:cs="Times New Roman"/>
                <w:sz w:val="20"/>
                <w:szCs w:val="20"/>
              </w:rPr>
              <w:t xml:space="preserve">CYFA </w:t>
            </w:r>
            <w:r w:rsidRPr="00EC02CA">
              <w:rPr>
                <w:rFonts w:cs="Times New Roman"/>
                <w:sz w:val="20"/>
                <w:szCs w:val="20"/>
              </w:rPr>
              <w:t>s</w:t>
            </w:r>
            <w:r w:rsidR="0089316B" w:rsidRPr="00EC02CA">
              <w:rPr>
                <w:rFonts w:cs="Times New Roman"/>
                <w:sz w:val="20"/>
                <w:szCs w:val="20"/>
              </w:rPr>
              <w:t>s</w:t>
            </w:r>
            <w:r w:rsidRPr="00EC02CA">
              <w:rPr>
                <w:rFonts w:cs="Times New Roman"/>
                <w:sz w:val="20"/>
                <w:szCs w:val="20"/>
              </w:rPr>
              <w:t xml:space="preserve"> 252–254), but the </w:t>
            </w:r>
            <w:r w:rsidR="000110B0" w:rsidRPr="00EC02CA">
              <w:rPr>
                <w:rFonts w:cs="Times New Roman"/>
                <w:sz w:val="20"/>
                <w:szCs w:val="20"/>
              </w:rPr>
              <w:t>C</w:t>
            </w:r>
            <w:r w:rsidRPr="00EC02CA">
              <w:rPr>
                <w:rFonts w:cs="Times New Roman"/>
                <w:sz w:val="20"/>
                <w:szCs w:val="20"/>
              </w:rPr>
              <w:t xml:space="preserve">riminal </w:t>
            </w:r>
            <w:r w:rsidR="000110B0" w:rsidRPr="00EC02CA">
              <w:rPr>
                <w:rFonts w:cs="Times New Roman"/>
                <w:sz w:val="20"/>
                <w:szCs w:val="20"/>
              </w:rPr>
              <w:t>D</w:t>
            </w:r>
            <w:r w:rsidRPr="00EC02CA">
              <w:rPr>
                <w:rFonts w:cs="Times New Roman"/>
                <w:sz w:val="20"/>
                <w:szCs w:val="20"/>
              </w:rPr>
              <w:t>ivision may refer a matter and if a TTO is made, then the criminal proceedings are adjourned for at least the length of the TTO</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 xml:space="preserve">s 352. The </w:t>
            </w:r>
            <w:r w:rsidR="000110B0" w:rsidRPr="00EC02CA">
              <w:rPr>
                <w:rFonts w:cs="Times New Roman"/>
                <w:sz w:val="20"/>
                <w:szCs w:val="20"/>
              </w:rPr>
              <w:t>C</w:t>
            </w:r>
            <w:r w:rsidRPr="00EC02CA">
              <w:rPr>
                <w:rFonts w:cs="Times New Roman"/>
                <w:sz w:val="20"/>
                <w:szCs w:val="20"/>
              </w:rPr>
              <w:t xml:space="preserve">riminal </w:t>
            </w:r>
            <w:r w:rsidR="000110B0" w:rsidRPr="00EC02CA">
              <w:rPr>
                <w:rFonts w:cs="Times New Roman"/>
                <w:sz w:val="20"/>
                <w:szCs w:val="20"/>
              </w:rPr>
              <w:t xml:space="preserve">Division </w:t>
            </w:r>
            <w:r w:rsidRPr="00EC02CA">
              <w:rPr>
                <w:rFonts w:cs="Times New Roman"/>
                <w:sz w:val="20"/>
                <w:szCs w:val="20"/>
              </w:rPr>
              <w:t>retains judicial oversight to monitor the child’s engagement</w:t>
            </w:r>
            <w:r w:rsidR="001873D2" w:rsidRPr="00EC02CA">
              <w:rPr>
                <w:rFonts w:cs="Times New Roman"/>
                <w:sz w:val="20"/>
                <w:szCs w:val="20"/>
              </w:rPr>
              <w:t>:</w:t>
            </w:r>
            <w:r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s 352A. If satisfactory completion, then must discharge</w:t>
            </w:r>
            <w:r w:rsidR="001873D2" w:rsidRPr="00EC02CA">
              <w:rPr>
                <w:rFonts w:cs="Times New Roman"/>
                <w:sz w:val="20"/>
                <w:szCs w:val="20"/>
              </w:rPr>
              <w:t xml:space="preserve">: </w:t>
            </w:r>
            <w:r w:rsidR="0089316B" w:rsidRPr="00EC02CA">
              <w:rPr>
                <w:rFonts w:cs="Times New Roman"/>
                <w:sz w:val="20"/>
                <w:szCs w:val="20"/>
              </w:rPr>
              <w:t xml:space="preserve">CYFA </w:t>
            </w:r>
            <w:r w:rsidR="001873D2" w:rsidRPr="00EC02CA">
              <w:rPr>
                <w:rFonts w:cs="Times New Roman"/>
                <w:sz w:val="20"/>
                <w:szCs w:val="20"/>
              </w:rPr>
              <w:t xml:space="preserve">s </w:t>
            </w:r>
            <w:r w:rsidRPr="00EC02CA">
              <w:rPr>
                <w:rFonts w:cs="Times New Roman"/>
                <w:sz w:val="20"/>
                <w:szCs w:val="20"/>
              </w:rPr>
              <w:t>353</w:t>
            </w:r>
            <w:r w:rsidR="001873D2" w:rsidRPr="00EC02CA">
              <w:rPr>
                <w:rFonts w:cs="Times New Roman"/>
                <w:sz w:val="20"/>
                <w:szCs w:val="20"/>
              </w:rPr>
              <w:t>.</w:t>
            </w:r>
            <w:r w:rsidRPr="00EC02CA">
              <w:rPr>
                <w:rStyle w:val="FootnoteReference"/>
                <w:sz w:val="20"/>
                <w:szCs w:val="20"/>
              </w:rPr>
              <w:footnoteReference w:id="966"/>
            </w:r>
          </w:p>
          <w:p w14:paraId="2FAC5A52" w14:textId="5AD819FB" w:rsidR="006D0EB8" w:rsidRPr="00EC02CA" w:rsidRDefault="006D0EB8" w:rsidP="00A920EC">
            <w:pPr>
              <w:spacing w:before="60" w:after="60"/>
              <w:jc w:val="left"/>
              <w:rPr>
                <w:rFonts w:cs="Times New Roman"/>
                <w:sz w:val="20"/>
                <w:szCs w:val="20"/>
              </w:rPr>
            </w:pPr>
            <w:r w:rsidRPr="00EC02CA">
              <w:rPr>
                <w:rFonts w:cs="Times New Roman"/>
                <w:sz w:val="20"/>
                <w:szCs w:val="20"/>
              </w:rPr>
              <w:t>Before plea, the court also has power to divert a young person to participate in a diversion program for sexual offences provided the offence is not punishable by a minimum or fixed sentence</w:t>
            </w:r>
            <w:r w:rsidR="001873D2" w:rsidRPr="00EC02CA">
              <w:rPr>
                <w:rFonts w:cs="Times New Roman"/>
                <w:sz w:val="20"/>
                <w:szCs w:val="20"/>
              </w:rPr>
              <w:t>:</w:t>
            </w:r>
            <w:r w:rsidRPr="00EC02CA">
              <w:rPr>
                <w:rFonts w:cs="Times New Roman"/>
                <w:sz w:val="20"/>
                <w:szCs w:val="20"/>
              </w:rPr>
              <w:t xml:space="preserve"> s 356B. This requires the child to accept responsibility for the offence (but this is not a plea of guilty)</w:t>
            </w:r>
            <w:r w:rsidR="001873D2" w:rsidRPr="00EC02CA">
              <w:rPr>
                <w:rFonts w:cs="Times New Roman"/>
                <w:sz w:val="20"/>
                <w:szCs w:val="20"/>
              </w:rPr>
              <w:t xml:space="preserve">: </w:t>
            </w:r>
            <w:r w:rsidR="0089316B" w:rsidRPr="00EC02CA">
              <w:rPr>
                <w:rFonts w:cs="Times New Roman"/>
                <w:sz w:val="20"/>
                <w:szCs w:val="20"/>
              </w:rPr>
              <w:t xml:space="preserve">CYFA </w:t>
            </w:r>
            <w:r w:rsidRPr="00EC02CA">
              <w:rPr>
                <w:rFonts w:cs="Times New Roman"/>
                <w:sz w:val="20"/>
                <w:szCs w:val="20"/>
              </w:rPr>
              <w:t xml:space="preserve">s 356E. </w:t>
            </w:r>
            <w:r w:rsidR="001873D2" w:rsidRPr="00EC02CA">
              <w:rPr>
                <w:rFonts w:cs="Times New Roman"/>
                <w:sz w:val="20"/>
                <w:szCs w:val="20"/>
              </w:rPr>
              <w:t>Also s</w:t>
            </w:r>
            <w:r w:rsidRPr="00EC02CA">
              <w:rPr>
                <w:rFonts w:cs="Times New Roman"/>
                <w:sz w:val="20"/>
                <w:szCs w:val="20"/>
              </w:rPr>
              <w:t xml:space="preserve">ee </w:t>
            </w:r>
            <w:r w:rsidR="0089316B" w:rsidRPr="00EC02CA">
              <w:rPr>
                <w:rFonts w:cs="Times New Roman"/>
                <w:sz w:val="20"/>
                <w:szCs w:val="20"/>
              </w:rPr>
              <w:t xml:space="preserve">CYFA </w:t>
            </w:r>
            <w:r w:rsidR="001873D2" w:rsidRPr="00EC02CA">
              <w:rPr>
                <w:rFonts w:cs="Times New Roman"/>
                <w:sz w:val="20"/>
                <w:szCs w:val="20"/>
              </w:rPr>
              <w:t xml:space="preserve">ss </w:t>
            </w:r>
            <w:r w:rsidRPr="00EC02CA">
              <w:rPr>
                <w:rFonts w:cs="Times New Roman"/>
                <w:sz w:val="20"/>
                <w:szCs w:val="20"/>
              </w:rPr>
              <w:t xml:space="preserve">356B– </w:t>
            </w:r>
            <w:r w:rsidR="001873D2" w:rsidRPr="00EC02CA">
              <w:rPr>
                <w:rFonts w:cs="Times New Roman"/>
                <w:sz w:val="20"/>
                <w:szCs w:val="20"/>
              </w:rPr>
              <w:t>365</w:t>
            </w:r>
            <w:r w:rsidRPr="00EC02CA">
              <w:rPr>
                <w:rFonts w:cs="Times New Roman"/>
                <w:sz w:val="20"/>
                <w:szCs w:val="20"/>
              </w:rPr>
              <w:t>K.</w:t>
            </w:r>
          </w:p>
          <w:p w14:paraId="5FDEE8C9" w14:textId="2F69A068" w:rsidR="006D0EB8" w:rsidRPr="00EC02CA" w:rsidRDefault="006D0EB8" w:rsidP="00A920EC">
            <w:pPr>
              <w:spacing w:before="60" w:after="60"/>
              <w:jc w:val="left"/>
              <w:rPr>
                <w:rFonts w:cs="Times New Roman"/>
                <w:sz w:val="20"/>
                <w:szCs w:val="20"/>
              </w:rPr>
            </w:pPr>
            <w:r w:rsidRPr="00EC02CA">
              <w:rPr>
                <w:rFonts w:cs="Times New Roman"/>
                <w:sz w:val="20"/>
                <w:szCs w:val="20"/>
              </w:rPr>
              <w:t>Group conferencing is a post</w:t>
            </w:r>
            <w:r w:rsidR="00E2715C" w:rsidRPr="00EC02CA">
              <w:rPr>
                <w:rFonts w:cs="Times New Roman"/>
                <w:sz w:val="20"/>
                <w:szCs w:val="20"/>
              </w:rPr>
              <w:t>-</w:t>
            </w:r>
            <w:r w:rsidRPr="00EC02CA">
              <w:rPr>
                <w:rFonts w:cs="Times New Roman"/>
                <w:sz w:val="20"/>
                <w:szCs w:val="20"/>
              </w:rPr>
              <w:t>plea option that can be made following a finding of guilt or a plea of guilty as a part of a deferral of sentence. This is not available for sexual offences.</w:t>
            </w:r>
            <w:r w:rsidRPr="00EC02CA">
              <w:rPr>
                <w:rStyle w:val="FootnoteReference"/>
                <w:sz w:val="20"/>
                <w:szCs w:val="20"/>
              </w:rPr>
              <w:t xml:space="preserve"> </w:t>
            </w:r>
            <w:r w:rsidRPr="00EC02CA">
              <w:rPr>
                <w:rStyle w:val="FootnoteReference"/>
                <w:sz w:val="20"/>
                <w:szCs w:val="20"/>
              </w:rPr>
              <w:footnoteReference w:id="967"/>
            </w:r>
          </w:p>
        </w:tc>
        <w:tc>
          <w:tcPr>
            <w:tcW w:w="6055" w:type="dxa"/>
          </w:tcPr>
          <w:p w14:paraId="05954042" w14:textId="41604958" w:rsidR="006D0EB8" w:rsidRPr="00EC02CA" w:rsidRDefault="006D0EB8" w:rsidP="00A920EC">
            <w:pPr>
              <w:spacing w:before="60" w:after="60"/>
              <w:jc w:val="left"/>
              <w:rPr>
                <w:rFonts w:cs="Times New Roman"/>
                <w:sz w:val="20"/>
                <w:szCs w:val="20"/>
              </w:rPr>
            </w:pPr>
            <w:r w:rsidRPr="00EC02CA">
              <w:rPr>
                <w:rFonts w:cs="Times New Roman"/>
                <w:i/>
                <w:iCs/>
                <w:sz w:val="20"/>
                <w:szCs w:val="20"/>
              </w:rPr>
              <w:t>Children, Youth and Families Act 2005</w:t>
            </w:r>
            <w:r w:rsidRPr="00EC02CA">
              <w:rPr>
                <w:rFonts w:cs="Times New Roman"/>
                <w:sz w:val="20"/>
                <w:szCs w:val="20"/>
              </w:rPr>
              <w:t xml:space="preserve"> (Vic)</w:t>
            </w:r>
            <w:r w:rsidR="0089316B" w:rsidRPr="00EC02CA">
              <w:rPr>
                <w:rFonts w:cs="Times New Roman"/>
                <w:sz w:val="20"/>
                <w:szCs w:val="20"/>
              </w:rPr>
              <w:t xml:space="preserve"> (</w:t>
            </w:r>
            <w:r w:rsidR="00135672" w:rsidRPr="00EC02CA">
              <w:rPr>
                <w:rFonts w:cs="Times New Roman"/>
                <w:sz w:val="20"/>
                <w:szCs w:val="20"/>
              </w:rPr>
              <w:t>‘</w:t>
            </w:r>
            <w:r w:rsidR="0089316B" w:rsidRPr="00EC02CA">
              <w:rPr>
                <w:rFonts w:cs="Times New Roman"/>
                <w:sz w:val="20"/>
                <w:szCs w:val="20"/>
              </w:rPr>
              <w:t>CYFA</w:t>
            </w:r>
            <w:r w:rsidR="00135672" w:rsidRPr="00EC02CA">
              <w:rPr>
                <w:rFonts w:cs="Times New Roman"/>
                <w:sz w:val="20"/>
                <w:szCs w:val="20"/>
              </w:rPr>
              <w:t>’</w:t>
            </w:r>
            <w:r w:rsidR="0089316B" w:rsidRPr="00EC02CA">
              <w:rPr>
                <w:rFonts w:cs="Times New Roman"/>
                <w:sz w:val="20"/>
                <w:szCs w:val="20"/>
              </w:rPr>
              <w:t>)</w:t>
            </w:r>
          </w:p>
        </w:tc>
      </w:tr>
      <w:tr w:rsidR="006D0EB8" w:rsidRPr="00EC02CA" w14:paraId="1CEA0F80" w14:textId="77777777" w:rsidTr="00A920EC">
        <w:tc>
          <w:tcPr>
            <w:tcW w:w="1838" w:type="dxa"/>
            <w:vMerge w:val="restart"/>
          </w:tcPr>
          <w:p w14:paraId="1E3AD9AE"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New South Wales</w:t>
            </w:r>
          </w:p>
        </w:tc>
        <w:tc>
          <w:tcPr>
            <w:tcW w:w="6055" w:type="dxa"/>
          </w:tcPr>
          <w:p w14:paraId="52BD9C23"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769B3567" w14:textId="3D5E6DD8" w:rsidR="006D0EB8" w:rsidRPr="00EC02CA" w:rsidRDefault="006D0EB8" w:rsidP="00A920EC">
            <w:pPr>
              <w:spacing w:before="60" w:after="60"/>
              <w:jc w:val="left"/>
              <w:rPr>
                <w:rFonts w:cs="Times New Roman"/>
                <w:sz w:val="20"/>
                <w:szCs w:val="20"/>
              </w:rPr>
            </w:pPr>
            <w:r w:rsidRPr="00EC02CA">
              <w:rPr>
                <w:rFonts w:cs="Times New Roman"/>
                <w:i/>
                <w:iCs/>
                <w:sz w:val="20"/>
                <w:szCs w:val="20"/>
              </w:rPr>
              <w:t>Warning</w:t>
            </w:r>
            <w:r w:rsidRPr="00EC02CA">
              <w:rPr>
                <w:rFonts w:cs="Times New Roman"/>
                <w:sz w:val="20"/>
                <w:szCs w:val="20"/>
              </w:rPr>
              <w:t>: for summary offences (s 13) but cannot be given for violent offences</w:t>
            </w:r>
            <w:r w:rsidR="001873D2" w:rsidRPr="00EC02CA">
              <w:rPr>
                <w:rFonts w:cs="Times New Roman"/>
                <w:sz w:val="20"/>
                <w:szCs w:val="20"/>
              </w:rPr>
              <w:t>:</w:t>
            </w:r>
            <w:r w:rsidRPr="00EC02CA">
              <w:rPr>
                <w:rFonts w:cs="Times New Roman"/>
                <w:sz w:val="20"/>
                <w:szCs w:val="20"/>
              </w:rPr>
              <w:t xml:space="preserve"> </w:t>
            </w:r>
            <w:r w:rsidR="0077793A" w:rsidRPr="00EC02CA">
              <w:rPr>
                <w:rFonts w:cs="Times New Roman"/>
                <w:sz w:val="20"/>
                <w:szCs w:val="20"/>
              </w:rPr>
              <w:t xml:space="preserve">YOA </w:t>
            </w:r>
            <w:r w:rsidRPr="00EC02CA">
              <w:rPr>
                <w:rFonts w:cs="Times New Roman"/>
                <w:sz w:val="20"/>
                <w:szCs w:val="20"/>
              </w:rPr>
              <w:t>s 14(2)(a)</w:t>
            </w:r>
            <w:r w:rsidR="001873D2" w:rsidRPr="00EC02CA">
              <w:rPr>
                <w:rFonts w:cs="Times New Roman"/>
                <w:sz w:val="20"/>
                <w:szCs w:val="20"/>
              </w:rPr>
              <w:t>.</w:t>
            </w:r>
          </w:p>
          <w:p w14:paraId="6C8945BF" w14:textId="7DFD4D19" w:rsidR="006D0EB8" w:rsidRPr="00EC02CA" w:rsidRDefault="006D0EB8" w:rsidP="00A920EC">
            <w:pPr>
              <w:spacing w:before="60" w:after="60"/>
              <w:jc w:val="left"/>
              <w:rPr>
                <w:rFonts w:cs="Times New Roman"/>
                <w:sz w:val="20"/>
                <w:szCs w:val="20"/>
              </w:rPr>
            </w:pPr>
            <w:r w:rsidRPr="00EC02CA">
              <w:rPr>
                <w:rFonts w:cs="Times New Roman"/>
                <w:i/>
                <w:iCs/>
                <w:sz w:val="20"/>
                <w:szCs w:val="20"/>
              </w:rPr>
              <w:t>Caution</w:t>
            </w:r>
            <w:r w:rsidRPr="00EC02CA">
              <w:rPr>
                <w:rFonts w:cs="Times New Roman"/>
                <w:sz w:val="20"/>
                <w:szCs w:val="20"/>
              </w:rPr>
              <w:t xml:space="preserve">: for offences covered by the </w:t>
            </w:r>
            <w:r w:rsidR="001873D2" w:rsidRPr="00EC02CA">
              <w:rPr>
                <w:rFonts w:cs="Times New Roman"/>
                <w:sz w:val="20"/>
                <w:szCs w:val="20"/>
              </w:rPr>
              <w:t>YOA</w:t>
            </w:r>
            <w:r w:rsidRPr="00EC02CA">
              <w:rPr>
                <w:rFonts w:cs="Times New Roman"/>
                <w:i/>
                <w:iCs/>
                <w:sz w:val="20"/>
                <w:szCs w:val="20"/>
              </w:rPr>
              <w:t xml:space="preserve"> </w:t>
            </w:r>
            <w:r w:rsidRPr="00EC02CA">
              <w:rPr>
                <w:rFonts w:cs="Times New Roman"/>
                <w:sz w:val="20"/>
                <w:szCs w:val="20"/>
              </w:rPr>
              <w:t>s 18</w:t>
            </w:r>
            <w:r w:rsidR="001873D2" w:rsidRPr="00EC02CA">
              <w:rPr>
                <w:rFonts w:cs="Times New Roman"/>
                <w:sz w:val="20"/>
                <w:szCs w:val="20"/>
              </w:rPr>
              <w:t>,</w:t>
            </w:r>
            <w:r w:rsidRPr="00EC02CA">
              <w:rPr>
                <w:rFonts w:cs="Times New Roman"/>
                <w:sz w:val="20"/>
                <w:szCs w:val="20"/>
              </w:rPr>
              <w:t xml:space="preserve"> a formal police caution can be given. These are summary offences and indictable offences that can be dealt with summarily</w:t>
            </w:r>
            <w:r w:rsidR="001873D2" w:rsidRPr="00EC02CA">
              <w:rPr>
                <w:rFonts w:cs="Times New Roman"/>
                <w:sz w:val="20"/>
                <w:szCs w:val="20"/>
              </w:rPr>
              <w:t>:</w:t>
            </w:r>
            <w:r w:rsidRPr="00EC02CA">
              <w:rPr>
                <w:rFonts w:cs="Times New Roman"/>
                <w:sz w:val="20"/>
                <w:szCs w:val="20"/>
              </w:rPr>
              <w:t xml:space="preserve"> </w:t>
            </w:r>
            <w:r w:rsidR="0077793A" w:rsidRPr="00EC02CA">
              <w:rPr>
                <w:rFonts w:cs="Times New Roman"/>
                <w:sz w:val="20"/>
                <w:szCs w:val="20"/>
              </w:rPr>
              <w:t xml:space="preserve">YOA </w:t>
            </w:r>
            <w:r w:rsidRPr="00EC02CA">
              <w:rPr>
                <w:rFonts w:cs="Times New Roman"/>
                <w:sz w:val="20"/>
                <w:szCs w:val="20"/>
              </w:rPr>
              <w:t>s 8(1). However, physical sexual offences are generally excluded (even if they are summary or indictable offences that may be dealt with summarily).</w:t>
            </w:r>
            <w:r w:rsidRPr="00EC02CA">
              <w:rPr>
                <w:rStyle w:val="FootnoteReference"/>
                <w:sz w:val="20"/>
                <w:szCs w:val="20"/>
              </w:rPr>
              <w:footnoteReference w:id="968"/>
            </w:r>
          </w:p>
          <w:p w14:paraId="7785B087" w14:textId="4E051179" w:rsidR="006D0EB8" w:rsidRPr="00EC02CA" w:rsidRDefault="006D0EB8" w:rsidP="00A920EC">
            <w:pPr>
              <w:spacing w:before="60" w:after="60"/>
              <w:jc w:val="left"/>
              <w:rPr>
                <w:rFonts w:cs="Times New Roman"/>
                <w:sz w:val="20"/>
                <w:szCs w:val="20"/>
              </w:rPr>
            </w:pPr>
            <w:r w:rsidRPr="00EC02CA">
              <w:rPr>
                <w:rFonts w:cs="Times New Roman"/>
                <w:sz w:val="20"/>
                <w:szCs w:val="20"/>
              </w:rPr>
              <w:t>Must admit an offence</w:t>
            </w:r>
            <w:r w:rsidR="00A42696" w:rsidRPr="00EC02CA">
              <w:rPr>
                <w:rFonts w:cs="Times New Roman"/>
                <w:sz w:val="20"/>
                <w:szCs w:val="20"/>
              </w:rPr>
              <w:t>:</w:t>
            </w:r>
            <w:r w:rsidRPr="00EC02CA">
              <w:rPr>
                <w:rFonts w:cs="Times New Roman"/>
                <w:sz w:val="20"/>
                <w:szCs w:val="20"/>
              </w:rPr>
              <w:t xml:space="preserve"> </w:t>
            </w:r>
            <w:r w:rsidR="0077793A" w:rsidRPr="00EC02CA">
              <w:rPr>
                <w:rFonts w:cs="Times New Roman"/>
                <w:sz w:val="20"/>
                <w:szCs w:val="20"/>
              </w:rPr>
              <w:t xml:space="preserve">YOA </w:t>
            </w:r>
            <w:r w:rsidRPr="00EC02CA">
              <w:rPr>
                <w:rFonts w:cs="Times New Roman"/>
                <w:sz w:val="20"/>
                <w:szCs w:val="20"/>
              </w:rPr>
              <w:t>s</w:t>
            </w:r>
            <w:r w:rsidR="0077793A" w:rsidRPr="00EC02CA">
              <w:rPr>
                <w:rFonts w:cs="Times New Roman"/>
                <w:sz w:val="20"/>
                <w:szCs w:val="20"/>
              </w:rPr>
              <w:t xml:space="preserve"> </w:t>
            </w:r>
            <w:r w:rsidRPr="00EC02CA">
              <w:rPr>
                <w:rFonts w:cs="Times New Roman"/>
                <w:sz w:val="20"/>
                <w:szCs w:val="20"/>
              </w:rPr>
              <w:t xml:space="preserve">19. However, note use of protected admissions, which means that a youth can admit to offence but cannot use anything said during the interview in any criminal proceedings. This scheme is contained in policy and not legislation (see </w:t>
            </w:r>
            <w:r w:rsidRPr="00EC02CA">
              <w:rPr>
                <w:rFonts w:cs="Times New Roman"/>
                <w:i/>
                <w:iCs/>
                <w:sz w:val="20"/>
                <w:szCs w:val="20"/>
              </w:rPr>
              <w:t>R v Jai</w:t>
            </w:r>
            <w:r w:rsidRPr="00EC02CA">
              <w:rPr>
                <w:rFonts w:cs="Times New Roman"/>
                <w:sz w:val="20"/>
                <w:szCs w:val="20"/>
              </w:rPr>
              <w:t xml:space="preserve"> [2023] NSWChC 9).</w:t>
            </w:r>
          </w:p>
          <w:p w14:paraId="5ED2136B" w14:textId="5A5EA022"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Youth Justice Conference </w:t>
            </w:r>
            <w:r w:rsidRPr="00EC02CA">
              <w:rPr>
                <w:rFonts w:cs="Times New Roman"/>
                <w:sz w:val="20"/>
                <w:szCs w:val="20"/>
              </w:rPr>
              <w:t>(</w:t>
            </w:r>
            <w:r w:rsidR="0077793A" w:rsidRPr="00EC02CA">
              <w:rPr>
                <w:rFonts w:cs="Times New Roman"/>
                <w:sz w:val="20"/>
                <w:szCs w:val="20"/>
              </w:rPr>
              <w:t xml:space="preserve">YOA </w:t>
            </w:r>
            <w:r w:rsidR="006A2316" w:rsidRPr="00EC02CA">
              <w:rPr>
                <w:rFonts w:cs="Times New Roman"/>
                <w:sz w:val="20"/>
                <w:szCs w:val="20"/>
              </w:rPr>
              <w:t>s</w:t>
            </w:r>
            <w:r w:rsidRPr="00EC02CA">
              <w:rPr>
                <w:rFonts w:cs="Times New Roman"/>
                <w:sz w:val="20"/>
                <w:szCs w:val="20"/>
              </w:rPr>
              <w:t>s 35, 37). Young person must admit offence but note the provision for protected admissions.</w:t>
            </w:r>
          </w:p>
          <w:p w14:paraId="5079153E" w14:textId="79E27C26" w:rsidR="006D0EB8" w:rsidRPr="00EC02CA" w:rsidRDefault="006D0EB8" w:rsidP="00A920EC">
            <w:pPr>
              <w:spacing w:before="60" w:after="60"/>
              <w:jc w:val="left"/>
              <w:rPr>
                <w:rFonts w:cs="Times New Roman"/>
                <w:sz w:val="20"/>
                <w:szCs w:val="20"/>
              </w:rPr>
            </w:pPr>
            <w:r w:rsidRPr="00EC02CA">
              <w:rPr>
                <w:rFonts w:cs="Times New Roman"/>
                <w:sz w:val="20"/>
                <w:szCs w:val="20"/>
              </w:rPr>
              <w:t>Most physical sexual offences excluded</w:t>
            </w:r>
            <w:r w:rsidR="00A42696" w:rsidRPr="00EC02CA">
              <w:rPr>
                <w:rFonts w:cs="Times New Roman"/>
                <w:sz w:val="20"/>
                <w:szCs w:val="20"/>
              </w:rPr>
              <w:t>:</w:t>
            </w:r>
            <w:r w:rsidRPr="00EC02CA">
              <w:rPr>
                <w:rFonts w:cs="Times New Roman"/>
                <w:sz w:val="20"/>
                <w:szCs w:val="20"/>
              </w:rPr>
              <w:t xml:space="preserve"> </w:t>
            </w:r>
            <w:r w:rsidR="0077793A" w:rsidRPr="00EC02CA">
              <w:rPr>
                <w:rFonts w:cs="Times New Roman"/>
                <w:sz w:val="20"/>
                <w:szCs w:val="20"/>
              </w:rPr>
              <w:t>YOA</w:t>
            </w:r>
            <w:r w:rsidR="0077793A" w:rsidRPr="00EC02CA">
              <w:rPr>
                <w:rFonts w:cs="Times New Roman"/>
                <w:i/>
                <w:iCs/>
                <w:sz w:val="20"/>
                <w:szCs w:val="20"/>
              </w:rPr>
              <w:t xml:space="preserve"> </w:t>
            </w:r>
            <w:r w:rsidRPr="00EC02CA">
              <w:rPr>
                <w:rFonts w:cs="Times New Roman"/>
                <w:sz w:val="20"/>
                <w:szCs w:val="20"/>
              </w:rPr>
              <w:t>s 8.</w:t>
            </w:r>
          </w:p>
        </w:tc>
        <w:tc>
          <w:tcPr>
            <w:tcW w:w="6055" w:type="dxa"/>
          </w:tcPr>
          <w:p w14:paraId="73EE6D75" w14:textId="50CFC4C9"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Youth Offenders Act 1997</w:t>
            </w:r>
            <w:r w:rsidRPr="00EC02CA">
              <w:rPr>
                <w:rFonts w:cs="Times New Roman"/>
                <w:sz w:val="20"/>
                <w:szCs w:val="20"/>
              </w:rPr>
              <w:t xml:space="preserve"> </w:t>
            </w:r>
            <w:r w:rsidR="0077793A" w:rsidRPr="00EC02CA">
              <w:rPr>
                <w:rFonts w:cs="Times New Roman"/>
                <w:sz w:val="20"/>
                <w:szCs w:val="20"/>
              </w:rPr>
              <w:t xml:space="preserve">(NSW) </w:t>
            </w:r>
            <w:r w:rsidR="0089316B" w:rsidRPr="00EC02CA">
              <w:rPr>
                <w:rFonts w:cs="Times New Roman"/>
                <w:sz w:val="20"/>
                <w:szCs w:val="20"/>
              </w:rPr>
              <w:t>(</w:t>
            </w:r>
            <w:r w:rsidR="00135672" w:rsidRPr="00EC02CA">
              <w:rPr>
                <w:rFonts w:cs="Times New Roman"/>
                <w:sz w:val="20"/>
                <w:szCs w:val="20"/>
              </w:rPr>
              <w:t>‘</w:t>
            </w:r>
            <w:r w:rsidR="0089316B" w:rsidRPr="00EC02CA">
              <w:rPr>
                <w:rFonts w:cs="Times New Roman"/>
                <w:sz w:val="20"/>
                <w:szCs w:val="20"/>
              </w:rPr>
              <w:t>YOA</w:t>
            </w:r>
            <w:r w:rsidR="00135672" w:rsidRPr="00EC02CA">
              <w:rPr>
                <w:rFonts w:cs="Times New Roman"/>
                <w:sz w:val="20"/>
                <w:szCs w:val="20"/>
              </w:rPr>
              <w:t>’</w:t>
            </w:r>
            <w:r w:rsidR="0089316B" w:rsidRPr="00EC02CA">
              <w:rPr>
                <w:rFonts w:cs="Times New Roman"/>
                <w:sz w:val="20"/>
                <w:szCs w:val="20"/>
              </w:rPr>
              <w:t xml:space="preserve">) </w:t>
            </w:r>
            <w:r w:rsidRPr="00EC02CA">
              <w:rPr>
                <w:rFonts w:cs="Times New Roman"/>
                <w:sz w:val="20"/>
                <w:szCs w:val="20"/>
              </w:rPr>
              <w:t>provides for warnings, formal cautions and conferences for young people aged between 10 and 17 at the time of the alleged offence, and under 21 at the time of the proceedings.</w:t>
            </w:r>
          </w:p>
        </w:tc>
      </w:tr>
      <w:tr w:rsidR="006D0EB8" w:rsidRPr="00EC02CA" w14:paraId="596F1A2F" w14:textId="77777777" w:rsidTr="00A920EC">
        <w:tc>
          <w:tcPr>
            <w:tcW w:w="1838" w:type="dxa"/>
            <w:vMerge/>
          </w:tcPr>
          <w:p w14:paraId="5A616DDA" w14:textId="77777777" w:rsidR="006D0EB8" w:rsidRPr="00EC02CA" w:rsidRDefault="006D0EB8" w:rsidP="00A920EC">
            <w:pPr>
              <w:spacing w:before="60" w:after="60"/>
              <w:jc w:val="left"/>
              <w:rPr>
                <w:rFonts w:cs="Times New Roman"/>
                <w:sz w:val="20"/>
                <w:szCs w:val="20"/>
              </w:rPr>
            </w:pPr>
          </w:p>
        </w:tc>
        <w:tc>
          <w:tcPr>
            <w:tcW w:w="6055" w:type="dxa"/>
          </w:tcPr>
          <w:p w14:paraId="73D42ADC"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37D2934F"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112AA7F1" w14:textId="4DBD2EBB" w:rsidR="006D0EB8" w:rsidRPr="00EC02CA" w:rsidRDefault="006D0EB8" w:rsidP="00A920EC">
            <w:pPr>
              <w:spacing w:before="60" w:after="60"/>
              <w:jc w:val="left"/>
              <w:rPr>
                <w:rFonts w:cs="Times New Roman"/>
                <w:sz w:val="20"/>
                <w:szCs w:val="20"/>
              </w:rPr>
            </w:pPr>
            <w:r w:rsidRPr="00EC02CA">
              <w:rPr>
                <w:rFonts w:cs="Times New Roman"/>
                <w:sz w:val="20"/>
                <w:szCs w:val="20"/>
              </w:rPr>
              <w:t>Children’s Court of New South Wales has jurisdiction to hear proceedings for any offence (whether indictable or summary) other than a serious indicatable offence</w:t>
            </w:r>
            <w:r w:rsidR="00800DB9" w:rsidRPr="00EC02CA">
              <w:rPr>
                <w:rFonts w:cs="Times New Roman"/>
                <w:sz w:val="20"/>
                <w:szCs w:val="20"/>
              </w:rPr>
              <w:t>:</w:t>
            </w:r>
            <w:r w:rsidRPr="00EC02CA">
              <w:rPr>
                <w:rFonts w:cs="Times New Roman"/>
                <w:sz w:val="20"/>
                <w:szCs w:val="20"/>
              </w:rPr>
              <w:t xml:space="preserve"> CCPA s 28.</w:t>
            </w:r>
          </w:p>
          <w:p w14:paraId="4E582A88" w14:textId="6DB6A25C" w:rsidR="006D0EB8" w:rsidRPr="00EC02CA" w:rsidRDefault="006D0EB8" w:rsidP="00A920EC">
            <w:pPr>
              <w:spacing w:before="60" w:after="60"/>
              <w:jc w:val="left"/>
              <w:rPr>
                <w:rFonts w:cs="Times New Roman"/>
                <w:sz w:val="20"/>
                <w:szCs w:val="20"/>
              </w:rPr>
            </w:pPr>
            <w:r w:rsidRPr="00EC02CA">
              <w:rPr>
                <w:rFonts w:cs="Times New Roman"/>
                <w:sz w:val="20"/>
                <w:szCs w:val="20"/>
              </w:rPr>
              <w:t>Aggravated sexual assault (other than where the circumstance of aggravation is that the complainant is under the 16) is a serious indictable offence</w:t>
            </w:r>
            <w:r w:rsidR="00800DB9" w:rsidRPr="00EC02CA">
              <w:rPr>
                <w:rFonts w:cs="Times New Roman"/>
                <w:sz w:val="20"/>
                <w:szCs w:val="20"/>
              </w:rPr>
              <w:t>:</w:t>
            </w:r>
            <w:r w:rsidRPr="00EC02CA">
              <w:rPr>
                <w:rFonts w:cs="Times New Roman"/>
                <w:sz w:val="20"/>
                <w:szCs w:val="20"/>
              </w:rPr>
              <w:t xml:space="preserve"> CCPA s 3.</w:t>
            </w:r>
          </w:p>
          <w:p w14:paraId="533FE16A" w14:textId="5FF135F7" w:rsidR="006D0EB8" w:rsidRPr="00EC02CA" w:rsidRDefault="006D0EB8" w:rsidP="00A920EC">
            <w:pPr>
              <w:spacing w:before="60" w:after="60"/>
              <w:jc w:val="left"/>
              <w:rPr>
                <w:rFonts w:cs="Times New Roman"/>
                <w:sz w:val="20"/>
                <w:szCs w:val="20"/>
              </w:rPr>
            </w:pPr>
            <w:r w:rsidRPr="00EC02CA">
              <w:rPr>
                <w:rFonts w:cs="Times New Roman"/>
                <w:sz w:val="20"/>
                <w:szCs w:val="20"/>
              </w:rPr>
              <w:t>If a young person is charged with a child sexual assault offence, then the prosecution may request that proceedings be dealt with on indictment</w:t>
            </w:r>
            <w:r w:rsidR="00A42696" w:rsidRPr="00EC02CA">
              <w:rPr>
                <w:rFonts w:cs="Times New Roman"/>
                <w:sz w:val="20"/>
                <w:szCs w:val="20"/>
              </w:rPr>
              <w:t>:</w:t>
            </w:r>
            <w:r w:rsidRPr="00EC02CA">
              <w:rPr>
                <w:rFonts w:cs="Times New Roman"/>
                <w:sz w:val="20"/>
                <w:szCs w:val="20"/>
              </w:rPr>
              <w:t xml:space="preserve"> CCPA s</w:t>
            </w:r>
            <w:r w:rsidR="0089316B" w:rsidRPr="00EC02CA">
              <w:rPr>
                <w:rFonts w:cs="Times New Roman"/>
                <w:sz w:val="20"/>
                <w:szCs w:val="20"/>
              </w:rPr>
              <w:t>s</w:t>
            </w:r>
            <w:r w:rsidRPr="00EC02CA">
              <w:rPr>
                <w:rFonts w:cs="Times New Roman"/>
                <w:sz w:val="20"/>
                <w:szCs w:val="20"/>
              </w:rPr>
              <w:t xml:space="preserve"> 31AA, 31AB. </w:t>
            </w:r>
          </w:p>
          <w:p w14:paraId="1E88F391" w14:textId="0A81691F" w:rsidR="006D0EB8" w:rsidRPr="00EC02CA" w:rsidRDefault="006D0EB8" w:rsidP="00A920EC">
            <w:pPr>
              <w:spacing w:before="60" w:after="60"/>
              <w:jc w:val="left"/>
              <w:rPr>
                <w:rFonts w:cs="Times New Roman"/>
                <w:sz w:val="20"/>
                <w:szCs w:val="20"/>
              </w:rPr>
            </w:pPr>
            <w:r w:rsidRPr="00EC02CA">
              <w:rPr>
                <w:rFonts w:cs="Times New Roman"/>
                <w:sz w:val="20"/>
                <w:szCs w:val="20"/>
              </w:rPr>
              <w:t>This applies for prescribed sexual offences</w:t>
            </w:r>
            <w:r w:rsidR="00800DB9" w:rsidRPr="00EC02CA">
              <w:rPr>
                <w:rFonts w:cs="Times New Roman"/>
                <w:sz w:val="20"/>
                <w:szCs w:val="20"/>
              </w:rPr>
              <w:t>:</w:t>
            </w:r>
            <w:r w:rsidRPr="00EC02CA">
              <w:rPr>
                <w:rFonts w:cs="Times New Roman"/>
                <w:sz w:val="20"/>
                <w:szCs w:val="20"/>
              </w:rPr>
              <w:t xml:space="preserve"> </w:t>
            </w:r>
            <w:r w:rsidRPr="00EC02CA">
              <w:rPr>
                <w:rFonts w:cs="Times New Roman"/>
                <w:i/>
                <w:iCs/>
                <w:sz w:val="20"/>
                <w:szCs w:val="20"/>
              </w:rPr>
              <w:t xml:space="preserve">Criminal Procedure Act 1986 </w:t>
            </w:r>
            <w:r w:rsidR="00800DB9" w:rsidRPr="00EC02CA">
              <w:rPr>
                <w:rFonts w:cs="Times New Roman"/>
                <w:sz w:val="20"/>
                <w:szCs w:val="20"/>
              </w:rPr>
              <w:t>(NSW)</w:t>
            </w:r>
            <w:r w:rsidR="00800DB9" w:rsidRPr="00EC02CA">
              <w:rPr>
                <w:rFonts w:cs="Times New Roman"/>
                <w:i/>
                <w:iCs/>
                <w:sz w:val="20"/>
                <w:szCs w:val="20"/>
              </w:rPr>
              <w:t xml:space="preserve"> </w:t>
            </w:r>
            <w:r w:rsidRPr="00EC02CA">
              <w:rPr>
                <w:rFonts w:cs="Times New Roman"/>
                <w:sz w:val="20"/>
                <w:szCs w:val="20"/>
              </w:rPr>
              <w:t>ss 3, 83. This includes contact offences and using a child for the production of C</w:t>
            </w:r>
            <w:r w:rsidR="00D76D1F" w:rsidRPr="00EC02CA">
              <w:rPr>
                <w:rFonts w:cs="Times New Roman"/>
                <w:sz w:val="20"/>
                <w:szCs w:val="20"/>
              </w:rPr>
              <w:t>S</w:t>
            </w:r>
            <w:r w:rsidRPr="00EC02CA">
              <w:rPr>
                <w:rFonts w:cs="Times New Roman"/>
                <w:sz w:val="20"/>
                <w:szCs w:val="20"/>
              </w:rPr>
              <w:t xml:space="preserve">EM under the </w:t>
            </w:r>
            <w:r w:rsidRPr="00EC02CA">
              <w:rPr>
                <w:rFonts w:cs="Times New Roman"/>
                <w:i/>
                <w:iCs/>
                <w:sz w:val="20"/>
                <w:szCs w:val="20"/>
              </w:rPr>
              <w:t>Crimes Act 1900</w:t>
            </w:r>
            <w:r w:rsidR="00800DB9" w:rsidRPr="00EC02CA">
              <w:rPr>
                <w:rFonts w:cs="Times New Roman"/>
                <w:i/>
                <w:iCs/>
                <w:sz w:val="20"/>
                <w:szCs w:val="20"/>
              </w:rPr>
              <w:t xml:space="preserve"> </w:t>
            </w:r>
            <w:r w:rsidR="00800DB9" w:rsidRPr="00EC02CA">
              <w:rPr>
                <w:rFonts w:cs="Times New Roman"/>
                <w:sz w:val="20"/>
                <w:szCs w:val="20"/>
              </w:rPr>
              <w:t>(NSW)</w:t>
            </w:r>
            <w:r w:rsidRPr="00EC02CA">
              <w:rPr>
                <w:rFonts w:cs="Times New Roman"/>
                <w:i/>
                <w:iCs/>
                <w:sz w:val="20"/>
                <w:szCs w:val="20"/>
              </w:rPr>
              <w:t xml:space="preserve"> </w:t>
            </w:r>
            <w:r w:rsidRPr="00EC02CA">
              <w:rPr>
                <w:rFonts w:cs="Times New Roman"/>
                <w:sz w:val="20"/>
                <w:szCs w:val="20"/>
              </w:rPr>
              <w:t>s 91G. It does not include the offence of production, dissemination and possession of child abuse material</w:t>
            </w:r>
            <w:r w:rsidR="00800DB9" w:rsidRPr="00EC02CA">
              <w:rPr>
                <w:rFonts w:cs="Times New Roman"/>
                <w:sz w:val="20"/>
                <w:szCs w:val="20"/>
              </w:rPr>
              <w:t>:</w:t>
            </w:r>
            <w:r w:rsidRPr="00EC02CA">
              <w:rPr>
                <w:rFonts w:cs="Times New Roman"/>
                <w:sz w:val="20"/>
                <w:szCs w:val="20"/>
              </w:rPr>
              <w:t xml:space="preserve"> </w:t>
            </w:r>
            <w:r w:rsidR="00800DB9" w:rsidRPr="00EC02CA">
              <w:rPr>
                <w:rFonts w:cs="Times New Roman"/>
                <w:i/>
                <w:iCs/>
                <w:sz w:val="20"/>
                <w:szCs w:val="20"/>
              </w:rPr>
              <w:t xml:space="preserve">Crimes Act 1900 </w:t>
            </w:r>
            <w:r w:rsidR="00800DB9" w:rsidRPr="00EC02CA">
              <w:rPr>
                <w:rFonts w:cs="Times New Roman"/>
                <w:sz w:val="20"/>
                <w:szCs w:val="20"/>
              </w:rPr>
              <w:t xml:space="preserve">(NSW) </w:t>
            </w:r>
            <w:r w:rsidRPr="00EC02CA">
              <w:rPr>
                <w:rFonts w:cs="Times New Roman"/>
                <w:sz w:val="20"/>
                <w:szCs w:val="20"/>
              </w:rPr>
              <w:t>s 91H.</w:t>
            </w:r>
            <w:r w:rsidRPr="00EC02CA">
              <w:rPr>
                <w:rStyle w:val="FootnoteReference"/>
                <w:sz w:val="20"/>
                <w:szCs w:val="20"/>
              </w:rPr>
              <w:footnoteReference w:id="969"/>
            </w:r>
          </w:p>
          <w:p w14:paraId="2F6E994C" w14:textId="21D74DBB"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40FBBC92" w14:textId="27165145"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Caution: </w:t>
            </w:r>
            <w:r w:rsidRPr="00EC02CA">
              <w:rPr>
                <w:rFonts w:cs="Times New Roman"/>
                <w:sz w:val="20"/>
                <w:szCs w:val="20"/>
              </w:rPr>
              <w:t>where young person admits an offence</w:t>
            </w:r>
            <w:r w:rsidR="00A42696" w:rsidRPr="00EC02CA">
              <w:rPr>
                <w:rFonts w:cs="Times New Roman"/>
                <w:sz w:val="20"/>
                <w:szCs w:val="20"/>
              </w:rPr>
              <w:t>:</w:t>
            </w:r>
            <w:r w:rsidRPr="00EC02CA">
              <w:rPr>
                <w:rFonts w:cs="Times New Roman"/>
                <w:sz w:val="20"/>
                <w:szCs w:val="20"/>
              </w:rPr>
              <w:t xml:space="preserve"> </w:t>
            </w:r>
            <w:r w:rsidR="00800DB9" w:rsidRPr="00EC02CA">
              <w:rPr>
                <w:rFonts w:cs="Times New Roman"/>
                <w:sz w:val="20"/>
                <w:szCs w:val="20"/>
              </w:rPr>
              <w:t xml:space="preserve">CCPA </w:t>
            </w:r>
            <w:r w:rsidRPr="00EC02CA">
              <w:rPr>
                <w:rFonts w:cs="Times New Roman"/>
                <w:sz w:val="20"/>
                <w:szCs w:val="20"/>
              </w:rPr>
              <w:t>s 31. Not available for most sexual offences.</w:t>
            </w:r>
          </w:p>
          <w:p w14:paraId="6D3FB4A3" w14:textId="21929013"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Youth Justice Conference </w:t>
            </w:r>
            <w:r w:rsidRPr="00EC02CA">
              <w:rPr>
                <w:rFonts w:cs="Times New Roman"/>
                <w:sz w:val="20"/>
                <w:szCs w:val="20"/>
              </w:rPr>
              <w:t>(</w:t>
            </w:r>
            <w:r w:rsidR="00800DB9" w:rsidRPr="00EC02CA">
              <w:rPr>
                <w:rFonts w:cs="Times New Roman"/>
                <w:sz w:val="20"/>
                <w:szCs w:val="20"/>
              </w:rPr>
              <w:t>CCPA s</w:t>
            </w:r>
            <w:r w:rsidRPr="00EC02CA">
              <w:rPr>
                <w:rFonts w:cs="Times New Roman"/>
                <w:sz w:val="20"/>
                <w:szCs w:val="20"/>
              </w:rPr>
              <w:t>s 35, 37): Youth Justice Conferencing is available as part of the criminal justice system to young people who have admitted to or been found guilty of offences, but sexual offences are excluded</w:t>
            </w:r>
            <w:r w:rsidR="00800DB9" w:rsidRPr="00EC02CA">
              <w:rPr>
                <w:rFonts w:cs="Times New Roman"/>
                <w:sz w:val="20"/>
                <w:szCs w:val="20"/>
              </w:rPr>
              <w:t>: CCPA s</w:t>
            </w:r>
            <w:r w:rsidRPr="00EC02CA">
              <w:rPr>
                <w:rFonts w:cs="Times New Roman"/>
                <w:sz w:val="20"/>
                <w:szCs w:val="20"/>
              </w:rPr>
              <w:t>s 8, 35, 36</w:t>
            </w:r>
            <w:r w:rsidR="00800DB9" w:rsidRPr="00EC02CA">
              <w:rPr>
                <w:rFonts w:cs="Times New Roman"/>
                <w:sz w:val="20"/>
                <w:szCs w:val="20"/>
              </w:rPr>
              <w:t xml:space="preserve">, </w:t>
            </w:r>
            <w:r w:rsidRPr="00EC02CA">
              <w:rPr>
                <w:rFonts w:cs="Times New Roman"/>
                <w:sz w:val="20"/>
                <w:szCs w:val="20"/>
              </w:rPr>
              <w:t>40.</w:t>
            </w:r>
          </w:p>
        </w:tc>
        <w:tc>
          <w:tcPr>
            <w:tcW w:w="6055" w:type="dxa"/>
          </w:tcPr>
          <w:p w14:paraId="229BAFC2" w14:textId="77777777" w:rsidR="006A2316" w:rsidRPr="00EC02CA" w:rsidRDefault="006A2316" w:rsidP="006A2316">
            <w:pPr>
              <w:spacing w:before="60" w:after="60"/>
              <w:jc w:val="left"/>
              <w:rPr>
                <w:rFonts w:cs="Times New Roman"/>
                <w:sz w:val="20"/>
                <w:szCs w:val="20"/>
              </w:rPr>
            </w:pPr>
            <w:r w:rsidRPr="00EC02CA">
              <w:rPr>
                <w:rFonts w:cs="Times New Roman"/>
                <w:i/>
                <w:iCs/>
                <w:sz w:val="20"/>
                <w:szCs w:val="20"/>
              </w:rPr>
              <w:t xml:space="preserve">Criminal Procedure Act 1986 </w:t>
            </w:r>
            <w:r w:rsidRPr="00EC02CA">
              <w:rPr>
                <w:rFonts w:cs="Times New Roman"/>
                <w:sz w:val="20"/>
                <w:szCs w:val="20"/>
              </w:rPr>
              <w:t>(NSW)</w:t>
            </w:r>
          </w:p>
          <w:p w14:paraId="138634E1" w14:textId="77777777" w:rsidR="00696AC2" w:rsidRPr="00EC02CA" w:rsidRDefault="00696AC2" w:rsidP="006A2316">
            <w:pPr>
              <w:spacing w:before="60" w:after="60"/>
              <w:jc w:val="left"/>
              <w:rPr>
                <w:rFonts w:cs="Times New Roman"/>
                <w:sz w:val="20"/>
                <w:szCs w:val="20"/>
              </w:rPr>
            </w:pPr>
          </w:p>
          <w:p w14:paraId="4001BBD7" w14:textId="0EADDFAE"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Children (Criminal Proceedings) Act 1987 </w:t>
            </w:r>
            <w:r w:rsidRPr="00EC02CA">
              <w:rPr>
                <w:rFonts w:cs="Times New Roman"/>
                <w:sz w:val="20"/>
                <w:szCs w:val="20"/>
              </w:rPr>
              <w:t xml:space="preserve">(NSW) </w:t>
            </w:r>
            <w:r w:rsidR="0089316B" w:rsidRPr="00EC02CA">
              <w:rPr>
                <w:rFonts w:cs="Times New Roman"/>
                <w:sz w:val="20"/>
                <w:szCs w:val="20"/>
              </w:rPr>
              <w:t>(</w:t>
            </w:r>
            <w:r w:rsidR="00135672" w:rsidRPr="00EC02CA">
              <w:rPr>
                <w:rFonts w:cs="Times New Roman"/>
                <w:sz w:val="20"/>
                <w:szCs w:val="20"/>
              </w:rPr>
              <w:t>‘</w:t>
            </w:r>
            <w:r w:rsidR="0089316B" w:rsidRPr="00EC02CA">
              <w:rPr>
                <w:rFonts w:cs="Times New Roman"/>
                <w:sz w:val="20"/>
                <w:szCs w:val="20"/>
              </w:rPr>
              <w:t>CCPA</w:t>
            </w:r>
            <w:r w:rsidR="00135672" w:rsidRPr="00EC02CA">
              <w:rPr>
                <w:rFonts w:cs="Times New Roman"/>
                <w:sz w:val="20"/>
                <w:szCs w:val="20"/>
              </w:rPr>
              <w:t>’</w:t>
            </w:r>
            <w:r w:rsidR="0089316B" w:rsidRPr="00EC02CA">
              <w:rPr>
                <w:rFonts w:cs="Times New Roman"/>
                <w:sz w:val="20"/>
                <w:szCs w:val="20"/>
              </w:rPr>
              <w:t xml:space="preserve">) </w:t>
            </w:r>
            <w:r w:rsidRPr="00EC02CA">
              <w:rPr>
                <w:rFonts w:cs="Times New Roman"/>
                <w:sz w:val="20"/>
                <w:szCs w:val="20"/>
              </w:rPr>
              <w:t>sets out the jurisdiction of the Children’s Court in relation to criminal matters.</w:t>
            </w:r>
          </w:p>
          <w:p w14:paraId="0BF5CB98" w14:textId="77777777" w:rsidR="00696AC2" w:rsidRPr="00EC02CA" w:rsidRDefault="00696AC2" w:rsidP="00A920EC">
            <w:pPr>
              <w:spacing w:before="60" w:after="60"/>
              <w:jc w:val="left"/>
              <w:rPr>
                <w:rFonts w:cs="Times New Roman"/>
                <w:sz w:val="20"/>
                <w:szCs w:val="20"/>
              </w:rPr>
            </w:pPr>
          </w:p>
          <w:p w14:paraId="357EB83F" w14:textId="19A59202" w:rsidR="006D0EB8" w:rsidRPr="00EC02CA" w:rsidRDefault="006D0EB8" w:rsidP="00A920EC">
            <w:pPr>
              <w:spacing w:before="60" w:after="60"/>
              <w:jc w:val="left"/>
              <w:rPr>
                <w:rFonts w:cs="Times New Roman"/>
                <w:sz w:val="20"/>
                <w:szCs w:val="20"/>
              </w:rPr>
            </w:pPr>
            <w:r w:rsidRPr="00EC02CA">
              <w:rPr>
                <w:rFonts w:cs="Times New Roman"/>
                <w:i/>
                <w:iCs/>
                <w:sz w:val="20"/>
                <w:szCs w:val="20"/>
              </w:rPr>
              <w:t>Youth Offenders Act 1997</w:t>
            </w:r>
            <w:r w:rsidRPr="00EC02CA">
              <w:rPr>
                <w:rFonts w:cs="Times New Roman"/>
                <w:sz w:val="20"/>
                <w:szCs w:val="20"/>
              </w:rPr>
              <w:t xml:space="preserve"> (NSW)</w:t>
            </w:r>
            <w:r w:rsidR="0089316B" w:rsidRPr="00EC02CA">
              <w:rPr>
                <w:rFonts w:cs="Times New Roman"/>
                <w:sz w:val="20"/>
                <w:szCs w:val="20"/>
              </w:rPr>
              <w:t xml:space="preserve"> (</w:t>
            </w:r>
            <w:r w:rsidR="00135672" w:rsidRPr="00EC02CA">
              <w:rPr>
                <w:rFonts w:cs="Times New Roman"/>
                <w:sz w:val="20"/>
                <w:szCs w:val="20"/>
              </w:rPr>
              <w:t>‘</w:t>
            </w:r>
            <w:r w:rsidR="0089316B" w:rsidRPr="00EC02CA">
              <w:rPr>
                <w:rFonts w:cs="Times New Roman"/>
                <w:sz w:val="20"/>
                <w:szCs w:val="20"/>
              </w:rPr>
              <w:t>YOA</w:t>
            </w:r>
            <w:r w:rsidR="00135672" w:rsidRPr="00EC02CA">
              <w:rPr>
                <w:rFonts w:cs="Times New Roman"/>
                <w:sz w:val="20"/>
                <w:szCs w:val="20"/>
              </w:rPr>
              <w:t>’</w:t>
            </w:r>
            <w:r w:rsidR="0089316B" w:rsidRPr="00EC02CA">
              <w:rPr>
                <w:rFonts w:cs="Times New Roman"/>
                <w:sz w:val="20"/>
                <w:szCs w:val="20"/>
              </w:rPr>
              <w:t>)</w:t>
            </w:r>
          </w:p>
        </w:tc>
      </w:tr>
      <w:tr w:rsidR="006D0EB8" w:rsidRPr="00EC02CA" w14:paraId="566E2E7F" w14:textId="77777777" w:rsidTr="00A920EC">
        <w:trPr>
          <w:trHeight w:val="699"/>
        </w:trPr>
        <w:tc>
          <w:tcPr>
            <w:tcW w:w="1838" w:type="dxa"/>
            <w:vMerge w:val="restart"/>
          </w:tcPr>
          <w:p w14:paraId="164C59FD"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Queensland</w:t>
            </w:r>
          </w:p>
        </w:tc>
        <w:tc>
          <w:tcPr>
            <w:tcW w:w="6055" w:type="dxa"/>
          </w:tcPr>
          <w:p w14:paraId="0A24FB62"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0BA8967D"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Caution</w:t>
            </w:r>
          </w:p>
          <w:p w14:paraId="35CA6B6E" w14:textId="3591CADC" w:rsidR="006D0EB8" w:rsidRPr="00EC02CA" w:rsidRDefault="006D0EB8" w:rsidP="00A920EC">
            <w:pPr>
              <w:spacing w:before="60" w:after="60"/>
              <w:jc w:val="left"/>
              <w:rPr>
                <w:rFonts w:cs="Times New Roman"/>
                <w:sz w:val="20"/>
                <w:szCs w:val="20"/>
              </w:rPr>
            </w:pPr>
            <w:r w:rsidRPr="00EC02CA">
              <w:rPr>
                <w:rFonts w:cs="Times New Roman"/>
                <w:sz w:val="20"/>
                <w:szCs w:val="20"/>
              </w:rPr>
              <w:t>Police can caution where the young person admits the offence and consents to being cautioned (YJA s 16).</w:t>
            </w:r>
          </w:p>
          <w:p w14:paraId="31883673"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No restriction of offences for which police can caution under the YJA but are operationally restricted to offences that are not serious offences. This is set out in the Operational Procedures Manual, [5.3.1]. </w:t>
            </w:r>
          </w:p>
          <w:p w14:paraId="2B5CCD2D" w14:textId="77777777" w:rsidR="00FC752F" w:rsidRPr="00EC02CA" w:rsidRDefault="006D0EB8" w:rsidP="00A920EC">
            <w:pPr>
              <w:spacing w:before="60" w:after="60"/>
              <w:jc w:val="left"/>
              <w:rPr>
                <w:rFonts w:cs="Times New Roman"/>
                <w:sz w:val="20"/>
                <w:szCs w:val="20"/>
              </w:rPr>
            </w:pPr>
            <w:r w:rsidRPr="00EC02CA">
              <w:rPr>
                <w:rFonts w:cs="Times New Roman"/>
                <w:sz w:val="20"/>
                <w:szCs w:val="20"/>
              </w:rPr>
              <w:t xml:space="preserve">This also says that if a child commits a </w:t>
            </w:r>
            <w:r w:rsidR="00063DED" w:rsidRPr="00EC02CA">
              <w:rPr>
                <w:rFonts w:cs="Times New Roman"/>
                <w:sz w:val="20"/>
                <w:szCs w:val="20"/>
              </w:rPr>
              <w:t>sexual offence</w:t>
            </w:r>
            <w:r w:rsidRPr="00EC02CA">
              <w:rPr>
                <w:rFonts w:cs="Times New Roman"/>
                <w:sz w:val="20"/>
                <w:szCs w:val="20"/>
              </w:rPr>
              <w:t xml:space="preserve">, officers are to consider and comply with the provision of guidelines 5(i) and 5(v) of the DPP Guidelines. </w:t>
            </w:r>
          </w:p>
          <w:p w14:paraId="209C5011" w14:textId="08354521"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These provide for special considerations relating to the prosecution </w:t>
            </w:r>
            <w:r w:rsidR="00047264" w:rsidRPr="00EC02CA">
              <w:rPr>
                <w:rFonts w:cs="Times New Roman"/>
                <w:sz w:val="20"/>
                <w:szCs w:val="20"/>
              </w:rPr>
              <w:t>o</w:t>
            </w:r>
            <w:r w:rsidRPr="00EC02CA">
              <w:rPr>
                <w:rFonts w:cs="Times New Roman"/>
                <w:sz w:val="20"/>
                <w:szCs w:val="20"/>
              </w:rPr>
              <w:t>f child offenders 5(i) and set out that child may be prosecuted for a sexual offence where the child has exercised force, coerced someone younger, or otherwise acted without the consent of the other person. And that a child should not be prosecuted for sexual experimentation involving children of similar ages in consensual activity</w:t>
            </w:r>
            <w:r w:rsidR="00A42696" w:rsidRPr="00EC02CA">
              <w:rPr>
                <w:rFonts w:cs="Times New Roman"/>
                <w:sz w:val="20"/>
                <w:szCs w:val="20"/>
              </w:rPr>
              <w:t>:</w:t>
            </w:r>
            <w:r w:rsidRPr="00EC02CA">
              <w:rPr>
                <w:rFonts w:cs="Times New Roman"/>
                <w:sz w:val="20"/>
                <w:szCs w:val="20"/>
              </w:rPr>
              <w:t xml:space="preserve"> 5(v)</w:t>
            </w:r>
            <w:r w:rsidR="00A42696" w:rsidRPr="00EC02CA">
              <w:rPr>
                <w:rFonts w:cs="Times New Roman"/>
                <w:sz w:val="20"/>
                <w:szCs w:val="20"/>
              </w:rPr>
              <w:t xml:space="preserve"> of the DPP Guidelines</w:t>
            </w:r>
            <w:r w:rsidRPr="00EC02CA">
              <w:rPr>
                <w:rFonts w:cs="Times New Roman"/>
                <w:sz w:val="20"/>
                <w:szCs w:val="20"/>
              </w:rPr>
              <w:t>.</w:t>
            </w:r>
          </w:p>
          <w:p w14:paraId="27B8672E"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Restorative justice process</w:t>
            </w:r>
          </w:p>
          <w:p w14:paraId="0B5043AB" w14:textId="7EA9B6AF" w:rsidR="006D0EB8" w:rsidRPr="00EC02CA" w:rsidRDefault="006D0EB8" w:rsidP="00A920EC">
            <w:pPr>
              <w:spacing w:before="60" w:after="60"/>
              <w:jc w:val="left"/>
              <w:rPr>
                <w:rFonts w:cs="Times New Roman"/>
                <w:sz w:val="20"/>
                <w:szCs w:val="20"/>
              </w:rPr>
            </w:pPr>
            <w:r w:rsidRPr="00EC02CA">
              <w:rPr>
                <w:rFonts w:cs="Times New Roman"/>
                <w:sz w:val="20"/>
                <w:szCs w:val="20"/>
              </w:rPr>
              <w:t>Police can refer for a restorative</w:t>
            </w:r>
            <w:r w:rsidR="00463687" w:rsidRPr="00EC02CA">
              <w:rPr>
                <w:rFonts w:cs="Times New Roman"/>
                <w:sz w:val="20"/>
                <w:szCs w:val="20"/>
              </w:rPr>
              <w:t xml:space="preserve"> </w:t>
            </w:r>
            <w:r w:rsidRPr="00EC02CA">
              <w:rPr>
                <w:rFonts w:cs="Times New Roman"/>
                <w:sz w:val="20"/>
                <w:szCs w:val="20"/>
              </w:rPr>
              <w:t>justice process</w:t>
            </w:r>
            <w:r w:rsidR="002B2AB2" w:rsidRPr="00EC02CA">
              <w:rPr>
                <w:rFonts w:cs="Times New Roman"/>
                <w:sz w:val="20"/>
                <w:szCs w:val="20"/>
              </w:rPr>
              <w:t xml:space="preserve"> (RJ)</w:t>
            </w:r>
            <w:r w:rsidRPr="00EC02CA">
              <w:rPr>
                <w:rFonts w:cs="Times New Roman"/>
                <w:sz w:val="20"/>
                <w:szCs w:val="20"/>
              </w:rPr>
              <w:t>, if the young person admits committing the offence, s 22.</w:t>
            </w:r>
          </w:p>
          <w:p w14:paraId="4781B0E7"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There are no offences precluded from this process.</w:t>
            </w:r>
          </w:p>
          <w:p w14:paraId="3AC1300E" w14:textId="5566E90E" w:rsidR="006D0EB8" w:rsidRPr="00EC02CA" w:rsidRDefault="006D0EB8" w:rsidP="00A920EC">
            <w:pPr>
              <w:spacing w:before="60" w:after="60"/>
              <w:jc w:val="left"/>
              <w:rPr>
                <w:rFonts w:cs="Times New Roman"/>
                <w:sz w:val="20"/>
                <w:szCs w:val="20"/>
              </w:rPr>
            </w:pPr>
            <w:r w:rsidRPr="00EC02CA">
              <w:rPr>
                <w:rFonts w:cs="Times New Roman"/>
                <w:sz w:val="20"/>
                <w:szCs w:val="20"/>
              </w:rPr>
              <w:t>This includes conferences (</w:t>
            </w:r>
            <w:r w:rsidR="0089316B" w:rsidRPr="00EC02CA">
              <w:rPr>
                <w:rFonts w:cs="Times New Roman"/>
                <w:sz w:val="20"/>
                <w:szCs w:val="20"/>
              </w:rPr>
              <w:t>YJA p</w:t>
            </w:r>
            <w:r w:rsidRPr="00EC02CA">
              <w:rPr>
                <w:rFonts w:cs="Times New Roman"/>
                <w:sz w:val="20"/>
                <w:szCs w:val="20"/>
              </w:rPr>
              <w:t xml:space="preserve">t 3 </w:t>
            </w:r>
            <w:r w:rsidR="0089316B" w:rsidRPr="00EC02CA">
              <w:rPr>
                <w:rFonts w:cs="Times New Roman"/>
                <w:sz w:val="20"/>
                <w:szCs w:val="20"/>
              </w:rPr>
              <w:t>d</w:t>
            </w:r>
            <w:r w:rsidRPr="00EC02CA">
              <w:rPr>
                <w:rFonts w:cs="Times New Roman"/>
                <w:sz w:val="20"/>
                <w:szCs w:val="20"/>
              </w:rPr>
              <w:t>iv 2) and alternative diversion programs (pt 3 Div 3). Alternative diversion programs allow to diversion where it was not possible to progress a restorative justice conference (for example, where a victim is not willing to participate in a conference.</w:t>
            </w:r>
          </w:p>
        </w:tc>
        <w:tc>
          <w:tcPr>
            <w:tcW w:w="6055" w:type="dxa"/>
          </w:tcPr>
          <w:p w14:paraId="382AA0F8" w14:textId="45FEF49C"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Youth Justice Act 1992</w:t>
            </w:r>
            <w:r w:rsidRPr="00EC02CA">
              <w:rPr>
                <w:rFonts w:cs="Times New Roman"/>
                <w:sz w:val="20"/>
                <w:szCs w:val="20"/>
              </w:rPr>
              <w:t xml:space="preserve"> </w:t>
            </w:r>
            <w:r w:rsidR="00D112B0" w:rsidRPr="00EC02CA">
              <w:rPr>
                <w:rFonts w:cs="Times New Roman"/>
                <w:sz w:val="20"/>
                <w:szCs w:val="20"/>
              </w:rPr>
              <w:t>(Qld)</w:t>
            </w:r>
            <w:r w:rsidR="0089316B" w:rsidRPr="00EC02CA">
              <w:rPr>
                <w:rFonts w:cs="Times New Roman"/>
                <w:sz w:val="20"/>
                <w:szCs w:val="20"/>
              </w:rPr>
              <w:t xml:space="preserve"> (</w:t>
            </w:r>
            <w:r w:rsidR="00135672" w:rsidRPr="00EC02CA">
              <w:rPr>
                <w:rFonts w:cs="Times New Roman"/>
                <w:sz w:val="20"/>
                <w:szCs w:val="20"/>
              </w:rPr>
              <w:t>‘</w:t>
            </w:r>
            <w:r w:rsidR="0089316B" w:rsidRPr="00EC02CA">
              <w:rPr>
                <w:rFonts w:cs="Times New Roman"/>
                <w:sz w:val="20"/>
                <w:szCs w:val="20"/>
              </w:rPr>
              <w:t>YJA</w:t>
            </w:r>
            <w:r w:rsidR="00135672" w:rsidRPr="00EC02CA">
              <w:rPr>
                <w:rFonts w:cs="Times New Roman"/>
                <w:sz w:val="20"/>
                <w:szCs w:val="20"/>
              </w:rPr>
              <w:t>’</w:t>
            </w:r>
            <w:r w:rsidR="0089316B" w:rsidRPr="00EC02CA">
              <w:rPr>
                <w:rFonts w:cs="Times New Roman"/>
                <w:sz w:val="20"/>
                <w:szCs w:val="20"/>
              </w:rPr>
              <w:t>)</w:t>
            </w:r>
          </w:p>
        </w:tc>
      </w:tr>
      <w:tr w:rsidR="006D0EB8" w:rsidRPr="00EC02CA" w14:paraId="753B240F" w14:textId="77777777" w:rsidTr="00A920EC">
        <w:tc>
          <w:tcPr>
            <w:tcW w:w="1838" w:type="dxa"/>
            <w:vMerge/>
          </w:tcPr>
          <w:p w14:paraId="5BFAA742" w14:textId="77777777" w:rsidR="006D0EB8" w:rsidRPr="00EC02CA" w:rsidRDefault="006D0EB8" w:rsidP="00A920EC">
            <w:pPr>
              <w:spacing w:before="60" w:after="60"/>
              <w:jc w:val="left"/>
              <w:rPr>
                <w:rFonts w:cs="Times New Roman"/>
                <w:sz w:val="20"/>
                <w:szCs w:val="20"/>
              </w:rPr>
            </w:pPr>
          </w:p>
        </w:tc>
        <w:tc>
          <w:tcPr>
            <w:tcW w:w="6055" w:type="dxa"/>
          </w:tcPr>
          <w:p w14:paraId="39EF891C"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Court (comprises a Magistrates Court and a District Court)</w:t>
            </w:r>
          </w:p>
          <w:p w14:paraId="04AB6CDA"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04321F2C" w14:textId="02F16469" w:rsidR="006D0EB8" w:rsidRPr="00EC02CA" w:rsidRDefault="006D0EB8" w:rsidP="00A920EC">
            <w:pPr>
              <w:spacing w:before="60" w:after="60"/>
              <w:jc w:val="left"/>
              <w:rPr>
                <w:rFonts w:cs="Times New Roman"/>
                <w:sz w:val="20"/>
                <w:szCs w:val="20"/>
              </w:rPr>
            </w:pPr>
            <w:r w:rsidRPr="00EC02CA">
              <w:rPr>
                <w:rFonts w:cs="Times New Roman"/>
                <w:sz w:val="20"/>
                <w:szCs w:val="20"/>
              </w:rPr>
              <w:t>The Childrens Court of Queensland deals with all young people who commit sexual offences.</w:t>
            </w:r>
          </w:p>
          <w:p w14:paraId="11E2973B" w14:textId="65455ECF" w:rsidR="006D0EB8" w:rsidRPr="00EC02CA" w:rsidRDefault="006D0EB8" w:rsidP="00A920EC">
            <w:pPr>
              <w:spacing w:before="60" w:after="60"/>
              <w:jc w:val="left"/>
              <w:rPr>
                <w:rFonts w:cs="Times New Roman"/>
                <w:sz w:val="20"/>
                <w:szCs w:val="20"/>
              </w:rPr>
            </w:pPr>
            <w:r w:rsidRPr="00EC02CA">
              <w:rPr>
                <w:rFonts w:cs="Times New Roman"/>
                <w:sz w:val="20"/>
                <w:szCs w:val="20"/>
              </w:rPr>
              <w:t>The Childrens Court (Magistrates Court) deals with children charged with less serious sexual offences, which would include the offence of sharing intimate images</w:t>
            </w:r>
            <w:r w:rsidR="0089316B" w:rsidRPr="00EC02CA">
              <w:rPr>
                <w:rFonts w:cs="Times New Roman"/>
                <w:sz w:val="20"/>
                <w:szCs w:val="20"/>
              </w:rPr>
              <w:t>:</w:t>
            </w:r>
            <w:r w:rsidRPr="00EC02CA">
              <w:rPr>
                <w:rFonts w:cs="Times New Roman"/>
                <w:sz w:val="20"/>
                <w:szCs w:val="20"/>
              </w:rPr>
              <w:t xml:space="preserve"> YJA </w:t>
            </w:r>
            <w:r w:rsidR="0089316B" w:rsidRPr="00EC02CA">
              <w:rPr>
                <w:rFonts w:cs="Times New Roman"/>
                <w:sz w:val="20"/>
                <w:szCs w:val="20"/>
              </w:rPr>
              <w:t>d</w:t>
            </w:r>
            <w:r w:rsidRPr="00EC02CA">
              <w:rPr>
                <w:rFonts w:cs="Times New Roman"/>
                <w:sz w:val="20"/>
                <w:szCs w:val="20"/>
              </w:rPr>
              <w:t>iv 2</w:t>
            </w:r>
            <w:r w:rsidR="0089316B" w:rsidRPr="00EC02CA">
              <w:rPr>
                <w:rFonts w:cs="Times New Roman"/>
                <w:sz w:val="20"/>
                <w:szCs w:val="20"/>
              </w:rPr>
              <w:t>.</w:t>
            </w:r>
          </w:p>
          <w:p w14:paraId="2408DBA1" w14:textId="31532722" w:rsidR="006D0EB8" w:rsidRPr="00EC02CA" w:rsidRDefault="006D0EB8" w:rsidP="00A920EC">
            <w:pPr>
              <w:spacing w:before="60" w:after="60"/>
              <w:jc w:val="left"/>
              <w:rPr>
                <w:rFonts w:cs="Times New Roman"/>
                <w:sz w:val="20"/>
                <w:szCs w:val="20"/>
              </w:rPr>
            </w:pPr>
            <w:r w:rsidRPr="00EC02CA">
              <w:rPr>
                <w:rFonts w:cs="Times New Roman"/>
                <w:sz w:val="20"/>
                <w:szCs w:val="20"/>
              </w:rPr>
              <w:t>The Childrens Court (District Court) deals with other sexual offences (which are serious offences defined by having a sentence of 14 years or greater if the offender was an adult)</w:t>
            </w:r>
            <w:r w:rsidR="0089316B" w:rsidRPr="00EC02CA">
              <w:rPr>
                <w:rFonts w:cs="Times New Roman"/>
                <w:sz w:val="20"/>
                <w:szCs w:val="20"/>
              </w:rPr>
              <w:t>:</w:t>
            </w:r>
            <w:r w:rsidRPr="00EC02CA">
              <w:rPr>
                <w:rFonts w:cs="Times New Roman"/>
                <w:sz w:val="20"/>
                <w:szCs w:val="20"/>
              </w:rPr>
              <w:t xml:space="preserve"> YJA s</w:t>
            </w:r>
            <w:r w:rsidR="0089316B" w:rsidRPr="00EC02CA">
              <w:rPr>
                <w:rFonts w:cs="Times New Roman"/>
                <w:sz w:val="20"/>
                <w:szCs w:val="20"/>
              </w:rPr>
              <w:t>s</w:t>
            </w:r>
            <w:r w:rsidRPr="00EC02CA">
              <w:rPr>
                <w:rFonts w:cs="Times New Roman"/>
                <w:sz w:val="20"/>
                <w:szCs w:val="20"/>
              </w:rPr>
              <w:t xml:space="preserve"> 8, 81.</w:t>
            </w:r>
          </w:p>
          <w:p w14:paraId="2DA9144D" w14:textId="2852FDC8"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2AA66618" w14:textId="43566C45" w:rsidR="006D0EB8" w:rsidRPr="00EC02CA" w:rsidRDefault="006D0EB8" w:rsidP="00A920EC">
            <w:pPr>
              <w:spacing w:before="60" w:after="60"/>
              <w:jc w:val="left"/>
              <w:rPr>
                <w:rFonts w:cs="Times New Roman"/>
                <w:sz w:val="20"/>
                <w:szCs w:val="20"/>
              </w:rPr>
            </w:pPr>
            <w:r w:rsidRPr="00EC02CA">
              <w:rPr>
                <w:rFonts w:cs="Times New Roman"/>
                <w:sz w:val="20"/>
                <w:szCs w:val="20"/>
              </w:rPr>
              <w:t>The court can refer a child or young person to  restorative justice (YJA s</w:t>
            </w:r>
            <w:r w:rsidR="0089316B" w:rsidRPr="00EC02CA">
              <w:rPr>
                <w:rFonts w:cs="Times New Roman"/>
                <w:sz w:val="20"/>
                <w:szCs w:val="20"/>
              </w:rPr>
              <w:t>s</w:t>
            </w:r>
            <w:r w:rsidRPr="00EC02CA">
              <w:rPr>
                <w:rFonts w:cs="Times New Roman"/>
                <w:sz w:val="20"/>
                <w:szCs w:val="20"/>
              </w:rPr>
              <w:t xml:space="preserve"> 22, 162). The child or young person must admit to committing the offence. </w:t>
            </w:r>
          </w:p>
          <w:p w14:paraId="4DCB6459" w14:textId="0A53307F" w:rsidR="006D0EB8" w:rsidRPr="00EC02CA" w:rsidRDefault="006D0EB8" w:rsidP="00A920EC">
            <w:pPr>
              <w:spacing w:before="60" w:after="60"/>
              <w:jc w:val="left"/>
              <w:rPr>
                <w:rFonts w:cs="Times New Roman"/>
                <w:sz w:val="20"/>
                <w:szCs w:val="20"/>
              </w:rPr>
            </w:pPr>
            <w:r w:rsidRPr="00EC02CA">
              <w:rPr>
                <w:rFonts w:cs="Times New Roman"/>
                <w:sz w:val="20"/>
                <w:szCs w:val="20"/>
              </w:rPr>
              <w:t>Sentencing courts can also refer children and young people to RJ as part of a sentence and can make a ‘Restorative Justice Order’</w:t>
            </w:r>
            <w:r w:rsidR="0089316B" w:rsidRPr="00EC02CA">
              <w:rPr>
                <w:rFonts w:cs="Times New Roman"/>
                <w:sz w:val="20"/>
                <w:szCs w:val="20"/>
              </w:rPr>
              <w:t>:</w:t>
            </w:r>
            <w:r w:rsidRPr="00EC02CA">
              <w:rPr>
                <w:rFonts w:cs="Times New Roman"/>
                <w:sz w:val="20"/>
                <w:szCs w:val="20"/>
              </w:rPr>
              <w:t xml:space="preserve"> YJA s 175(db). </w:t>
            </w:r>
          </w:p>
        </w:tc>
        <w:tc>
          <w:tcPr>
            <w:tcW w:w="6055" w:type="dxa"/>
          </w:tcPr>
          <w:p w14:paraId="33167CCF" w14:textId="1C1EA8F3"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 xml:space="preserve">Childrens Court Act 1992 </w:t>
            </w:r>
            <w:r w:rsidR="00D112B0" w:rsidRPr="00EC02CA">
              <w:rPr>
                <w:rFonts w:cs="Times New Roman"/>
                <w:sz w:val="20"/>
                <w:szCs w:val="20"/>
              </w:rPr>
              <w:t>(Qld)</w:t>
            </w:r>
          </w:p>
          <w:p w14:paraId="25C9A9F0" w14:textId="77777777" w:rsidR="00696AC2" w:rsidRPr="00EC02CA" w:rsidRDefault="00696AC2" w:rsidP="006A2316">
            <w:pPr>
              <w:spacing w:before="60" w:after="60"/>
              <w:jc w:val="left"/>
              <w:rPr>
                <w:rFonts w:cs="Times New Roman"/>
                <w:i/>
                <w:iCs/>
                <w:sz w:val="20"/>
                <w:szCs w:val="20"/>
              </w:rPr>
            </w:pPr>
          </w:p>
          <w:p w14:paraId="3D760F71" w14:textId="491A2C80" w:rsidR="006D0EB8" w:rsidRPr="00EC02CA" w:rsidRDefault="006D0EB8" w:rsidP="00A920EC">
            <w:pPr>
              <w:spacing w:before="60" w:after="60"/>
              <w:jc w:val="left"/>
              <w:rPr>
                <w:rFonts w:cs="Times New Roman"/>
                <w:sz w:val="20"/>
                <w:szCs w:val="20"/>
              </w:rPr>
            </w:pPr>
            <w:r w:rsidRPr="00EC02CA">
              <w:rPr>
                <w:rFonts w:cs="Times New Roman"/>
                <w:i/>
                <w:iCs/>
                <w:sz w:val="20"/>
                <w:szCs w:val="20"/>
              </w:rPr>
              <w:t>Youth Justice Act 1992</w:t>
            </w:r>
            <w:r w:rsidRPr="00EC02CA">
              <w:rPr>
                <w:rFonts w:cs="Times New Roman"/>
                <w:sz w:val="20"/>
                <w:szCs w:val="20"/>
              </w:rPr>
              <w:t xml:space="preserve"> </w:t>
            </w:r>
            <w:r w:rsidR="00D112B0" w:rsidRPr="00EC02CA">
              <w:rPr>
                <w:rFonts w:cs="Times New Roman"/>
                <w:sz w:val="20"/>
                <w:szCs w:val="20"/>
              </w:rPr>
              <w:t>(Qld)</w:t>
            </w:r>
          </w:p>
        </w:tc>
      </w:tr>
      <w:tr w:rsidR="006D0EB8" w:rsidRPr="00EC02CA" w14:paraId="2BE095B1" w14:textId="77777777" w:rsidTr="00A920EC">
        <w:tc>
          <w:tcPr>
            <w:tcW w:w="1838" w:type="dxa"/>
            <w:vMerge w:val="restart"/>
          </w:tcPr>
          <w:p w14:paraId="78E3549F"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South Australia</w:t>
            </w:r>
          </w:p>
        </w:tc>
        <w:tc>
          <w:tcPr>
            <w:tcW w:w="6055" w:type="dxa"/>
          </w:tcPr>
          <w:p w14:paraId="44325DA9"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7D6524B9" w14:textId="0C2A053E" w:rsidR="006D0EB8" w:rsidRPr="00EC02CA" w:rsidRDefault="006D0EB8" w:rsidP="00A920EC">
            <w:pPr>
              <w:spacing w:before="60" w:after="60"/>
              <w:jc w:val="left"/>
              <w:rPr>
                <w:rFonts w:cs="Times New Roman"/>
                <w:sz w:val="20"/>
                <w:szCs w:val="20"/>
              </w:rPr>
            </w:pPr>
            <w:r w:rsidRPr="00EC02CA">
              <w:rPr>
                <w:rFonts w:cs="Times New Roman"/>
                <w:sz w:val="20"/>
                <w:szCs w:val="20"/>
              </w:rPr>
              <w:t>Available for minor offences: offences to which the YOA</w:t>
            </w:r>
            <w:r w:rsidR="0089316B" w:rsidRPr="00EC02CA">
              <w:rPr>
                <w:rFonts w:cs="Times New Roman"/>
                <w:sz w:val="20"/>
                <w:szCs w:val="20"/>
              </w:rPr>
              <w:t>-SA</w:t>
            </w:r>
            <w:r w:rsidRPr="00EC02CA">
              <w:rPr>
                <w:rFonts w:cs="Times New Roman"/>
                <w:sz w:val="20"/>
                <w:szCs w:val="20"/>
              </w:rPr>
              <w:t xml:space="preserve"> apples that should, in the opinion of the police officer in charge of the investigation be dealt with as a minor offence because of the limited extent to harm caused through the commission of the offence, the character and antecedents of the alleged offender, the improbability of the youth reoffending and where relevant the attitude of the youth’s parents or guardians s 3.</w:t>
            </w:r>
          </w:p>
          <w:p w14:paraId="16189E04" w14:textId="5845ED0D" w:rsidR="006D0EB8" w:rsidRPr="00EC02CA" w:rsidRDefault="006D0EB8" w:rsidP="00A920EC">
            <w:pPr>
              <w:spacing w:before="60" w:after="60"/>
              <w:jc w:val="left"/>
              <w:rPr>
                <w:rFonts w:cs="Times New Roman"/>
                <w:sz w:val="20"/>
                <w:szCs w:val="20"/>
              </w:rPr>
            </w:pPr>
            <w:r w:rsidRPr="00EC02CA">
              <w:rPr>
                <w:rFonts w:cs="Times New Roman"/>
                <w:sz w:val="20"/>
                <w:szCs w:val="20"/>
              </w:rPr>
              <w:t>The Act applies to any offence alleged to have been committed by a youth except an offence excluded by regulation s 3. This means diversion is available for sexual offending,</w:t>
            </w:r>
          </w:p>
          <w:p w14:paraId="50752410" w14:textId="5DC0960D"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Informal caution YOA</w:t>
            </w:r>
            <w:r w:rsidR="0089316B" w:rsidRPr="00EC02CA">
              <w:rPr>
                <w:rFonts w:cs="Times New Roman"/>
                <w:i/>
                <w:iCs/>
                <w:sz w:val="20"/>
                <w:szCs w:val="20"/>
              </w:rPr>
              <w:t>-SA</w:t>
            </w:r>
            <w:r w:rsidRPr="00EC02CA">
              <w:rPr>
                <w:rFonts w:cs="Times New Roman"/>
                <w:i/>
                <w:iCs/>
                <w:sz w:val="20"/>
                <w:szCs w:val="20"/>
              </w:rPr>
              <w:t xml:space="preserve"> s 6</w:t>
            </w:r>
          </w:p>
          <w:p w14:paraId="3823AD7E" w14:textId="42F88F69" w:rsidR="006D0EB8" w:rsidRPr="00EC02CA" w:rsidRDefault="006D0EB8" w:rsidP="00A920EC">
            <w:pPr>
              <w:spacing w:before="60" w:after="60"/>
              <w:jc w:val="left"/>
              <w:rPr>
                <w:rFonts w:cs="Times New Roman"/>
                <w:sz w:val="20"/>
                <w:szCs w:val="20"/>
              </w:rPr>
            </w:pPr>
            <w:r w:rsidRPr="00EC02CA">
              <w:rPr>
                <w:rFonts w:cs="Times New Roman"/>
                <w:sz w:val="20"/>
                <w:szCs w:val="20"/>
              </w:rPr>
              <w:t>Police officer may informally caution for minor offence</w:t>
            </w:r>
          </w:p>
          <w:p w14:paraId="2A1A91D8" w14:textId="557D3723"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Formal caution YOA</w:t>
            </w:r>
            <w:r w:rsidR="0089316B" w:rsidRPr="00EC02CA">
              <w:rPr>
                <w:rFonts w:cs="Times New Roman"/>
                <w:i/>
                <w:iCs/>
                <w:sz w:val="20"/>
                <w:szCs w:val="20"/>
              </w:rPr>
              <w:t>-SA</w:t>
            </w:r>
            <w:r w:rsidRPr="00EC02CA">
              <w:rPr>
                <w:rFonts w:cs="Times New Roman"/>
                <w:i/>
                <w:iCs/>
                <w:sz w:val="20"/>
                <w:szCs w:val="20"/>
              </w:rPr>
              <w:t xml:space="preserve"> s 7</w:t>
            </w:r>
          </w:p>
          <w:p w14:paraId="0B8B1BB4" w14:textId="0E9513E6" w:rsidR="006D0EB8" w:rsidRPr="00EC02CA" w:rsidRDefault="006D0EB8" w:rsidP="00A920EC">
            <w:pPr>
              <w:spacing w:before="60" w:after="60"/>
              <w:jc w:val="left"/>
              <w:rPr>
                <w:rFonts w:cs="Times New Roman"/>
                <w:sz w:val="20"/>
                <w:szCs w:val="20"/>
              </w:rPr>
            </w:pPr>
            <w:r w:rsidRPr="00EC02CA">
              <w:rPr>
                <w:rFonts w:cs="Times New Roman"/>
                <w:sz w:val="20"/>
                <w:szCs w:val="20"/>
              </w:rPr>
              <w:t>If young person admits to minor offence, police officer may formally caution s 8.</w:t>
            </w:r>
          </w:p>
          <w:p w14:paraId="43D3CA7E" w14:textId="4DC8C834"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 xml:space="preserve">Youth Justice Family conferencing </w:t>
            </w:r>
          </w:p>
          <w:p w14:paraId="6511D5AD" w14:textId="033C26E0" w:rsidR="006D0EB8" w:rsidRPr="00EC02CA" w:rsidRDefault="0035218F" w:rsidP="00A920EC">
            <w:pPr>
              <w:spacing w:before="60" w:after="60"/>
              <w:jc w:val="left"/>
              <w:rPr>
                <w:rFonts w:cs="Times New Roman"/>
                <w:sz w:val="20"/>
                <w:szCs w:val="20"/>
              </w:rPr>
            </w:pPr>
            <w:r w:rsidRPr="00EC02CA">
              <w:rPr>
                <w:rFonts w:cs="Times New Roman"/>
                <w:sz w:val="20"/>
                <w:szCs w:val="20"/>
              </w:rPr>
              <w:t>For minor offences, a p</w:t>
            </w:r>
            <w:r w:rsidR="006D0EB8" w:rsidRPr="00EC02CA">
              <w:rPr>
                <w:rFonts w:cs="Times New Roman"/>
                <w:sz w:val="20"/>
                <w:szCs w:val="20"/>
              </w:rPr>
              <w:t>olice officer may notify a Youth Justice coordinator of the admission so that a family conference may be convened</w:t>
            </w:r>
            <w:r w:rsidR="00696AC2" w:rsidRPr="00EC02CA">
              <w:rPr>
                <w:rFonts w:cs="Times New Roman"/>
                <w:sz w:val="20"/>
                <w:szCs w:val="20"/>
              </w:rPr>
              <w:t>: YOA-SA</w:t>
            </w:r>
            <w:r w:rsidR="006D0EB8" w:rsidRPr="00EC02CA">
              <w:rPr>
                <w:rFonts w:cs="Times New Roman"/>
                <w:sz w:val="20"/>
                <w:szCs w:val="20"/>
              </w:rPr>
              <w:t xml:space="preserve"> s 7(b).</w:t>
            </w:r>
          </w:p>
        </w:tc>
        <w:tc>
          <w:tcPr>
            <w:tcW w:w="6055" w:type="dxa"/>
          </w:tcPr>
          <w:p w14:paraId="783F34FC" w14:textId="4774798E"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Young Offenders Act 1993 </w:t>
            </w:r>
            <w:r w:rsidRPr="00EC02CA">
              <w:rPr>
                <w:rFonts w:cs="Times New Roman"/>
                <w:sz w:val="20"/>
                <w:szCs w:val="20"/>
              </w:rPr>
              <w:t>(SA)</w:t>
            </w:r>
            <w:r w:rsidR="0089316B" w:rsidRPr="00EC02CA">
              <w:rPr>
                <w:rFonts w:cs="Times New Roman"/>
                <w:sz w:val="20"/>
                <w:szCs w:val="20"/>
              </w:rPr>
              <w:t xml:space="preserve"> (</w:t>
            </w:r>
            <w:r w:rsidR="00135672" w:rsidRPr="00EC02CA">
              <w:rPr>
                <w:rFonts w:cs="Times New Roman"/>
                <w:sz w:val="20"/>
                <w:szCs w:val="20"/>
              </w:rPr>
              <w:t>‘</w:t>
            </w:r>
            <w:r w:rsidR="0089316B" w:rsidRPr="00EC02CA">
              <w:rPr>
                <w:rFonts w:cs="Times New Roman"/>
                <w:sz w:val="20"/>
                <w:szCs w:val="20"/>
              </w:rPr>
              <w:t>YOA-SA</w:t>
            </w:r>
            <w:r w:rsidR="00135672" w:rsidRPr="00EC02CA">
              <w:rPr>
                <w:rFonts w:cs="Times New Roman"/>
                <w:sz w:val="20"/>
                <w:szCs w:val="20"/>
              </w:rPr>
              <w:t>’</w:t>
            </w:r>
            <w:r w:rsidR="0089316B" w:rsidRPr="00EC02CA">
              <w:rPr>
                <w:rFonts w:cs="Times New Roman"/>
                <w:sz w:val="20"/>
                <w:szCs w:val="20"/>
              </w:rPr>
              <w:t>)</w:t>
            </w:r>
          </w:p>
        </w:tc>
      </w:tr>
      <w:tr w:rsidR="006D0EB8" w:rsidRPr="00EC02CA" w14:paraId="63EE3291" w14:textId="77777777" w:rsidTr="00A920EC">
        <w:tc>
          <w:tcPr>
            <w:tcW w:w="1838" w:type="dxa"/>
            <w:vMerge/>
          </w:tcPr>
          <w:p w14:paraId="61DB81BD" w14:textId="77777777" w:rsidR="006D0EB8" w:rsidRPr="00EC02CA" w:rsidRDefault="006D0EB8" w:rsidP="00A920EC">
            <w:pPr>
              <w:spacing w:before="60" w:after="60"/>
              <w:jc w:val="left"/>
              <w:rPr>
                <w:rFonts w:cs="Times New Roman"/>
                <w:sz w:val="20"/>
                <w:szCs w:val="20"/>
              </w:rPr>
            </w:pPr>
          </w:p>
        </w:tc>
        <w:tc>
          <w:tcPr>
            <w:tcW w:w="6055" w:type="dxa"/>
          </w:tcPr>
          <w:p w14:paraId="3993D544" w14:textId="141EB564"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2104F40B" w14:textId="0E35DE86"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56130AA8" w14:textId="2C3EDAF7" w:rsidR="006D0EB8" w:rsidRPr="00EC02CA" w:rsidRDefault="006D0EB8" w:rsidP="00A920EC">
            <w:pPr>
              <w:spacing w:before="60" w:after="60"/>
              <w:jc w:val="left"/>
              <w:rPr>
                <w:rFonts w:cs="Times New Roman"/>
                <w:sz w:val="20"/>
                <w:szCs w:val="20"/>
              </w:rPr>
            </w:pPr>
            <w:r w:rsidRPr="00EC02CA">
              <w:rPr>
                <w:rFonts w:cs="Times New Roman"/>
                <w:sz w:val="20"/>
                <w:szCs w:val="20"/>
              </w:rPr>
              <w:t>The Youth Court can hear all offences, summary o</w:t>
            </w:r>
            <w:r w:rsidR="00696AC2" w:rsidRPr="00EC02CA">
              <w:rPr>
                <w:rFonts w:cs="Times New Roman"/>
                <w:sz w:val="20"/>
                <w:szCs w:val="20"/>
              </w:rPr>
              <w:t>r</w:t>
            </w:r>
            <w:r w:rsidRPr="00EC02CA">
              <w:rPr>
                <w:rFonts w:cs="Times New Roman"/>
                <w:sz w:val="20"/>
                <w:szCs w:val="20"/>
              </w:rPr>
              <w:t xml:space="preserve"> indicatable</w:t>
            </w:r>
            <w:r w:rsidR="00696AC2" w:rsidRPr="00EC02CA">
              <w:rPr>
                <w:rFonts w:cs="Times New Roman"/>
                <w:sz w:val="20"/>
                <w:szCs w:val="20"/>
              </w:rPr>
              <w:t xml:space="preserve">: </w:t>
            </w:r>
            <w:r w:rsidRPr="00EC02CA">
              <w:rPr>
                <w:rFonts w:cs="Times New Roman"/>
                <w:sz w:val="20"/>
                <w:szCs w:val="20"/>
              </w:rPr>
              <w:t>YCA s 7(b); YOA</w:t>
            </w:r>
            <w:r w:rsidR="00696AC2" w:rsidRPr="00EC02CA">
              <w:rPr>
                <w:rFonts w:cs="Times New Roman"/>
                <w:sz w:val="20"/>
                <w:szCs w:val="20"/>
              </w:rPr>
              <w:t>-SA</w:t>
            </w:r>
            <w:r w:rsidRPr="00EC02CA">
              <w:rPr>
                <w:rFonts w:cs="Times New Roman"/>
                <w:sz w:val="20"/>
                <w:szCs w:val="20"/>
              </w:rPr>
              <w:t xml:space="preserve"> s 16, 17. However, the DPP may lay a charge in the Magistrates Court if the youth is charged with a major indicatable offence and the DPP is of the opinion that the youth poses an appreciable risk to the safety of the community</w:t>
            </w:r>
            <w:r w:rsidRPr="00EC02CA">
              <w:rPr>
                <w:rStyle w:val="FootnoteReference"/>
                <w:sz w:val="20"/>
                <w:szCs w:val="20"/>
              </w:rPr>
              <w:footnoteReference w:id="970"/>
            </w:r>
            <w:r w:rsidRPr="00EC02CA">
              <w:rPr>
                <w:rFonts w:cs="Times New Roman"/>
                <w:sz w:val="20"/>
                <w:szCs w:val="20"/>
              </w:rPr>
              <w:t>. The is provision for committal by the Magistrates Court to the Supreme Court or District Court or to the Youth Court</w:t>
            </w:r>
            <w:r w:rsidR="00696AC2" w:rsidRPr="00EC02CA">
              <w:rPr>
                <w:rFonts w:cs="Times New Roman"/>
                <w:sz w:val="20"/>
                <w:szCs w:val="20"/>
              </w:rPr>
              <w:t>:</w:t>
            </w:r>
            <w:r w:rsidRPr="00EC02CA">
              <w:rPr>
                <w:rFonts w:cs="Times New Roman"/>
                <w:sz w:val="20"/>
                <w:szCs w:val="20"/>
              </w:rPr>
              <w:t xml:space="preserve"> YOA</w:t>
            </w:r>
            <w:r w:rsidR="00696AC2" w:rsidRPr="00EC02CA">
              <w:rPr>
                <w:rFonts w:cs="Times New Roman"/>
                <w:sz w:val="20"/>
                <w:szCs w:val="20"/>
              </w:rPr>
              <w:t>-SA</w:t>
            </w:r>
            <w:r w:rsidRPr="00EC02CA">
              <w:rPr>
                <w:rFonts w:cs="Times New Roman"/>
                <w:sz w:val="20"/>
                <w:szCs w:val="20"/>
              </w:rPr>
              <w:t xml:space="preserve"> s 17A.</w:t>
            </w:r>
          </w:p>
          <w:p w14:paraId="3A8FB2A3" w14:textId="0A83819A" w:rsidR="006D0EB8" w:rsidRPr="00EC02CA" w:rsidRDefault="006D0EB8" w:rsidP="00A920EC">
            <w:pPr>
              <w:spacing w:before="60" w:after="60"/>
              <w:jc w:val="left"/>
              <w:rPr>
                <w:rFonts w:cs="Times New Roman"/>
                <w:sz w:val="20"/>
                <w:szCs w:val="20"/>
              </w:rPr>
            </w:pPr>
            <w:r w:rsidRPr="00EC02CA">
              <w:rPr>
                <w:rFonts w:cs="Times New Roman"/>
                <w:sz w:val="20"/>
                <w:szCs w:val="20"/>
              </w:rPr>
              <w:t>The Youth Court can also refer to Supreme Court or District Court on application of the DPP or a police prosecution because of gravity of offence or because of pattern of repeated offending</w:t>
            </w:r>
            <w:r w:rsidR="00696AC2" w:rsidRPr="00EC02CA">
              <w:rPr>
                <w:rFonts w:cs="Times New Roman"/>
                <w:sz w:val="20"/>
                <w:szCs w:val="20"/>
              </w:rPr>
              <w:t>:</w:t>
            </w:r>
            <w:r w:rsidRPr="00EC02CA">
              <w:rPr>
                <w:rFonts w:cs="Times New Roman"/>
                <w:sz w:val="20"/>
                <w:szCs w:val="20"/>
              </w:rPr>
              <w:t xml:space="preserve"> YOA</w:t>
            </w:r>
            <w:r w:rsidR="00696AC2" w:rsidRPr="00EC02CA">
              <w:rPr>
                <w:rFonts w:cs="Times New Roman"/>
                <w:sz w:val="20"/>
                <w:szCs w:val="20"/>
              </w:rPr>
              <w:t>-SA</w:t>
            </w:r>
            <w:r w:rsidRPr="00EC02CA">
              <w:rPr>
                <w:rFonts w:cs="Times New Roman"/>
                <w:sz w:val="20"/>
                <w:szCs w:val="20"/>
              </w:rPr>
              <w:t xml:space="preserve"> s 17(3)(c).</w:t>
            </w:r>
          </w:p>
          <w:p w14:paraId="5C04FE6D"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7DFE31CB" w14:textId="0349F245" w:rsidR="006D0EB8" w:rsidRPr="00EC02CA" w:rsidRDefault="006D0EB8" w:rsidP="00A920EC">
            <w:pPr>
              <w:spacing w:before="60" w:after="60"/>
              <w:jc w:val="left"/>
              <w:rPr>
                <w:rFonts w:cs="Times New Roman"/>
                <w:sz w:val="20"/>
                <w:szCs w:val="20"/>
              </w:rPr>
            </w:pPr>
            <w:r w:rsidRPr="00EC02CA">
              <w:rPr>
                <w:rFonts w:cs="Times New Roman"/>
                <w:sz w:val="20"/>
                <w:szCs w:val="20"/>
              </w:rPr>
              <w:t>Can refer after guilt is established to be dealt with by a police officer or a family conference</w:t>
            </w:r>
            <w:r w:rsidR="00696AC2" w:rsidRPr="00EC02CA">
              <w:rPr>
                <w:rFonts w:cs="Times New Roman"/>
                <w:sz w:val="20"/>
                <w:szCs w:val="20"/>
              </w:rPr>
              <w:t>:</w:t>
            </w:r>
            <w:r w:rsidRPr="00EC02CA">
              <w:rPr>
                <w:rFonts w:cs="Times New Roman"/>
                <w:sz w:val="20"/>
                <w:szCs w:val="20"/>
              </w:rPr>
              <w:t xml:space="preserve"> YOA</w:t>
            </w:r>
            <w:r w:rsidR="00696AC2" w:rsidRPr="00EC02CA">
              <w:rPr>
                <w:rFonts w:cs="Times New Roman"/>
                <w:sz w:val="20"/>
                <w:szCs w:val="20"/>
              </w:rPr>
              <w:t>-SA</w:t>
            </w:r>
            <w:r w:rsidRPr="00EC02CA">
              <w:rPr>
                <w:rFonts w:cs="Times New Roman"/>
                <w:sz w:val="20"/>
                <w:szCs w:val="20"/>
              </w:rPr>
              <w:t xml:space="preserve"> s 17(2).</w:t>
            </w:r>
          </w:p>
        </w:tc>
        <w:tc>
          <w:tcPr>
            <w:tcW w:w="6055" w:type="dxa"/>
          </w:tcPr>
          <w:p w14:paraId="1BC941F1" w14:textId="7A9C69EE" w:rsidR="006D0EB8" w:rsidRPr="00EC02CA" w:rsidRDefault="006D0EB8" w:rsidP="00A920EC">
            <w:pPr>
              <w:spacing w:before="60" w:after="60"/>
              <w:jc w:val="left"/>
              <w:rPr>
                <w:rFonts w:cs="Times New Roman"/>
                <w:sz w:val="20"/>
                <w:szCs w:val="20"/>
              </w:rPr>
            </w:pPr>
            <w:r w:rsidRPr="00EC02CA">
              <w:rPr>
                <w:rFonts w:cs="Times New Roman"/>
                <w:i/>
                <w:iCs/>
                <w:sz w:val="20"/>
                <w:szCs w:val="20"/>
              </w:rPr>
              <w:t>Young Offenders Act 1993</w:t>
            </w:r>
            <w:r w:rsidRPr="00EC02CA">
              <w:rPr>
                <w:rFonts w:cs="Times New Roman"/>
                <w:sz w:val="20"/>
                <w:szCs w:val="20"/>
              </w:rPr>
              <w:t xml:space="preserve"> (SA)</w:t>
            </w:r>
            <w:r w:rsidR="00696AC2" w:rsidRPr="00EC02CA">
              <w:rPr>
                <w:rFonts w:cs="Times New Roman"/>
                <w:sz w:val="20"/>
                <w:szCs w:val="20"/>
              </w:rPr>
              <w:t xml:space="preserve"> (</w:t>
            </w:r>
            <w:r w:rsidR="00135672" w:rsidRPr="00EC02CA">
              <w:rPr>
                <w:rFonts w:cs="Times New Roman"/>
                <w:sz w:val="20"/>
                <w:szCs w:val="20"/>
              </w:rPr>
              <w:t>‘</w:t>
            </w:r>
            <w:r w:rsidR="00696AC2" w:rsidRPr="00EC02CA">
              <w:rPr>
                <w:rFonts w:cs="Times New Roman"/>
                <w:sz w:val="20"/>
                <w:szCs w:val="20"/>
              </w:rPr>
              <w:t>YOA-SA</w:t>
            </w:r>
            <w:r w:rsidR="00135672" w:rsidRPr="00EC02CA">
              <w:rPr>
                <w:rFonts w:cs="Times New Roman"/>
                <w:sz w:val="20"/>
                <w:szCs w:val="20"/>
              </w:rPr>
              <w:t>’</w:t>
            </w:r>
            <w:r w:rsidR="00696AC2" w:rsidRPr="00EC02CA">
              <w:rPr>
                <w:rFonts w:cs="Times New Roman"/>
                <w:sz w:val="20"/>
                <w:szCs w:val="20"/>
              </w:rPr>
              <w:t>)</w:t>
            </w:r>
          </w:p>
          <w:p w14:paraId="12F38482" w14:textId="77777777" w:rsidR="006D0EB8" w:rsidRPr="00EC02CA" w:rsidRDefault="006D0EB8" w:rsidP="00A920EC">
            <w:pPr>
              <w:spacing w:before="60" w:after="60"/>
              <w:jc w:val="left"/>
              <w:rPr>
                <w:rFonts w:cs="Times New Roman"/>
                <w:sz w:val="20"/>
                <w:szCs w:val="20"/>
              </w:rPr>
            </w:pPr>
          </w:p>
          <w:p w14:paraId="232F2D6B" w14:textId="4FBB1656"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Youth Court Act 1993 </w:t>
            </w:r>
            <w:r w:rsidRPr="00EC02CA">
              <w:rPr>
                <w:rFonts w:cs="Times New Roman"/>
                <w:sz w:val="20"/>
                <w:szCs w:val="20"/>
              </w:rPr>
              <w:t>(SA)</w:t>
            </w:r>
            <w:r w:rsidR="00696AC2" w:rsidRPr="00EC02CA">
              <w:rPr>
                <w:rFonts w:cs="Times New Roman"/>
                <w:sz w:val="20"/>
                <w:szCs w:val="20"/>
              </w:rPr>
              <w:t xml:space="preserve"> (</w:t>
            </w:r>
            <w:r w:rsidR="00135672" w:rsidRPr="00EC02CA">
              <w:rPr>
                <w:rFonts w:cs="Times New Roman"/>
                <w:sz w:val="20"/>
                <w:szCs w:val="20"/>
              </w:rPr>
              <w:t>‘</w:t>
            </w:r>
            <w:r w:rsidR="00696AC2" w:rsidRPr="00EC02CA">
              <w:rPr>
                <w:rFonts w:cs="Times New Roman"/>
                <w:sz w:val="20"/>
                <w:szCs w:val="20"/>
              </w:rPr>
              <w:t>YCA</w:t>
            </w:r>
            <w:r w:rsidR="00135672" w:rsidRPr="00EC02CA">
              <w:rPr>
                <w:rFonts w:cs="Times New Roman"/>
                <w:sz w:val="20"/>
                <w:szCs w:val="20"/>
              </w:rPr>
              <w:t>’</w:t>
            </w:r>
            <w:r w:rsidR="00696AC2" w:rsidRPr="00EC02CA">
              <w:rPr>
                <w:rFonts w:cs="Times New Roman"/>
                <w:sz w:val="20"/>
                <w:szCs w:val="20"/>
              </w:rPr>
              <w:t>)</w:t>
            </w:r>
          </w:p>
        </w:tc>
      </w:tr>
      <w:tr w:rsidR="006D0EB8" w:rsidRPr="00EC02CA" w14:paraId="7FC6EC4B" w14:textId="77777777" w:rsidTr="00A920EC">
        <w:tc>
          <w:tcPr>
            <w:tcW w:w="1838" w:type="dxa"/>
            <w:vMerge w:val="restart"/>
          </w:tcPr>
          <w:p w14:paraId="4416D691" w14:textId="0262F726" w:rsidR="006D0EB8" w:rsidRPr="00EC02CA" w:rsidRDefault="00BD19F6" w:rsidP="00A920EC">
            <w:pPr>
              <w:spacing w:before="60" w:after="60"/>
              <w:jc w:val="left"/>
              <w:rPr>
                <w:rFonts w:cs="Times New Roman"/>
                <w:sz w:val="20"/>
                <w:szCs w:val="20"/>
              </w:rPr>
            </w:pPr>
            <w:r w:rsidRPr="00EC02CA">
              <w:rPr>
                <w:rFonts w:cs="Times New Roman"/>
                <w:sz w:val="20"/>
                <w:szCs w:val="20"/>
              </w:rPr>
              <w:t>Australian Capital Territory</w:t>
            </w:r>
          </w:p>
        </w:tc>
        <w:tc>
          <w:tcPr>
            <w:tcW w:w="6055" w:type="dxa"/>
          </w:tcPr>
          <w:p w14:paraId="151E5D6C" w14:textId="4A656A3F"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48F2A544"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Caution</w:t>
            </w:r>
          </w:p>
          <w:p w14:paraId="64452A2C"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Common law</w:t>
            </w:r>
          </w:p>
          <w:p w14:paraId="79405E8C"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Conference</w:t>
            </w:r>
          </w:p>
          <w:p w14:paraId="5B9F1FBC" w14:textId="11170BE2"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Restorative Justice </w:t>
            </w:r>
            <w:r w:rsidR="00035DBE" w:rsidRPr="00EC02CA">
              <w:rPr>
                <w:rFonts w:cs="Times New Roman"/>
                <w:sz w:val="20"/>
                <w:szCs w:val="20"/>
              </w:rPr>
              <w:t xml:space="preserve">(RJ) </w:t>
            </w:r>
            <w:r w:rsidRPr="00EC02CA">
              <w:rPr>
                <w:rFonts w:cs="Times New Roman"/>
                <w:sz w:val="20"/>
                <w:szCs w:val="20"/>
              </w:rPr>
              <w:t>is available for sexual offences for children who are at least 10 years old and are under the age of criminal responsibility (12 but under 14 if had knowledge of wrongfulness of act for a schedule offence otherwise 14) and young people (aged 14 and under 18 at the time of the offence)</w:t>
            </w:r>
            <w:r w:rsidR="00696AC2" w:rsidRPr="00EC02CA">
              <w:rPr>
                <w:rFonts w:cs="Times New Roman"/>
                <w:sz w:val="20"/>
                <w:szCs w:val="20"/>
              </w:rPr>
              <w:t>:</w:t>
            </w:r>
            <w:r w:rsidRPr="00EC02CA">
              <w:rPr>
                <w:rFonts w:cs="Times New Roman"/>
                <w:sz w:val="20"/>
                <w:szCs w:val="20"/>
              </w:rPr>
              <w:t xml:space="preserve"> CRJA 12, CC 25.</w:t>
            </w:r>
          </w:p>
          <w:p w14:paraId="029155F4" w14:textId="29B00FDF" w:rsidR="006D0EB8" w:rsidRPr="00EC02CA" w:rsidRDefault="006D0EB8" w:rsidP="00A920EC">
            <w:pPr>
              <w:spacing w:before="60" w:after="60"/>
              <w:jc w:val="left"/>
              <w:rPr>
                <w:rFonts w:cs="Times New Roman"/>
                <w:sz w:val="20"/>
                <w:szCs w:val="20"/>
              </w:rPr>
            </w:pPr>
            <w:r w:rsidRPr="00EC02CA">
              <w:rPr>
                <w:rFonts w:cs="Times New Roman"/>
                <w:sz w:val="20"/>
                <w:szCs w:val="20"/>
              </w:rPr>
              <w:t>Before charges are filed, less serious offences can be referred to RJ in exceptional circumstances, but the referral should have no effect on any other action or proposed action, such as a decision to file charges</w:t>
            </w:r>
            <w:r w:rsidR="00696AC2" w:rsidRPr="00EC02CA">
              <w:rPr>
                <w:rFonts w:cs="Times New Roman"/>
                <w:sz w:val="20"/>
                <w:szCs w:val="20"/>
              </w:rPr>
              <w:t>:</w:t>
            </w:r>
            <w:r w:rsidRPr="00EC02CA">
              <w:rPr>
                <w:rFonts w:cs="Times New Roman"/>
                <w:sz w:val="20"/>
                <w:szCs w:val="20"/>
              </w:rPr>
              <w:t xml:space="preserve"> CRJA ss 7, 16(2), 22, 33(2).</w:t>
            </w:r>
          </w:p>
          <w:p w14:paraId="060B8BAA" w14:textId="625DB827" w:rsidR="006D0EB8" w:rsidRPr="00EC02CA" w:rsidRDefault="006D0EB8" w:rsidP="00A920EC">
            <w:pPr>
              <w:spacing w:before="60" w:after="60"/>
              <w:jc w:val="left"/>
              <w:rPr>
                <w:rFonts w:cs="Times New Roman"/>
                <w:sz w:val="20"/>
                <w:szCs w:val="20"/>
              </w:rPr>
            </w:pPr>
            <w:r w:rsidRPr="00EC02CA">
              <w:rPr>
                <w:rFonts w:cs="Times New Roman"/>
                <w:sz w:val="20"/>
                <w:szCs w:val="20"/>
              </w:rPr>
              <w:t>For child offenders: after charges are filed, all sexual offences can be referred to RJ</w:t>
            </w:r>
            <w:r w:rsidR="00696AC2" w:rsidRPr="00EC02CA">
              <w:rPr>
                <w:rFonts w:cs="Times New Roman"/>
                <w:sz w:val="20"/>
                <w:szCs w:val="20"/>
              </w:rPr>
              <w:t xml:space="preserve">: </w:t>
            </w:r>
            <w:r w:rsidRPr="00EC02CA">
              <w:rPr>
                <w:rFonts w:cs="Times New Roman"/>
                <w:sz w:val="20"/>
                <w:szCs w:val="20"/>
              </w:rPr>
              <w:t xml:space="preserve">CRJ </w:t>
            </w:r>
            <w:r w:rsidR="00696AC2" w:rsidRPr="00EC02CA">
              <w:rPr>
                <w:rFonts w:cs="Times New Roman"/>
                <w:sz w:val="20"/>
                <w:szCs w:val="20"/>
              </w:rPr>
              <w:t xml:space="preserve">s </w:t>
            </w:r>
            <w:r w:rsidRPr="00EC02CA">
              <w:rPr>
                <w:rFonts w:cs="Times New Roman"/>
                <w:sz w:val="20"/>
                <w:szCs w:val="20"/>
              </w:rPr>
              <w:t>16(3), 22. Child offenders must not deny responsibility for the commission of the offence</w:t>
            </w:r>
            <w:r w:rsidR="00696AC2" w:rsidRPr="00EC02CA">
              <w:rPr>
                <w:rFonts w:cs="Times New Roman"/>
                <w:sz w:val="20"/>
                <w:szCs w:val="20"/>
              </w:rPr>
              <w:t>:</w:t>
            </w:r>
            <w:r w:rsidRPr="00EC02CA">
              <w:rPr>
                <w:rFonts w:cs="Times New Roman"/>
                <w:sz w:val="20"/>
                <w:szCs w:val="20"/>
              </w:rPr>
              <w:t xml:space="preserve"> CRJA s 19(1)(b)(iii).</w:t>
            </w:r>
          </w:p>
          <w:p w14:paraId="1C206DAB" w14:textId="0C29710B" w:rsidR="006D0EB8" w:rsidRPr="00EC02CA" w:rsidRDefault="006D0EB8" w:rsidP="00A920EC">
            <w:pPr>
              <w:spacing w:before="60" w:after="60"/>
              <w:jc w:val="left"/>
              <w:rPr>
                <w:rFonts w:cs="Times New Roman"/>
                <w:sz w:val="20"/>
                <w:szCs w:val="20"/>
              </w:rPr>
            </w:pPr>
            <w:r w:rsidRPr="00EC02CA">
              <w:rPr>
                <w:rFonts w:cs="Times New Roman"/>
                <w:sz w:val="20"/>
                <w:szCs w:val="20"/>
              </w:rPr>
              <w:t>For young offenders: after charges are filed and before a guilty plea or finding, less serious sexual offences can be referred to RJ in exceptional circumstances</w:t>
            </w:r>
            <w:r w:rsidR="00696AC2" w:rsidRPr="00EC02CA">
              <w:rPr>
                <w:rFonts w:cs="Times New Roman"/>
                <w:sz w:val="20"/>
                <w:szCs w:val="20"/>
              </w:rPr>
              <w:t>:</w:t>
            </w:r>
            <w:r w:rsidRPr="00EC02CA">
              <w:rPr>
                <w:rFonts w:cs="Times New Roman"/>
                <w:sz w:val="20"/>
                <w:szCs w:val="20"/>
              </w:rPr>
              <w:t xml:space="preserve"> CRJA s</w:t>
            </w:r>
            <w:r w:rsidR="00696AC2" w:rsidRPr="00EC02CA">
              <w:rPr>
                <w:rFonts w:cs="Times New Roman"/>
                <w:sz w:val="20"/>
                <w:szCs w:val="20"/>
              </w:rPr>
              <w:t>s</w:t>
            </w:r>
            <w:r w:rsidRPr="00EC02CA">
              <w:rPr>
                <w:rFonts w:cs="Times New Roman"/>
                <w:sz w:val="20"/>
                <w:szCs w:val="20"/>
              </w:rPr>
              <w:t xml:space="preserve"> 16(2), 22. The young person must not deny responsibility for the commission of the offence</w:t>
            </w:r>
            <w:r w:rsidR="00696AC2" w:rsidRPr="00EC02CA">
              <w:rPr>
                <w:rFonts w:cs="Times New Roman"/>
                <w:sz w:val="20"/>
                <w:szCs w:val="20"/>
              </w:rPr>
              <w:t>:</w:t>
            </w:r>
            <w:r w:rsidRPr="00EC02CA">
              <w:rPr>
                <w:rFonts w:cs="Times New Roman"/>
                <w:sz w:val="20"/>
                <w:szCs w:val="20"/>
              </w:rPr>
              <w:t xml:space="preserve"> CRJA s 19(1)(b)(ii).</w:t>
            </w:r>
          </w:p>
          <w:p w14:paraId="05FF2554" w14:textId="406E8E5A"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Serious sexual violence are defined under </w:t>
            </w:r>
            <w:r w:rsidR="00BD19F6" w:rsidRPr="00EC02CA">
              <w:rPr>
                <w:rFonts w:cs="Times New Roman"/>
                <w:sz w:val="20"/>
                <w:szCs w:val="20"/>
              </w:rPr>
              <w:t xml:space="preserve">pt </w:t>
            </w:r>
            <w:r w:rsidRPr="00EC02CA">
              <w:rPr>
                <w:rFonts w:cs="Times New Roman"/>
                <w:sz w:val="20"/>
                <w:szCs w:val="20"/>
              </w:rPr>
              <w:t xml:space="preserve">3 of the </w:t>
            </w:r>
            <w:r w:rsidRPr="00EC02CA">
              <w:rPr>
                <w:rFonts w:cs="Times New Roman"/>
                <w:i/>
                <w:iCs/>
                <w:sz w:val="20"/>
                <w:szCs w:val="20"/>
              </w:rPr>
              <w:t xml:space="preserve">Crimes Act 1900 </w:t>
            </w:r>
            <w:r w:rsidRPr="00EC02CA">
              <w:rPr>
                <w:rFonts w:cs="Times New Roman"/>
                <w:sz w:val="20"/>
                <w:szCs w:val="20"/>
              </w:rPr>
              <w:t>(Cth) as those punishable by a term of 10 years or longer</w:t>
            </w:r>
            <w:r w:rsidR="00696AC2" w:rsidRPr="00EC02CA">
              <w:rPr>
                <w:rFonts w:cs="Times New Roman"/>
                <w:sz w:val="20"/>
                <w:szCs w:val="20"/>
              </w:rPr>
              <w:t>:</w:t>
            </w:r>
            <w:r w:rsidRPr="00EC02CA">
              <w:rPr>
                <w:rFonts w:cs="Times New Roman"/>
                <w:sz w:val="20"/>
                <w:szCs w:val="20"/>
              </w:rPr>
              <w:t xml:space="preserve"> CRJA s 12.</w:t>
            </w:r>
          </w:p>
          <w:p w14:paraId="63FA0724" w14:textId="3079310D" w:rsidR="006D0EB8" w:rsidRPr="00EC02CA" w:rsidRDefault="006D0EB8" w:rsidP="00A920EC">
            <w:pPr>
              <w:spacing w:before="60" w:after="60"/>
              <w:jc w:val="left"/>
              <w:rPr>
                <w:rFonts w:cs="Times New Roman"/>
                <w:sz w:val="20"/>
                <w:szCs w:val="20"/>
              </w:rPr>
            </w:pPr>
            <w:r w:rsidRPr="00EC02CA">
              <w:rPr>
                <w:rFonts w:cs="Times New Roman"/>
                <w:sz w:val="20"/>
                <w:szCs w:val="20"/>
              </w:rPr>
              <w:t>Less serious sexual offences are offences punishable by a term of less than 10 years</w:t>
            </w:r>
            <w:r w:rsidR="00696AC2" w:rsidRPr="00EC02CA">
              <w:rPr>
                <w:rFonts w:cs="Times New Roman"/>
                <w:sz w:val="20"/>
                <w:szCs w:val="20"/>
              </w:rPr>
              <w:t>:</w:t>
            </w:r>
            <w:r w:rsidRPr="00EC02CA">
              <w:rPr>
                <w:rFonts w:cs="Times New Roman"/>
                <w:sz w:val="20"/>
                <w:szCs w:val="20"/>
              </w:rPr>
              <w:t xml:space="preserve"> CRJA s 12.</w:t>
            </w:r>
          </w:p>
        </w:tc>
        <w:tc>
          <w:tcPr>
            <w:tcW w:w="6055" w:type="dxa"/>
          </w:tcPr>
          <w:p w14:paraId="09F0D77C" w14:textId="10D71AFF" w:rsidR="006D0EB8" w:rsidRPr="00EC02CA" w:rsidRDefault="006D0EB8" w:rsidP="00A920EC">
            <w:pPr>
              <w:spacing w:before="60" w:after="60"/>
              <w:jc w:val="left"/>
              <w:rPr>
                <w:rFonts w:cs="Times New Roman"/>
                <w:sz w:val="20"/>
                <w:szCs w:val="20"/>
              </w:rPr>
            </w:pPr>
            <w:r w:rsidRPr="00EC02CA">
              <w:rPr>
                <w:rFonts w:cs="Times New Roman"/>
                <w:i/>
                <w:iCs/>
                <w:sz w:val="20"/>
                <w:szCs w:val="20"/>
              </w:rPr>
              <w:t>Crimes (Restorative Justice) Act 2004</w:t>
            </w:r>
            <w:r w:rsidRPr="00EC02CA">
              <w:rPr>
                <w:rFonts w:cs="Times New Roman"/>
                <w:sz w:val="20"/>
                <w:szCs w:val="20"/>
              </w:rPr>
              <w:t xml:space="preserve"> (ACT) </w:t>
            </w:r>
            <w:r w:rsidR="00696AC2" w:rsidRPr="00EC02CA">
              <w:rPr>
                <w:rFonts w:cs="Times New Roman"/>
                <w:sz w:val="20"/>
                <w:szCs w:val="20"/>
              </w:rPr>
              <w:t>(</w:t>
            </w:r>
            <w:r w:rsidR="00135672" w:rsidRPr="00EC02CA">
              <w:rPr>
                <w:rFonts w:cs="Times New Roman"/>
                <w:sz w:val="20"/>
                <w:szCs w:val="20"/>
              </w:rPr>
              <w:t>‘</w:t>
            </w:r>
            <w:r w:rsidR="00696AC2" w:rsidRPr="00EC02CA">
              <w:rPr>
                <w:rFonts w:cs="Times New Roman"/>
                <w:sz w:val="20"/>
                <w:szCs w:val="20"/>
              </w:rPr>
              <w:t>CRJA</w:t>
            </w:r>
            <w:r w:rsidR="00135672" w:rsidRPr="00EC02CA">
              <w:rPr>
                <w:rFonts w:cs="Times New Roman"/>
                <w:sz w:val="20"/>
                <w:szCs w:val="20"/>
              </w:rPr>
              <w:t>’</w:t>
            </w:r>
            <w:r w:rsidR="00696AC2" w:rsidRPr="00EC02CA">
              <w:rPr>
                <w:rFonts w:cs="Times New Roman"/>
                <w:sz w:val="20"/>
                <w:szCs w:val="20"/>
              </w:rPr>
              <w:t xml:space="preserve">) </w:t>
            </w:r>
            <w:r w:rsidRPr="00EC02CA">
              <w:rPr>
                <w:rFonts w:cs="Times New Roman"/>
                <w:sz w:val="20"/>
                <w:szCs w:val="20"/>
              </w:rPr>
              <w:t>ss 12, 16(1), 17.</w:t>
            </w:r>
            <w:r w:rsidRPr="00EC02CA">
              <w:rPr>
                <w:rStyle w:val="FootnoteReference"/>
                <w:sz w:val="20"/>
                <w:szCs w:val="20"/>
              </w:rPr>
              <w:footnoteReference w:id="971"/>
            </w:r>
          </w:p>
          <w:p w14:paraId="778756A2" w14:textId="77777777" w:rsidR="006D0EB8" w:rsidRPr="00EC02CA" w:rsidRDefault="006D0EB8" w:rsidP="00A920EC">
            <w:pPr>
              <w:spacing w:before="60" w:after="60"/>
              <w:jc w:val="left"/>
              <w:rPr>
                <w:rFonts w:cs="Times New Roman"/>
                <w:sz w:val="20"/>
                <w:szCs w:val="20"/>
              </w:rPr>
            </w:pPr>
          </w:p>
          <w:p w14:paraId="1E137399" w14:textId="77777777"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Criminal Code </w:t>
            </w:r>
            <w:r w:rsidRPr="00EC02CA">
              <w:rPr>
                <w:rFonts w:cs="Times New Roman"/>
                <w:sz w:val="20"/>
                <w:szCs w:val="20"/>
              </w:rPr>
              <w:t xml:space="preserve">(ACT) </w:t>
            </w:r>
          </w:p>
          <w:p w14:paraId="6B467A0A" w14:textId="77777777" w:rsidR="006D0EB8" w:rsidRPr="00EC02CA" w:rsidRDefault="006D0EB8" w:rsidP="00A920EC">
            <w:pPr>
              <w:spacing w:before="60" w:after="60"/>
              <w:jc w:val="left"/>
              <w:rPr>
                <w:rFonts w:cs="Times New Roman"/>
                <w:sz w:val="20"/>
                <w:szCs w:val="20"/>
              </w:rPr>
            </w:pPr>
          </w:p>
          <w:p w14:paraId="09C4BA16"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See Crimes (Restorative Justice) Sexual and Family Violence Offences Guidelines 2018 (ACT) cl 4</w:t>
            </w:r>
          </w:p>
          <w:p w14:paraId="5B23998F" w14:textId="77777777" w:rsidR="006D0EB8" w:rsidRPr="00EC02CA" w:rsidRDefault="006D0EB8" w:rsidP="00A920EC">
            <w:pPr>
              <w:spacing w:before="60" w:after="60"/>
              <w:jc w:val="left"/>
              <w:rPr>
                <w:rFonts w:cs="Times New Roman"/>
                <w:sz w:val="20"/>
                <w:szCs w:val="20"/>
              </w:rPr>
            </w:pPr>
          </w:p>
        </w:tc>
      </w:tr>
      <w:tr w:rsidR="006D0EB8" w:rsidRPr="00EC02CA" w14:paraId="207BB2A8" w14:textId="77777777" w:rsidTr="00A920EC">
        <w:tc>
          <w:tcPr>
            <w:tcW w:w="1838" w:type="dxa"/>
            <w:vMerge/>
          </w:tcPr>
          <w:p w14:paraId="0D64084A" w14:textId="77777777" w:rsidR="006D0EB8" w:rsidRPr="00EC02CA" w:rsidRDefault="006D0EB8" w:rsidP="00A920EC">
            <w:pPr>
              <w:spacing w:before="60" w:after="60"/>
              <w:jc w:val="left"/>
              <w:rPr>
                <w:rFonts w:cs="Times New Roman"/>
                <w:sz w:val="20"/>
                <w:szCs w:val="20"/>
              </w:rPr>
            </w:pPr>
          </w:p>
        </w:tc>
        <w:tc>
          <w:tcPr>
            <w:tcW w:w="6055" w:type="dxa"/>
          </w:tcPr>
          <w:p w14:paraId="519EA8EB"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2D1864E3"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6C75B5F6" w14:textId="73CE418F" w:rsidR="006D0EB8" w:rsidRPr="00EC02CA" w:rsidRDefault="006D0EB8" w:rsidP="00A920EC">
            <w:pPr>
              <w:spacing w:before="60" w:after="60"/>
              <w:jc w:val="left"/>
              <w:rPr>
                <w:rFonts w:cs="Times New Roman"/>
                <w:sz w:val="20"/>
                <w:szCs w:val="20"/>
              </w:rPr>
            </w:pPr>
            <w:r w:rsidRPr="00EC02CA">
              <w:rPr>
                <w:rFonts w:cs="Times New Roman"/>
                <w:sz w:val="20"/>
                <w:szCs w:val="20"/>
              </w:rPr>
              <w:t>The Childrens Court (which is a division of the Magistrates Court) has jurisdiction to hear any criminal proceedings in relation to a summary offence or an indicatable offence (other than an offence punishable by life imprisonment)</w:t>
            </w:r>
            <w:r w:rsidR="00696AC2" w:rsidRPr="00EC02CA">
              <w:rPr>
                <w:rFonts w:cs="Times New Roman"/>
                <w:sz w:val="20"/>
                <w:szCs w:val="20"/>
              </w:rPr>
              <w:t>:</w:t>
            </w:r>
            <w:r w:rsidRPr="00EC02CA">
              <w:rPr>
                <w:rFonts w:cs="Times New Roman"/>
                <w:sz w:val="20"/>
                <w:szCs w:val="20"/>
              </w:rPr>
              <w:t xml:space="preserve"> MCA s</w:t>
            </w:r>
            <w:r w:rsidR="00696AC2" w:rsidRPr="00EC02CA">
              <w:rPr>
                <w:rFonts w:cs="Times New Roman"/>
                <w:sz w:val="20"/>
                <w:szCs w:val="20"/>
              </w:rPr>
              <w:t>s</w:t>
            </w:r>
            <w:r w:rsidRPr="00EC02CA">
              <w:rPr>
                <w:rFonts w:cs="Times New Roman"/>
                <w:sz w:val="20"/>
                <w:szCs w:val="20"/>
              </w:rPr>
              <w:t xml:space="preserve"> 288(1)(a) and (b).</w:t>
            </w:r>
          </w:p>
          <w:p w14:paraId="7D4816B7" w14:textId="1AC82CCC" w:rsidR="006D0EB8" w:rsidRPr="00EC02CA" w:rsidRDefault="006D0EB8" w:rsidP="00A920EC">
            <w:pPr>
              <w:spacing w:before="60" w:after="60"/>
              <w:jc w:val="left"/>
              <w:rPr>
                <w:rFonts w:cs="Times New Roman"/>
                <w:sz w:val="20"/>
                <w:szCs w:val="20"/>
              </w:rPr>
            </w:pPr>
            <w:r w:rsidRPr="00EC02CA">
              <w:rPr>
                <w:rFonts w:cs="Times New Roman"/>
                <w:sz w:val="20"/>
                <w:szCs w:val="20"/>
              </w:rPr>
              <w:t>The Childrens Court may send a case to the Supreme Court for sentencing if satisfied that the sentenced that should be passes on the person by Supreme Court because of the character and history of the person or that the sentence that is likely to be appropriate is a sentence the Childrens Court does not have the power to impose</w:t>
            </w:r>
            <w:r w:rsidR="00696AC2" w:rsidRPr="00EC02CA">
              <w:rPr>
                <w:rFonts w:cs="Times New Roman"/>
                <w:sz w:val="20"/>
                <w:szCs w:val="20"/>
              </w:rPr>
              <w:t>:</w:t>
            </w:r>
            <w:r w:rsidRPr="00EC02CA">
              <w:rPr>
                <w:rFonts w:cs="Times New Roman"/>
                <w:sz w:val="20"/>
                <w:szCs w:val="20"/>
              </w:rPr>
              <w:t xml:space="preserve"> </w:t>
            </w:r>
            <w:r w:rsidR="00035DBE" w:rsidRPr="00EC02CA">
              <w:rPr>
                <w:rFonts w:cs="Times New Roman"/>
                <w:sz w:val="20"/>
                <w:szCs w:val="20"/>
              </w:rPr>
              <w:t xml:space="preserve">MCA </w:t>
            </w:r>
            <w:r w:rsidRPr="00EC02CA">
              <w:rPr>
                <w:rFonts w:cs="Times New Roman"/>
                <w:sz w:val="20"/>
                <w:szCs w:val="20"/>
              </w:rPr>
              <w:t>s 291G</w:t>
            </w:r>
          </w:p>
          <w:p w14:paraId="519C55B4"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169FBA49"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Can refer to RJ as above.</w:t>
            </w:r>
          </w:p>
          <w:p w14:paraId="4BFF5B66" w14:textId="282AC961" w:rsidR="006D0EB8" w:rsidRPr="00EC02CA" w:rsidRDefault="006D0EB8" w:rsidP="00A920EC">
            <w:pPr>
              <w:spacing w:before="60" w:after="60"/>
              <w:jc w:val="left"/>
              <w:rPr>
                <w:rFonts w:cs="Times New Roman"/>
                <w:sz w:val="20"/>
                <w:szCs w:val="20"/>
              </w:rPr>
            </w:pPr>
            <w:r w:rsidRPr="00EC02CA">
              <w:rPr>
                <w:rFonts w:cs="Times New Roman"/>
                <w:sz w:val="20"/>
                <w:szCs w:val="20"/>
              </w:rPr>
              <w:t>In addition, serious sexual offences cannot be referred to RJ before a guilty plea or finding. Serious sexual offences can be referred to RJ following a guilty plea or finding and before sentencing</w:t>
            </w:r>
            <w:r w:rsidR="00696AC2" w:rsidRPr="00EC02CA">
              <w:rPr>
                <w:rFonts w:cs="Times New Roman"/>
                <w:sz w:val="20"/>
                <w:szCs w:val="20"/>
              </w:rPr>
              <w:t>:</w:t>
            </w:r>
            <w:r w:rsidRPr="00EC02CA">
              <w:rPr>
                <w:rFonts w:cs="Times New Roman"/>
                <w:sz w:val="20"/>
                <w:szCs w:val="20"/>
              </w:rPr>
              <w:t xml:space="preserve"> CRJA s 16(4). The young offender must accept responsibility for commission of the offence</w:t>
            </w:r>
            <w:r w:rsidR="00696AC2" w:rsidRPr="00EC02CA">
              <w:rPr>
                <w:rFonts w:cs="Times New Roman"/>
                <w:sz w:val="20"/>
                <w:szCs w:val="20"/>
              </w:rPr>
              <w:t>:</w:t>
            </w:r>
            <w:r w:rsidRPr="00EC02CA">
              <w:rPr>
                <w:rFonts w:cs="Times New Roman"/>
                <w:sz w:val="20"/>
                <w:szCs w:val="20"/>
              </w:rPr>
              <w:t xml:space="preserve"> CRJA </w:t>
            </w:r>
            <w:r w:rsidR="00696AC2" w:rsidRPr="00EC02CA">
              <w:rPr>
                <w:rFonts w:cs="Times New Roman"/>
                <w:sz w:val="20"/>
                <w:szCs w:val="20"/>
              </w:rPr>
              <w:t xml:space="preserve">s </w:t>
            </w:r>
            <w:r w:rsidRPr="00EC02CA">
              <w:rPr>
                <w:rFonts w:cs="Times New Roman"/>
                <w:sz w:val="20"/>
                <w:szCs w:val="20"/>
              </w:rPr>
              <w:t>19(1)(b)(i).</w:t>
            </w:r>
          </w:p>
          <w:p w14:paraId="39855FD4" w14:textId="2EA26B5C"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See </w:t>
            </w:r>
            <w:r w:rsidR="00B50F67" w:rsidRPr="00EC02CA">
              <w:rPr>
                <w:rFonts w:cs="Times New Roman"/>
                <w:sz w:val="20"/>
                <w:szCs w:val="20"/>
              </w:rPr>
              <w:t>CRJA</w:t>
            </w:r>
            <w:r w:rsidR="002B2AB2" w:rsidRPr="00EC02CA">
              <w:rPr>
                <w:rFonts w:cs="Times New Roman"/>
                <w:sz w:val="20"/>
                <w:szCs w:val="20"/>
              </w:rPr>
              <w:t xml:space="preserve"> </w:t>
            </w:r>
            <w:r w:rsidR="00696AC2" w:rsidRPr="00EC02CA">
              <w:rPr>
                <w:rFonts w:cs="Times New Roman"/>
                <w:sz w:val="20"/>
                <w:szCs w:val="20"/>
              </w:rPr>
              <w:t>d</w:t>
            </w:r>
            <w:r w:rsidRPr="00EC02CA">
              <w:rPr>
                <w:rFonts w:cs="Times New Roman"/>
                <w:sz w:val="20"/>
                <w:szCs w:val="20"/>
              </w:rPr>
              <w:t>iv 6.3 for referral by courts.</w:t>
            </w:r>
          </w:p>
        </w:tc>
        <w:tc>
          <w:tcPr>
            <w:tcW w:w="6055" w:type="dxa"/>
          </w:tcPr>
          <w:p w14:paraId="4CBA151E" w14:textId="77777777" w:rsidR="006D0EB8" w:rsidRPr="00EC02CA" w:rsidRDefault="006D0EB8" w:rsidP="00A920EC">
            <w:pPr>
              <w:spacing w:before="60" w:after="60"/>
              <w:jc w:val="left"/>
              <w:rPr>
                <w:rFonts w:cs="Times New Roman"/>
                <w:sz w:val="20"/>
                <w:szCs w:val="20"/>
              </w:rPr>
            </w:pPr>
            <w:r w:rsidRPr="00EC02CA">
              <w:rPr>
                <w:rFonts w:cs="Times New Roman"/>
                <w:i/>
                <w:iCs/>
                <w:sz w:val="20"/>
                <w:szCs w:val="20"/>
              </w:rPr>
              <w:t>Crimes (Restorative Justice) Act 2004</w:t>
            </w:r>
            <w:r w:rsidRPr="00EC02CA">
              <w:rPr>
                <w:rFonts w:cs="Times New Roman"/>
                <w:sz w:val="20"/>
                <w:szCs w:val="20"/>
              </w:rPr>
              <w:t xml:space="preserve"> (ACT) ss 12, 16(1), 17</w:t>
            </w:r>
          </w:p>
          <w:p w14:paraId="19C8F638" w14:textId="77777777" w:rsidR="006D0EB8" w:rsidRPr="00EC02CA" w:rsidRDefault="006D0EB8" w:rsidP="00A920EC">
            <w:pPr>
              <w:spacing w:before="60" w:after="60"/>
              <w:jc w:val="left"/>
              <w:rPr>
                <w:rFonts w:cs="Times New Roman"/>
                <w:sz w:val="20"/>
                <w:szCs w:val="20"/>
              </w:rPr>
            </w:pPr>
          </w:p>
          <w:p w14:paraId="4D9A7F69"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See Crimes (Restorative Justice) Sexual and Family Violence Offences Guidelines 2018 (ACT) cl 4</w:t>
            </w:r>
          </w:p>
          <w:p w14:paraId="3B16BA68" w14:textId="77777777" w:rsidR="006D0EB8" w:rsidRPr="00EC02CA" w:rsidRDefault="006D0EB8" w:rsidP="00A920EC">
            <w:pPr>
              <w:spacing w:before="60" w:after="60"/>
              <w:jc w:val="left"/>
              <w:rPr>
                <w:rFonts w:cs="Times New Roman"/>
                <w:sz w:val="20"/>
                <w:szCs w:val="20"/>
              </w:rPr>
            </w:pPr>
          </w:p>
          <w:p w14:paraId="71FA0AC2" w14:textId="05F4601B" w:rsidR="006D0EB8" w:rsidRPr="00EC02CA" w:rsidRDefault="006D0EB8" w:rsidP="00A920EC">
            <w:pPr>
              <w:spacing w:before="60" w:after="60"/>
              <w:jc w:val="left"/>
              <w:rPr>
                <w:rFonts w:cs="Times New Roman"/>
                <w:sz w:val="20"/>
                <w:szCs w:val="20"/>
              </w:rPr>
            </w:pPr>
            <w:r w:rsidRPr="00EC02CA">
              <w:rPr>
                <w:rFonts w:cs="Times New Roman"/>
                <w:i/>
                <w:iCs/>
                <w:sz w:val="20"/>
                <w:szCs w:val="20"/>
              </w:rPr>
              <w:t xml:space="preserve">Magistrates Court Act 1930 </w:t>
            </w:r>
            <w:r w:rsidRPr="00EC02CA">
              <w:rPr>
                <w:rFonts w:cs="Times New Roman"/>
                <w:sz w:val="20"/>
                <w:szCs w:val="20"/>
              </w:rPr>
              <w:t>(ACT)</w:t>
            </w:r>
            <w:r w:rsidR="00696AC2" w:rsidRPr="00EC02CA">
              <w:rPr>
                <w:rFonts w:cs="Times New Roman"/>
                <w:sz w:val="20"/>
                <w:szCs w:val="20"/>
              </w:rPr>
              <w:t xml:space="preserve"> (</w:t>
            </w:r>
            <w:r w:rsidR="00135672" w:rsidRPr="00EC02CA">
              <w:rPr>
                <w:rFonts w:cs="Times New Roman"/>
                <w:sz w:val="20"/>
                <w:szCs w:val="20"/>
              </w:rPr>
              <w:t>‘</w:t>
            </w:r>
            <w:r w:rsidR="00696AC2" w:rsidRPr="00EC02CA">
              <w:rPr>
                <w:rFonts w:cs="Times New Roman"/>
                <w:sz w:val="20"/>
                <w:szCs w:val="20"/>
              </w:rPr>
              <w:t>MCA</w:t>
            </w:r>
            <w:r w:rsidR="00135672" w:rsidRPr="00EC02CA">
              <w:rPr>
                <w:rFonts w:cs="Times New Roman"/>
                <w:sz w:val="20"/>
                <w:szCs w:val="20"/>
              </w:rPr>
              <w:t>’</w:t>
            </w:r>
            <w:r w:rsidR="00696AC2" w:rsidRPr="00EC02CA">
              <w:rPr>
                <w:rFonts w:cs="Times New Roman"/>
                <w:sz w:val="20"/>
                <w:szCs w:val="20"/>
              </w:rPr>
              <w:t>)</w:t>
            </w:r>
            <w:r w:rsidRPr="00EC02CA">
              <w:rPr>
                <w:rFonts w:cs="Times New Roman"/>
                <w:sz w:val="20"/>
                <w:szCs w:val="20"/>
              </w:rPr>
              <w:t xml:space="preserve"> </w:t>
            </w:r>
            <w:r w:rsidR="00FA2ED7" w:rsidRPr="00EC02CA">
              <w:rPr>
                <w:rFonts w:cs="Times New Roman"/>
                <w:sz w:val="20"/>
                <w:szCs w:val="20"/>
              </w:rPr>
              <w:t xml:space="preserve">ch </w:t>
            </w:r>
            <w:r w:rsidRPr="00EC02CA">
              <w:rPr>
                <w:rFonts w:cs="Times New Roman"/>
                <w:sz w:val="20"/>
                <w:szCs w:val="20"/>
              </w:rPr>
              <w:t>4A</w:t>
            </w:r>
          </w:p>
        </w:tc>
      </w:tr>
      <w:tr w:rsidR="006D0EB8" w:rsidRPr="00EC02CA" w14:paraId="291B2436" w14:textId="77777777" w:rsidTr="00A920EC">
        <w:trPr>
          <w:trHeight w:val="877"/>
        </w:trPr>
        <w:tc>
          <w:tcPr>
            <w:tcW w:w="1838" w:type="dxa"/>
            <w:vMerge w:val="restart"/>
          </w:tcPr>
          <w:p w14:paraId="4481AC60"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Northern Territory</w:t>
            </w:r>
          </w:p>
        </w:tc>
        <w:tc>
          <w:tcPr>
            <w:tcW w:w="6055" w:type="dxa"/>
          </w:tcPr>
          <w:p w14:paraId="581D3D86" w14:textId="2C83DA50"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220CF39E" w14:textId="0B17A97A"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Police can give a verbal or written warning, set up a youth justice conference or refer to a diversionary program if believes on reasonable grounds that the person has committed an offence. </w:t>
            </w:r>
            <w:r w:rsidR="00696AC2" w:rsidRPr="00EC02CA">
              <w:rPr>
                <w:rFonts w:cs="Times New Roman"/>
                <w:sz w:val="20"/>
                <w:szCs w:val="20"/>
              </w:rPr>
              <w:t>YJA-</w:t>
            </w:r>
            <w:r w:rsidR="002B2AB2" w:rsidRPr="00EC02CA">
              <w:rPr>
                <w:rFonts w:cs="Times New Roman"/>
                <w:sz w:val="20"/>
                <w:szCs w:val="20"/>
              </w:rPr>
              <w:t>NT</w:t>
            </w:r>
            <w:r w:rsidRPr="00EC02CA">
              <w:rPr>
                <w:rFonts w:cs="Times New Roman"/>
                <w:sz w:val="20"/>
                <w:szCs w:val="20"/>
              </w:rPr>
              <w:t xml:space="preserve"> s 39. </w:t>
            </w:r>
          </w:p>
          <w:p w14:paraId="7B33549F" w14:textId="079C3A55" w:rsidR="006D0EB8" w:rsidRPr="00EC02CA" w:rsidRDefault="006D0EB8" w:rsidP="00A920EC">
            <w:pPr>
              <w:spacing w:before="60" w:after="60"/>
              <w:jc w:val="left"/>
              <w:rPr>
                <w:rFonts w:cs="Times New Roman"/>
                <w:sz w:val="20"/>
                <w:szCs w:val="20"/>
              </w:rPr>
            </w:pPr>
            <w:r w:rsidRPr="00EC02CA">
              <w:rPr>
                <w:rFonts w:cs="Times New Roman"/>
                <w:sz w:val="20"/>
                <w:szCs w:val="20"/>
              </w:rPr>
              <w:t>This does not apply to prescribed offences YJA</w:t>
            </w:r>
            <w:r w:rsidR="00696AC2" w:rsidRPr="00EC02CA">
              <w:rPr>
                <w:rFonts w:cs="Times New Roman"/>
                <w:sz w:val="20"/>
                <w:szCs w:val="20"/>
              </w:rPr>
              <w:t>-NT</w:t>
            </w:r>
            <w:r w:rsidRPr="00EC02CA">
              <w:rPr>
                <w:rFonts w:cs="Times New Roman"/>
                <w:sz w:val="20"/>
                <w:szCs w:val="20"/>
              </w:rPr>
              <w:t xml:space="preserve"> s 39(3)(b). A prescribed offence is an offence defined by regulation</w:t>
            </w:r>
            <w:r w:rsidR="002B2AB2" w:rsidRPr="00EC02CA">
              <w:rPr>
                <w:rFonts w:cs="Times New Roman"/>
                <w:sz w:val="20"/>
                <w:szCs w:val="20"/>
              </w:rPr>
              <w:t>,</w:t>
            </w:r>
            <w:r w:rsidRPr="00EC02CA">
              <w:rPr>
                <w:rFonts w:cs="Times New Roman"/>
                <w:sz w:val="20"/>
                <w:szCs w:val="20"/>
              </w:rPr>
              <w:t xml:space="preserve"> YJA</w:t>
            </w:r>
            <w:r w:rsidR="00696AC2" w:rsidRPr="00EC02CA">
              <w:rPr>
                <w:rFonts w:cs="Times New Roman"/>
                <w:sz w:val="20"/>
                <w:szCs w:val="20"/>
              </w:rPr>
              <w:t>-NT</w:t>
            </w:r>
            <w:r w:rsidRPr="00EC02CA">
              <w:rPr>
                <w:rFonts w:cs="Times New Roman"/>
                <w:sz w:val="20"/>
                <w:szCs w:val="20"/>
              </w:rPr>
              <w:t xml:space="preserve"> s 38A. Prescribed offences are defined in the YJ</w:t>
            </w:r>
            <w:r w:rsidR="002B2AB2" w:rsidRPr="00EC02CA">
              <w:rPr>
                <w:rFonts w:cs="Times New Roman"/>
                <w:sz w:val="20"/>
                <w:szCs w:val="20"/>
              </w:rPr>
              <w:t>A</w:t>
            </w:r>
            <w:r w:rsidR="00696AC2" w:rsidRPr="00EC02CA">
              <w:rPr>
                <w:rFonts w:cs="Times New Roman"/>
                <w:sz w:val="20"/>
                <w:szCs w:val="20"/>
              </w:rPr>
              <w:t>-NT</w:t>
            </w:r>
            <w:r w:rsidRPr="00EC02CA">
              <w:rPr>
                <w:rFonts w:cs="Times New Roman"/>
                <w:sz w:val="20"/>
                <w:szCs w:val="20"/>
              </w:rPr>
              <w:t xml:space="preserve"> regulations</w:t>
            </w:r>
            <w:r w:rsidR="002B2AB2" w:rsidRPr="00EC02CA">
              <w:rPr>
                <w:rFonts w:cs="Times New Roman"/>
                <w:sz w:val="20"/>
                <w:szCs w:val="20"/>
              </w:rPr>
              <w:t>,</w:t>
            </w:r>
            <w:r w:rsidRPr="00EC02CA">
              <w:rPr>
                <w:rFonts w:cs="Times New Roman"/>
                <w:sz w:val="20"/>
                <w:szCs w:val="20"/>
              </w:rPr>
              <w:t xml:space="preserve"> s 3A. This includes production, possession of child abuse material CC s 125B(1), sexual intercourse without consent CC s 208H, gross indecency without consent s 208HB, sexual intercourse with a child under 16 s 208J, gross indecency with a child under 16 s 208JB, </w:t>
            </w:r>
          </w:p>
          <w:p w14:paraId="3CE49D14" w14:textId="25CD739B" w:rsidR="006D0EB8" w:rsidRPr="00EC02CA" w:rsidRDefault="006D0EB8" w:rsidP="00A920EC">
            <w:pPr>
              <w:spacing w:before="60" w:after="60"/>
              <w:jc w:val="left"/>
              <w:rPr>
                <w:rFonts w:cs="Times New Roman"/>
                <w:sz w:val="20"/>
                <w:szCs w:val="20"/>
              </w:rPr>
            </w:pPr>
            <w:r w:rsidRPr="00EC02CA">
              <w:rPr>
                <w:rFonts w:cs="Times New Roman"/>
                <w:sz w:val="20"/>
                <w:szCs w:val="20"/>
              </w:rPr>
              <w:t>For prescribed offences, the Commissioner of Police may authorise or require police to deal with a youth by a Youth Justice Conference or by referring to diversion program YJA</w:t>
            </w:r>
            <w:r w:rsidR="00696AC2" w:rsidRPr="00EC02CA">
              <w:rPr>
                <w:rFonts w:cs="Times New Roman"/>
                <w:sz w:val="20"/>
                <w:szCs w:val="20"/>
              </w:rPr>
              <w:t>-NT</w:t>
            </w:r>
            <w:r w:rsidRPr="00EC02CA">
              <w:rPr>
                <w:rFonts w:cs="Times New Roman"/>
                <w:sz w:val="20"/>
                <w:szCs w:val="20"/>
              </w:rPr>
              <w:t xml:space="preserve"> s 39(4).</w:t>
            </w:r>
          </w:p>
          <w:p w14:paraId="04C7339B" w14:textId="4FF0A6EE" w:rsidR="006D0EB8" w:rsidRPr="00EC02CA" w:rsidRDefault="006D0EB8" w:rsidP="00A920EC">
            <w:pPr>
              <w:spacing w:before="60" w:after="60"/>
              <w:jc w:val="left"/>
              <w:rPr>
                <w:rFonts w:cs="Times New Roman"/>
                <w:sz w:val="20"/>
                <w:szCs w:val="20"/>
              </w:rPr>
            </w:pPr>
            <w:r w:rsidRPr="00EC02CA">
              <w:rPr>
                <w:rFonts w:cs="Times New Roman"/>
                <w:sz w:val="20"/>
                <w:szCs w:val="20"/>
              </w:rPr>
              <w:t>The youth must not deny a role in the behaviour to be diverted YJA</w:t>
            </w:r>
            <w:r w:rsidR="00696AC2" w:rsidRPr="00EC02CA">
              <w:rPr>
                <w:rFonts w:cs="Times New Roman"/>
                <w:sz w:val="20"/>
                <w:szCs w:val="20"/>
              </w:rPr>
              <w:t>-NT</w:t>
            </w:r>
            <w:r w:rsidRPr="00EC02CA">
              <w:rPr>
                <w:rFonts w:cs="Times New Roman"/>
                <w:sz w:val="20"/>
                <w:szCs w:val="20"/>
              </w:rPr>
              <w:t xml:space="preserve"> s 40(1).</w:t>
            </w:r>
          </w:p>
        </w:tc>
        <w:tc>
          <w:tcPr>
            <w:tcW w:w="6055" w:type="dxa"/>
          </w:tcPr>
          <w:p w14:paraId="69136BCA" w14:textId="67923CC1" w:rsidR="006D0EB8" w:rsidRPr="00EC02CA" w:rsidRDefault="006D0EB8" w:rsidP="00A920EC">
            <w:pPr>
              <w:spacing w:before="60" w:after="60"/>
              <w:jc w:val="left"/>
              <w:rPr>
                <w:rFonts w:cs="Times New Roman"/>
                <w:sz w:val="20"/>
                <w:szCs w:val="20"/>
              </w:rPr>
            </w:pPr>
            <w:r w:rsidRPr="00EC02CA">
              <w:rPr>
                <w:rFonts w:cs="Times New Roman"/>
                <w:i/>
                <w:iCs/>
                <w:sz w:val="20"/>
                <w:szCs w:val="20"/>
              </w:rPr>
              <w:t>Youth Justice Act 2005</w:t>
            </w:r>
            <w:r w:rsidRPr="00EC02CA">
              <w:rPr>
                <w:rFonts w:cs="Times New Roman"/>
                <w:sz w:val="20"/>
                <w:szCs w:val="20"/>
              </w:rPr>
              <w:t xml:space="preserve"> (NT)</w:t>
            </w:r>
            <w:r w:rsidR="00696AC2" w:rsidRPr="00EC02CA">
              <w:rPr>
                <w:rFonts w:cs="Times New Roman"/>
                <w:sz w:val="20"/>
                <w:szCs w:val="20"/>
              </w:rPr>
              <w:t xml:space="preserve"> (</w:t>
            </w:r>
            <w:r w:rsidR="00135672" w:rsidRPr="00EC02CA">
              <w:rPr>
                <w:rFonts w:cs="Times New Roman"/>
                <w:sz w:val="20"/>
                <w:szCs w:val="20"/>
              </w:rPr>
              <w:t>‘</w:t>
            </w:r>
            <w:r w:rsidR="00696AC2" w:rsidRPr="00EC02CA">
              <w:rPr>
                <w:rFonts w:cs="Times New Roman"/>
                <w:sz w:val="20"/>
                <w:szCs w:val="20"/>
              </w:rPr>
              <w:t>YJA-NT</w:t>
            </w:r>
            <w:r w:rsidR="00135672" w:rsidRPr="00EC02CA">
              <w:rPr>
                <w:rFonts w:cs="Times New Roman"/>
                <w:sz w:val="20"/>
                <w:szCs w:val="20"/>
              </w:rPr>
              <w:t>’</w:t>
            </w:r>
            <w:r w:rsidR="00696AC2" w:rsidRPr="00EC02CA">
              <w:rPr>
                <w:rFonts w:cs="Times New Roman"/>
                <w:sz w:val="20"/>
                <w:szCs w:val="20"/>
              </w:rPr>
              <w:t>)</w:t>
            </w:r>
          </w:p>
        </w:tc>
      </w:tr>
      <w:tr w:rsidR="006D0EB8" w:rsidRPr="00EC02CA" w14:paraId="49B0BB38" w14:textId="77777777" w:rsidTr="00A920EC">
        <w:trPr>
          <w:trHeight w:val="877"/>
        </w:trPr>
        <w:tc>
          <w:tcPr>
            <w:tcW w:w="1838" w:type="dxa"/>
            <w:vMerge/>
          </w:tcPr>
          <w:p w14:paraId="114900D0" w14:textId="77777777" w:rsidR="006D0EB8" w:rsidRPr="00EC02CA" w:rsidRDefault="006D0EB8" w:rsidP="00A920EC">
            <w:pPr>
              <w:spacing w:before="60" w:after="60"/>
              <w:jc w:val="left"/>
              <w:rPr>
                <w:rFonts w:cs="Times New Roman"/>
                <w:sz w:val="20"/>
                <w:szCs w:val="20"/>
              </w:rPr>
            </w:pPr>
          </w:p>
        </w:tc>
        <w:tc>
          <w:tcPr>
            <w:tcW w:w="6055" w:type="dxa"/>
          </w:tcPr>
          <w:p w14:paraId="38B0F332"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67D15250"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4FB2EAE0" w14:textId="3A2557BA" w:rsidR="006D0EB8" w:rsidRPr="00EC02CA" w:rsidRDefault="006D0EB8" w:rsidP="00A920EC">
            <w:pPr>
              <w:spacing w:before="60" w:after="60"/>
              <w:jc w:val="left"/>
              <w:rPr>
                <w:rFonts w:cs="Times New Roman"/>
                <w:sz w:val="20"/>
                <w:szCs w:val="20"/>
              </w:rPr>
            </w:pPr>
            <w:r w:rsidRPr="00EC02CA">
              <w:rPr>
                <w:rFonts w:cs="Times New Roman"/>
                <w:sz w:val="20"/>
                <w:szCs w:val="20"/>
              </w:rPr>
              <w:t>Youth Justice Court established under the YJA</w:t>
            </w:r>
            <w:r w:rsidR="00696AC2" w:rsidRPr="00EC02CA">
              <w:rPr>
                <w:rFonts w:cs="Times New Roman"/>
                <w:sz w:val="20"/>
                <w:szCs w:val="20"/>
              </w:rPr>
              <w:t>-NT</w:t>
            </w:r>
            <w:r w:rsidRPr="00EC02CA">
              <w:rPr>
                <w:rFonts w:cs="Times New Roman"/>
                <w:sz w:val="20"/>
                <w:szCs w:val="20"/>
              </w:rPr>
              <w:t xml:space="preserve"> s 45, and the jurisdiction is exercised by a judge, s 46. The Court has jurisdiction to deal with all charges in respect of summary or indictable offences </w:t>
            </w:r>
            <w:r w:rsidR="002B2AB2" w:rsidRPr="00EC02CA">
              <w:rPr>
                <w:rFonts w:cs="Times New Roman"/>
                <w:sz w:val="20"/>
                <w:szCs w:val="20"/>
              </w:rPr>
              <w:t>YJA</w:t>
            </w:r>
            <w:r w:rsidR="00696AC2" w:rsidRPr="00EC02CA">
              <w:rPr>
                <w:rFonts w:cs="Times New Roman"/>
                <w:sz w:val="20"/>
                <w:szCs w:val="20"/>
              </w:rPr>
              <w:t>-NT</w:t>
            </w:r>
            <w:r w:rsidR="002B2AB2" w:rsidRPr="00EC02CA">
              <w:rPr>
                <w:rFonts w:cs="Times New Roman"/>
                <w:sz w:val="20"/>
                <w:szCs w:val="20"/>
              </w:rPr>
              <w:t xml:space="preserve"> </w:t>
            </w:r>
            <w:r w:rsidRPr="00EC02CA">
              <w:rPr>
                <w:rFonts w:cs="Times New Roman"/>
                <w:sz w:val="20"/>
                <w:szCs w:val="20"/>
              </w:rPr>
              <w:t xml:space="preserve">s 52(1)(a). This does not limit the jurisdiction of the Supreme Court to deal with the matter where an ex officio indictment has been presented to the court </w:t>
            </w:r>
            <w:r w:rsidR="002B2AB2" w:rsidRPr="00EC02CA">
              <w:rPr>
                <w:rFonts w:cs="Times New Roman"/>
                <w:sz w:val="20"/>
                <w:szCs w:val="20"/>
              </w:rPr>
              <w:t>YJA</w:t>
            </w:r>
            <w:r w:rsidR="00696AC2" w:rsidRPr="00EC02CA">
              <w:rPr>
                <w:rFonts w:cs="Times New Roman"/>
                <w:sz w:val="20"/>
                <w:szCs w:val="20"/>
              </w:rPr>
              <w:t>-NT</w:t>
            </w:r>
            <w:r w:rsidR="002B2AB2" w:rsidRPr="00EC02CA">
              <w:rPr>
                <w:rFonts w:cs="Times New Roman"/>
                <w:sz w:val="20"/>
                <w:szCs w:val="20"/>
              </w:rPr>
              <w:t xml:space="preserve"> </w:t>
            </w:r>
            <w:r w:rsidRPr="00EC02CA">
              <w:rPr>
                <w:rFonts w:cs="Times New Roman"/>
                <w:sz w:val="20"/>
                <w:szCs w:val="20"/>
              </w:rPr>
              <w:t>s 52(3).</w:t>
            </w:r>
          </w:p>
          <w:p w14:paraId="1DE97A2E" w14:textId="4409BC7D" w:rsidR="006D0EB8" w:rsidRPr="00EC02CA" w:rsidRDefault="006D0EB8" w:rsidP="00A920EC">
            <w:pPr>
              <w:spacing w:before="60" w:after="60"/>
              <w:jc w:val="left"/>
              <w:rPr>
                <w:rFonts w:cs="Times New Roman"/>
                <w:sz w:val="20"/>
                <w:szCs w:val="20"/>
              </w:rPr>
            </w:pPr>
            <w:r w:rsidRPr="00EC02CA">
              <w:rPr>
                <w:rFonts w:cs="Times New Roman"/>
                <w:sz w:val="20"/>
                <w:szCs w:val="20"/>
              </w:rPr>
              <w:t>Note that DPP consent is required to commence proceedings against a child for s 208JG(1) or (2) or 208JH(1), (2), (3) or (4) and an offence against another provision of this Division other than section 208JI (11) alleged to have committed by a child under the age of 14, s 208 CC.</w:t>
            </w:r>
          </w:p>
          <w:p w14:paraId="1BF688C1"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7EF43D56" w14:textId="586505C6" w:rsidR="006D0EB8" w:rsidRPr="00EC02CA" w:rsidRDefault="006D0EB8" w:rsidP="00A920EC">
            <w:pPr>
              <w:spacing w:before="60" w:after="60"/>
              <w:jc w:val="left"/>
              <w:rPr>
                <w:rFonts w:cs="Times New Roman"/>
                <w:sz w:val="20"/>
                <w:szCs w:val="20"/>
              </w:rPr>
            </w:pPr>
            <w:r w:rsidRPr="00EC02CA">
              <w:rPr>
                <w:rFonts w:cs="Times New Roman"/>
                <w:sz w:val="20"/>
                <w:szCs w:val="20"/>
              </w:rPr>
              <w:t>The Northern Territory legislates restorative justice conferencing for children and young people. Most serious sexual offences are excluded (as above</w:t>
            </w:r>
            <w:r w:rsidR="00D17A56" w:rsidRPr="00EC02CA">
              <w:rPr>
                <w:rFonts w:cs="Times New Roman"/>
                <w:sz w:val="20"/>
                <w:szCs w:val="20"/>
              </w:rPr>
              <w:t xml:space="preserve"> in police diversion</w:t>
            </w:r>
            <w:r w:rsidRPr="00EC02CA">
              <w:rPr>
                <w:rFonts w:cs="Times New Roman"/>
                <w:sz w:val="20"/>
                <w:szCs w:val="20"/>
              </w:rPr>
              <w:t>)</w:t>
            </w:r>
            <w:r w:rsidR="00696AC2" w:rsidRPr="00EC02CA">
              <w:rPr>
                <w:rFonts w:cs="Times New Roman"/>
                <w:sz w:val="20"/>
                <w:szCs w:val="20"/>
              </w:rPr>
              <w:t>.</w:t>
            </w:r>
          </w:p>
        </w:tc>
        <w:tc>
          <w:tcPr>
            <w:tcW w:w="6055" w:type="dxa"/>
          </w:tcPr>
          <w:p w14:paraId="7AE1F79C" w14:textId="77777777" w:rsidR="006D0EB8" w:rsidRPr="00EC02CA" w:rsidRDefault="006D0EB8" w:rsidP="00A920EC">
            <w:pPr>
              <w:spacing w:before="60" w:after="60"/>
              <w:jc w:val="left"/>
              <w:rPr>
                <w:rFonts w:cs="Times New Roman"/>
                <w:sz w:val="20"/>
                <w:szCs w:val="20"/>
              </w:rPr>
            </w:pPr>
            <w:r w:rsidRPr="00EC02CA">
              <w:rPr>
                <w:rFonts w:cs="Times New Roman"/>
                <w:i/>
                <w:iCs/>
                <w:sz w:val="20"/>
                <w:szCs w:val="20"/>
              </w:rPr>
              <w:t>Youth Justice Act 2005</w:t>
            </w:r>
            <w:r w:rsidRPr="00EC02CA">
              <w:rPr>
                <w:rFonts w:cs="Times New Roman"/>
                <w:sz w:val="20"/>
                <w:szCs w:val="20"/>
              </w:rPr>
              <w:t xml:space="preserve"> (NT) 64, 84 </w:t>
            </w:r>
          </w:p>
          <w:p w14:paraId="49E5271D" w14:textId="77777777" w:rsidR="006D0EB8" w:rsidRPr="00EC02CA" w:rsidRDefault="006D0EB8" w:rsidP="00A920EC">
            <w:pPr>
              <w:spacing w:before="60" w:after="60"/>
              <w:jc w:val="left"/>
              <w:rPr>
                <w:rFonts w:cs="Times New Roman"/>
                <w:sz w:val="20"/>
                <w:szCs w:val="20"/>
              </w:rPr>
            </w:pPr>
          </w:p>
          <w:p w14:paraId="771A5EB8" w14:textId="503DFA96" w:rsidR="006D0EB8" w:rsidRPr="00EC02CA" w:rsidRDefault="006D0EB8" w:rsidP="00A920EC">
            <w:pPr>
              <w:spacing w:before="60" w:after="60"/>
              <w:jc w:val="left"/>
              <w:rPr>
                <w:rFonts w:cs="Times New Roman"/>
                <w:sz w:val="20"/>
                <w:szCs w:val="20"/>
              </w:rPr>
            </w:pPr>
            <w:r w:rsidRPr="00EC02CA">
              <w:rPr>
                <w:rFonts w:cs="Times New Roman"/>
                <w:i/>
                <w:iCs/>
                <w:sz w:val="20"/>
                <w:szCs w:val="20"/>
              </w:rPr>
              <w:t>Criminal Code Act 1983</w:t>
            </w:r>
            <w:r w:rsidRPr="00EC02CA">
              <w:rPr>
                <w:rFonts w:cs="Times New Roman"/>
                <w:sz w:val="20"/>
                <w:szCs w:val="20"/>
              </w:rPr>
              <w:t xml:space="preserve"> (NT) </w:t>
            </w:r>
          </w:p>
        </w:tc>
      </w:tr>
      <w:tr w:rsidR="006D0EB8" w:rsidRPr="00EC02CA" w14:paraId="3F474DFE" w14:textId="77777777" w:rsidTr="00A920EC">
        <w:tc>
          <w:tcPr>
            <w:tcW w:w="1838" w:type="dxa"/>
            <w:vMerge w:val="restart"/>
          </w:tcPr>
          <w:p w14:paraId="1C0B2F49"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Tasmania</w:t>
            </w:r>
          </w:p>
        </w:tc>
        <w:tc>
          <w:tcPr>
            <w:tcW w:w="6055" w:type="dxa"/>
          </w:tcPr>
          <w:p w14:paraId="7421B21F"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6BC79B45" w14:textId="4155CD71" w:rsidR="006D0EB8" w:rsidRPr="00EC02CA" w:rsidRDefault="00E26648" w:rsidP="00A920EC">
            <w:pPr>
              <w:spacing w:before="60" w:after="60"/>
              <w:jc w:val="left"/>
              <w:rPr>
                <w:rFonts w:cs="Times New Roman"/>
                <w:sz w:val="20"/>
                <w:szCs w:val="20"/>
              </w:rPr>
            </w:pPr>
            <w:r w:rsidRPr="00EC02CA">
              <w:rPr>
                <w:rFonts w:cs="Times New Roman"/>
                <w:i/>
                <w:iCs/>
                <w:sz w:val="20"/>
                <w:szCs w:val="20"/>
              </w:rPr>
              <w:t>I</w:t>
            </w:r>
            <w:r w:rsidR="006D0EB8" w:rsidRPr="00EC02CA">
              <w:rPr>
                <w:rFonts w:cs="Times New Roman"/>
                <w:i/>
                <w:iCs/>
                <w:sz w:val="20"/>
                <w:szCs w:val="20"/>
              </w:rPr>
              <w:t>nformal caution YJA</w:t>
            </w:r>
            <w:r w:rsidR="00696AC2" w:rsidRPr="00EC02CA">
              <w:rPr>
                <w:rFonts w:cs="Times New Roman"/>
                <w:i/>
                <w:iCs/>
                <w:sz w:val="20"/>
                <w:szCs w:val="20"/>
              </w:rPr>
              <w:t>-TAS</w:t>
            </w:r>
            <w:r w:rsidR="006D0EB8" w:rsidRPr="00EC02CA">
              <w:rPr>
                <w:rFonts w:cs="Times New Roman"/>
                <w:i/>
                <w:iCs/>
                <w:sz w:val="20"/>
                <w:szCs w:val="20"/>
              </w:rPr>
              <w:t xml:space="preserve"> </w:t>
            </w:r>
            <w:r w:rsidR="006D0EB8" w:rsidRPr="00EC02CA">
              <w:rPr>
                <w:rFonts w:cs="Times New Roman"/>
                <w:sz w:val="20"/>
                <w:szCs w:val="20"/>
              </w:rPr>
              <w:t>s 8</w:t>
            </w:r>
          </w:p>
          <w:p w14:paraId="074B08CB"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Not used for an assault (TPM).</w:t>
            </w:r>
          </w:p>
          <w:p w14:paraId="74A42479" w14:textId="1B7A6CF6" w:rsidR="006D0EB8" w:rsidRPr="00EC02CA" w:rsidRDefault="006D0EB8" w:rsidP="00A920EC">
            <w:pPr>
              <w:spacing w:before="60" w:after="60"/>
              <w:jc w:val="left"/>
              <w:rPr>
                <w:rFonts w:cs="Times New Roman"/>
                <w:sz w:val="20"/>
                <w:szCs w:val="20"/>
              </w:rPr>
            </w:pPr>
            <w:r w:rsidRPr="00EC02CA">
              <w:rPr>
                <w:rFonts w:cs="Times New Roman"/>
                <w:i/>
                <w:iCs/>
                <w:sz w:val="20"/>
                <w:szCs w:val="20"/>
              </w:rPr>
              <w:t>Formal caution</w:t>
            </w:r>
            <w:r w:rsidRPr="00EC02CA">
              <w:rPr>
                <w:rFonts w:cs="Times New Roman"/>
                <w:sz w:val="20"/>
                <w:szCs w:val="20"/>
              </w:rPr>
              <w:t xml:space="preserve"> </w:t>
            </w:r>
            <w:r w:rsidRPr="00EC02CA">
              <w:rPr>
                <w:rFonts w:cs="Times New Roman"/>
                <w:i/>
                <w:iCs/>
                <w:sz w:val="20"/>
                <w:szCs w:val="20"/>
              </w:rPr>
              <w:t>YJA</w:t>
            </w:r>
            <w:r w:rsidR="00696AC2" w:rsidRPr="00EC02CA">
              <w:rPr>
                <w:rFonts w:cs="Times New Roman"/>
                <w:i/>
                <w:iCs/>
                <w:sz w:val="20"/>
                <w:szCs w:val="20"/>
              </w:rPr>
              <w:t>-TAS</w:t>
            </w:r>
            <w:r w:rsidRPr="00EC02CA">
              <w:rPr>
                <w:rFonts w:cs="Times New Roman"/>
                <w:i/>
                <w:iCs/>
                <w:sz w:val="20"/>
                <w:szCs w:val="20"/>
              </w:rPr>
              <w:t xml:space="preserve"> </w:t>
            </w:r>
            <w:r w:rsidRPr="00EC02CA">
              <w:rPr>
                <w:rFonts w:cs="Times New Roman"/>
                <w:sz w:val="20"/>
                <w:szCs w:val="20"/>
              </w:rPr>
              <w:t>s 9</w:t>
            </w:r>
          </w:p>
          <w:p w14:paraId="7AB1D935" w14:textId="3690FC5E" w:rsidR="006D0EB8" w:rsidRPr="00EC02CA" w:rsidRDefault="006D0EB8" w:rsidP="00A920EC">
            <w:pPr>
              <w:spacing w:before="60" w:after="60"/>
              <w:jc w:val="left"/>
              <w:rPr>
                <w:rFonts w:cs="Times New Roman"/>
                <w:sz w:val="20"/>
                <w:szCs w:val="20"/>
              </w:rPr>
            </w:pPr>
            <w:r w:rsidRPr="00EC02CA">
              <w:rPr>
                <w:rFonts w:cs="Times New Roman"/>
                <w:sz w:val="20"/>
                <w:szCs w:val="20"/>
              </w:rPr>
              <w:t>Admits commission of offence.</w:t>
            </w:r>
          </w:p>
          <w:p w14:paraId="13E6B2D4"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Not available for prescribed offences.</w:t>
            </w:r>
          </w:p>
          <w:p w14:paraId="54C84041" w14:textId="43CB88CD" w:rsidR="006D0EB8" w:rsidRPr="00EC02CA" w:rsidRDefault="006D0EB8" w:rsidP="00A920EC">
            <w:pPr>
              <w:spacing w:before="60" w:after="60"/>
              <w:jc w:val="left"/>
              <w:rPr>
                <w:rFonts w:cs="Times New Roman"/>
                <w:sz w:val="20"/>
                <w:szCs w:val="20"/>
              </w:rPr>
            </w:pPr>
            <w:r w:rsidRPr="00EC02CA">
              <w:rPr>
                <w:rFonts w:cs="Times New Roman"/>
                <w:i/>
                <w:iCs/>
                <w:sz w:val="20"/>
                <w:szCs w:val="20"/>
              </w:rPr>
              <w:t>Community conference YJA</w:t>
            </w:r>
            <w:r w:rsidR="00696AC2" w:rsidRPr="00EC02CA">
              <w:rPr>
                <w:rFonts w:cs="Times New Roman"/>
                <w:i/>
                <w:iCs/>
                <w:sz w:val="20"/>
                <w:szCs w:val="20"/>
              </w:rPr>
              <w:t>-TAS</w:t>
            </w:r>
            <w:r w:rsidRPr="00EC02CA">
              <w:rPr>
                <w:rFonts w:cs="Times New Roman"/>
                <w:i/>
                <w:iCs/>
                <w:sz w:val="20"/>
                <w:szCs w:val="20"/>
              </w:rPr>
              <w:t xml:space="preserve"> </w:t>
            </w:r>
            <w:r w:rsidRPr="00EC02CA">
              <w:rPr>
                <w:rFonts w:cs="Times New Roman"/>
                <w:sz w:val="20"/>
                <w:szCs w:val="20"/>
              </w:rPr>
              <w:t xml:space="preserve">s </w:t>
            </w:r>
            <w:r w:rsidR="006B5571" w:rsidRPr="00EC02CA">
              <w:rPr>
                <w:rFonts w:cs="Times New Roman"/>
                <w:sz w:val="20"/>
                <w:szCs w:val="20"/>
              </w:rPr>
              <w:t>14</w:t>
            </w:r>
          </w:p>
          <w:p w14:paraId="75654CBE"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Admits commission of offence.</w:t>
            </w:r>
          </w:p>
          <w:p w14:paraId="401FA540" w14:textId="1BE44F79" w:rsidR="006D0EB8" w:rsidRPr="00EC02CA" w:rsidRDefault="006D0EB8" w:rsidP="00A920EC">
            <w:pPr>
              <w:spacing w:before="60" w:after="60"/>
              <w:jc w:val="left"/>
              <w:rPr>
                <w:rFonts w:cs="Times New Roman"/>
                <w:sz w:val="20"/>
                <w:szCs w:val="20"/>
              </w:rPr>
            </w:pPr>
            <w:r w:rsidRPr="00EC02CA">
              <w:rPr>
                <w:rFonts w:cs="Times New Roman"/>
                <w:sz w:val="20"/>
                <w:szCs w:val="20"/>
              </w:rPr>
              <w:t>Not available for prescribed offences.</w:t>
            </w:r>
          </w:p>
        </w:tc>
        <w:tc>
          <w:tcPr>
            <w:tcW w:w="6055" w:type="dxa"/>
          </w:tcPr>
          <w:p w14:paraId="1459C40D" w14:textId="759F9BCA" w:rsidR="006D0EB8" w:rsidRPr="00EC02CA" w:rsidRDefault="006D0EB8" w:rsidP="00A920EC">
            <w:pPr>
              <w:spacing w:before="60" w:after="60"/>
              <w:jc w:val="left"/>
              <w:rPr>
                <w:rFonts w:cs="Times New Roman"/>
                <w:sz w:val="20"/>
                <w:szCs w:val="20"/>
              </w:rPr>
            </w:pPr>
            <w:r w:rsidRPr="00EC02CA">
              <w:rPr>
                <w:rFonts w:cs="Times New Roman"/>
                <w:i/>
                <w:iCs/>
                <w:sz w:val="20"/>
                <w:szCs w:val="20"/>
              </w:rPr>
              <w:t>Youth Justice Act 1997</w:t>
            </w:r>
            <w:r w:rsidRPr="00EC02CA">
              <w:rPr>
                <w:rFonts w:cs="Times New Roman"/>
                <w:sz w:val="20"/>
                <w:szCs w:val="20"/>
              </w:rPr>
              <w:t xml:space="preserve"> (Tas)</w:t>
            </w:r>
            <w:r w:rsidR="00696AC2" w:rsidRPr="00EC02CA">
              <w:rPr>
                <w:rFonts w:cs="Times New Roman"/>
                <w:sz w:val="20"/>
                <w:szCs w:val="20"/>
              </w:rPr>
              <w:t xml:space="preserve"> (</w:t>
            </w:r>
            <w:r w:rsidR="00135672" w:rsidRPr="00EC02CA">
              <w:rPr>
                <w:rFonts w:cs="Times New Roman"/>
                <w:sz w:val="20"/>
                <w:szCs w:val="20"/>
              </w:rPr>
              <w:t>‘</w:t>
            </w:r>
            <w:r w:rsidR="00696AC2" w:rsidRPr="00EC02CA">
              <w:rPr>
                <w:rFonts w:cs="Times New Roman"/>
                <w:sz w:val="20"/>
                <w:szCs w:val="20"/>
              </w:rPr>
              <w:t>YJA-TAS</w:t>
            </w:r>
            <w:r w:rsidR="00135672" w:rsidRPr="00EC02CA">
              <w:rPr>
                <w:rFonts w:cs="Times New Roman"/>
                <w:sz w:val="20"/>
                <w:szCs w:val="20"/>
              </w:rPr>
              <w:t>’</w:t>
            </w:r>
            <w:r w:rsidR="00696AC2" w:rsidRPr="00EC02CA">
              <w:rPr>
                <w:rFonts w:cs="Times New Roman"/>
                <w:sz w:val="20"/>
                <w:szCs w:val="20"/>
              </w:rPr>
              <w:t>)</w:t>
            </w:r>
          </w:p>
          <w:p w14:paraId="1B810270"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Tasmania Police Manual</w:t>
            </w:r>
          </w:p>
        </w:tc>
      </w:tr>
      <w:tr w:rsidR="006D0EB8" w:rsidRPr="00EC02CA" w14:paraId="5803DD41" w14:textId="77777777" w:rsidTr="00A920EC">
        <w:tc>
          <w:tcPr>
            <w:tcW w:w="1838" w:type="dxa"/>
            <w:vMerge/>
          </w:tcPr>
          <w:p w14:paraId="2D87D1CE" w14:textId="77777777" w:rsidR="006D0EB8" w:rsidRPr="00EC02CA" w:rsidRDefault="006D0EB8" w:rsidP="00A920EC">
            <w:pPr>
              <w:spacing w:before="60" w:after="60"/>
              <w:jc w:val="left"/>
              <w:rPr>
                <w:rFonts w:cs="Times New Roman"/>
                <w:sz w:val="20"/>
                <w:szCs w:val="20"/>
              </w:rPr>
            </w:pPr>
          </w:p>
        </w:tc>
        <w:tc>
          <w:tcPr>
            <w:tcW w:w="6055" w:type="dxa"/>
          </w:tcPr>
          <w:p w14:paraId="4E889F15"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27A30E23" w14:textId="7AC78D43"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Jurisdiction</w:t>
            </w:r>
          </w:p>
          <w:p w14:paraId="10F76267" w14:textId="10045812" w:rsidR="006D0EB8" w:rsidRPr="00EC02CA" w:rsidRDefault="006D0EB8" w:rsidP="00A920EC">
            <w:pPr>
              <w:spacing w:before="60" w:after="60"/>
              <w:jc w:val="left"/>
              <w:rPr>
                <w:rFonts w:cs="Times New Roman"/>
                <w:sz w:val="20"/>
                <w:szCs w:val="20"/>
              </w:rPr>
            </w:pPr>
            <w:r w:rsidRPr="00EC02CA">
              <w:rPr>
                <w:rFonts w:cs="Times New Roman"/>
                <w:sz w:val="20"/>
                <w:szCs w:val="20"/>
              </w:rPr>
              <w:t>The Youth Division can hear all matters other than prescribed offences, YJA</w:t>
            </w:r>
            <w:r w:rsidR="00696AC2" w:rsidRPr="00EC02CA">
              <w:rPr>
                <w:rFonts w:cs="Times New Roman"/>
                <w:sz w:val="20"/>
                <w:szCs w:val="20"/>
              </w:rPr>
              <w:t>-TAS</w:t>
            </w:r>
            <w:r w:rsidRPr="00EC02CA">
              <w:rPr>
                <w:rFonts w:cs="Times New Roman"/>
                <w:sz w:val="20"/>
                <w:szCs w:val="20"/>
              </w:rPr>
              <w:t xml:space="preserve"> s</w:t>
            </w:r>
            <w:r w:rsidR="00FA3A09" w:rsidRPr="00EC02CA">
              <w:rPr>
                <w:rFonts w:cs="Times New Roman"/>
                <w:sz w:val="20"/>
                <w:szCs w:val="20"/>
              </w:rPr>
              <w:t>s</w:t>
            </w:r>
            <w:r w:rsidRPr="00EC02CA">
              <w:rPr>
                <w:rFonts w:cs="Times New Roman"/>
                <w:sz w:val="20"/>
                <w:szCs w:val="20"/>
              </w:rPr>
              <w:t xml:space="preserve"> 3, </w:t>
            </w:r>
            <w:r w:rsidR="00FA3A09" w:rsidRPr="00EC02CA">
              <w:rPr>
                <w:rFonts w:cs="Times New Roman"/>
                <w:sz w:val="20"/>
                <w:szCs w:val="20"/>
              </w:rPr>
              <w:t>161</w:t>
            </w:r>
            <w:r w:rsidRPr="00EC02CA">
              <w:rPr>
                <w:rFonts w:cs="Times New Roman"/>
                <w:sz w:val="20"/>
                <w:szCs w:val="20"/>
              </w:rPr>
              <w:t>.</w:t>
            </w:r>
          </w:p>
          <w:p w14:paraId="7D86B88B" w14:textId="77777777"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3462B65D" w14:textId="3E2592F0" w:rsidR="006D0EB8" w:rsidRPr="00EC02CA" w:rsidRDefault="006D0EB8" w:rsidP="00A920EC">
            <w:pPr>
              <w:spacing w:before="60" w:after="60"/>
              <w:jc w:val="left"/>
              <w:rPr>
                <w:rFonts w:cs="Times New Roman"/>
                <w:sz w:val="20"/>
                <w:szCs w:val="20"/>
              </w:rPr>
            </w:pPr>
            <w:r w:rsidRPr="00EC02CA">
              <w:rPr>
                <w:rFonts w:cs="Times New Roman"/>
                <w:sz w:val="20"/>
                <w:szCs w:val="20"/>
              </w:rPr>
              <w:t>The court can order a community conference: YJA</w:t>
            </w:r>
            <w:r w:rsidR="00696AC2" w:rsidRPr="00EC02CA">
              <w:rPr>
                <w:rFonts w:cs="Times New Roman"/>
                <w:sz w:val="20"/>
                <w:szCs w:val="20"/>
              </w:rPr>
              <w:t>-TAS</w:t>
            </w:r>
            <w:r w:rsidRPr="00EC02CA">
              <w:rPr>
                <w:rFonts w:cs="Times New Roman"/>
                <w:sz w:val="20"/>
                <w:szCs w:val="20"/>
              </w:rPr>
              <w:t xml:space="preserve"> s 38(2)(f)</w:t>
            </w:r>
          </w:p>
        </w:tc>
        <w:tc>
          <w:tcPr>
            <w:tcW w:w="6055" w:type="dxa"/>
          </w:tcPr>
          <w:p w14:paraId="3AD6A850" w14:textId="77777777" w:rsidR="006D0EB8" w:rsidRPr="00EC02CA" w:rsidRDefault="006D0EB8" w:rsidP="00A920EC">
            <w:pPr>
              <w:spacing w:before="60" w:after="60"/>
              <w:jc w:val="left"/>
              <w:rPr>
                <w:rFonts w:cs="Times New Roman"/>
                <w:sz w:val="20"/>
                <w:szCs w:val="20"/>
              </w:rPr>
            </w:pPr>
            <w:r w:rsidRPr="00EC02CA">
              <w:rPr>
                <w:rFonts w:cs="Times New Roman"/>
                <w:i/>
                <w:iCs/>
                <w:sz w:val="20"/>
                <w:szCs w:val="20"/>
              </w:rPr>
              <w:t>Youth Justice Act 1997</w:t>
            </w:r>
            <w:r w:rsidRPr="00EC02CA">
              <w:rPr>
                <w:rFonts w:cs="Times New Roman"/>
                <w:sz w:val="20"/>
                <w:szCs w:val="20"/>
              </w:rPr>
              <w:t xml:space="preserve"> (Tas)</w:t>
            </w:r>
          </w:p>
        </w:tc>
      </w:tr>
      <w:tr w:rsidR="006D0EB8" w:rsidRPr="00EC02CA" w14:paraId="5D469854" w14:textId="77777777" w:rsidTr="00A920EC">
        <w:tc>
          <w:tcPr>
            <w:tcW w:w="1838" w:type="dxa"/>
            <w:vMerge w:val="restart"/>
          </w:tcPr>
          <w:p w14:paraId="274BD870" w14:textId="77777777" w:rsidR="006D0EB8" w:rsidRPr="00EC02CA" w:rsidRDefault="006D0EB8" w:rsidP="00A920EC">
            <w:pPr>
              <w:spacing w:before="60" w:after="60"/>
              <w:jc w:val="left"/>
              <w:rPr>
                <w:rFonts w:cs="Times New Roman"/>
                <w:sz w:val="20"/>
                <w:szCs w:val="20"/>
              </w:rPr>
            </w:pPr>
            <w:r w:rsidRPr="00EC02CA">
              <w:rPr>
                <w:rFonts w:cs="Times New Roman"/>
                <w:sz w:val="20"/>
                <w:szCs w:val="20"/>
              </w:rPr>
              <w:t>Western Australia</w:t>
            </w:r>
          </w:p>
        </w:tc>
        <w:tc>
          <w:tcPr>
            <w:tcW w:w="6055" w:type="dxa"/>
          </w:tcPr>
          <w:p w14:paraId="23BB01A7" w14:textId="77777777" w:rsidR="006D0EB8" w:rsidRPr="00EC02CA" w:rsidRDefault="006D0EB8" w:rsidP="00A920EC">
            <w:pPr>
              <w:spacing w:before="60" w:after="60"/>
              <w:jc w:val="left"/>
              <w:rPr>
                <w:rFonts w:cs="Times New Roman"/>
                <w:b/>
                <w:bCs/>
                <w:sz w:val="20"/>
                <w:szCs w:val="20"/>
              </w:rPr>
            </w:pPr>
            <w:r w:rsidRPr="00EC02CA">
              <w:rPr>
                <w:rFonts w:cs="Times New Roman"/>
                <w:b/>
                <w:bCs/>
                <w:sz w:val="20"/>
                <w:szCs w:val="20"/>
              </w:rPr>
              <w:t>Police diversion</w:t>
            </w:r>
          </w:p>
          <w:p w14:paraId="70B9B82B"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 xml:space="preserve">Caution </w:t>
            </w:r>
          </w:p>
          <w:p w14:paraId="3789F968" w14:textId="0252EE0C"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Cautions cannot be given for a number of offences including sexual offences (sexually penetrating a child under 13, sexually penetrating a child relative where the child is under 16, indecent assault, aggravated indecent assault, sexual penetration without consent, which are </w:t>
            </w:r>
            <w:r w:rsidR="00696AC2" w:rsidRPr="00EC02CA">
              <w:rPr>
                <w:rFonts w:cs="Times New Roman"/>
                <w:sz w:val="20"/>
                <w:szCs w:val="20"/>
              </w:rPr>
              <w:t>s</w:t>
            </w:r>
            <w:r w:rsidRPr="00EC02CA">
              <w:rPr>
                <w:rFonts w:cs="Times New Roman"/>
                <w:sz w:val="20"/>
                <w:szCs w:val="20"/>
              </w:rPr>
              <w:t>ch 1 or 2 offences)</w:t>
            </w:r>
            <w:r w:rsidR="00696AC2" w:rsidRPr="00EC02CA">
              <w:rPr>
                <w:rFonts w:cs="Times New Roman"/>
                <w:sz w:val="20"/>
                <w:szCs w:val="20"/>
              </w:rPr>
              <w:t>:</w:t>
            </w:r>
            <w:r w:rsidRPr="00EC02CA">
              <w:rPr>
                <w:rFonts w:cs="Times New Roman"/>
                <w:sz w:val="20"/>
                <w:szCs w:val="20"/>
              </w:rPr>
              <w:t xml:space="preserve"> </w:t>
            </w:r>
            <w:r w:rsidR="00696AC2" w:rsidRPr="00EC02CA">
              <w:rPr>
                <w:rFonts w:cs="Times New Roman"/>
                <w:sz w:val="20"/>
                <w:szCs w:val="20"/>
              </w:rPr>
              <w:t xml:space="preserve">YOA-WA </w:t>
            </w:r>
            <w:r w:rsidRPr="00EC02CA">
              <w:rPr>
                <w:rFonts w:cs="Times New Roman"/>
                <w:sz w:val="20"/>
                <w:szCs w:val="20"/>
              </w:rPr>
              <w:t xml:space="preserve">s 22(3). </w:t>
            </w:r>
          </w:p>
          <w:p w14:paraId="6BE01C26" w14:textId="4282EB58" w:rsidR="006D0EB8" w:rsidRPr="00EC02CA" w:rsidRDefault="006D0EB8" w:rsidP="00A920EC">
            <w:pPr>
              <w:spacing w:before="60" w:after="60"/>
              <w:jc w:val="left"/>
              <w:rPr>
                <w:rFonts w:cs="Times New Roman"/>
                <w:sz w:val="20"/>
                <w:szCs w:val="20"/>
              </w:rPr>
            </w:pPr>
            <w:r w:rsidRPr="00EC02CA">
              <w:rPr>
                <w:rFonts w:cs="Times New Roman"/>
                <w:sz w:val="20"/>
                <w:szCs w:val="20"/>
              </w:rPr>
              <w:t>Any admission made at or about the time the caution is given is not admissible in proceedings as evidence of any matter to which the caution refers</w:t>
            </w:r>
            <w:r w:rsidR="00696AC2" w:rsidRPr="00EC02CA">
              <w:rPr>
                <w:rFonts w:cs="Times New Roman"/>
                <w:sz w:val="20"/>
                <w:szCs w:val="20"/>
              </w:rPr>
              <w:t>:</w:t>
            </w:r>
            <w:r w:rsidRPr="00EC02CA">
              <w:rPr>
                <w:rFonts w:cs="Times New Roman"/>
                <w:sz w:val="20"/>
                <w:szCs w:val="20"/>
              </w:rPr>
              <w:t xml:space="preserve"> </w:t>
            </w:r>
            <w:r w:rsidR="00696AC2" w:rsidRPr="00EC02CA">
              <w:rPr>
                <w:rFonts w:cs="Times New Roman"/>
                <w:sz w:val="20"/>
                <w:szCs w:val="20"/>
              </w:rPr>
              <w:t xml:space="preserve">YOA-WA </w:t>
            </w:r>
            <w:r w:rsidRPr="00EC02CA">
              <w:rPr>
                <w:rFonts w:cs="Times New Roman"/>
                <w:sz w:val="20"/>
                <w:szCs w:val="20"/>
              </w:rPr>
              <w:t>s22(4).</w:t>
            </w:r>
          </w:p>
          <w:p w14:paraId="4F3A42C2" w14:textId="2B53CCE9" w:rsidR="006D0EB8" w:rsidRPr="00EC02CA" w:rsidRDefault="00E26648" w:rsidP="00A920EC">
            <w:pPr>
              <w:spacing w:before="60" w:after="60"/>
              <w:jc w:val="left"/>
              <w:rPr>
                <w:rFonts w:cs="Times New Roman"/>
                <w:i/>
                <w:iCs/>
                <w:sz w:val="20"/>
                <w:szCs w:val="20"/>
              </w:rPr>
            </w:pPr>
            <w:r w:rsidRPr="00EC02CA">
              <w:rPr>
                <w:rFonts w:cs="Times New Roman"/>
                <w:i/>
                <w:iCs/>
                <w:sz w:val="20"/>
                <w:szCs w:val="20"/>
              </w:rPr>
              <w:t>J</w:t>
            </w:r>
            <w:r w:rsidR="006D0EB8" w:rsidRPr="00EC02CA">
              <w:rPr>
                <w:rFonts w:cs="Times New Roman"/>
                <w:i/>
                <w:iCs/>
                <w:sz w:val="20"/>
                <w:szCs w:val="20"/>
              </w:rPr>
              <w:t>uvenile Justice Team (JJT)</w:t>
            </w:r>
          </w:p>
          <w:p w14:paraId="091FE32C" w14:textId="4FE3D4B0"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Referral to a JTT meeting is available for children and young people who accept responsibility for offending, as part of a diversionary scheme for lesser offences, including less serious sexual offences. As noted, a number of offences including sexual offences (sexually penetrating a child under 13, sexually penetrating a child relative where the child is under 16, indecent assault, aggravated indecent assault, sexual penetration without consent, which are </w:t>
            </w:r>
            <w:r w:rsidR="00696AC2" w:rsidRPr="00EC02CA">
              <w:rPr>
                <w:rFonts w:cs="Times New Roman"/>
                <w:sz w:val="20"/>
                <w:szCs w:val="20"/>
              </w:rPr>
              <w:t>s</w:t>
            </w:r>
            <w:r w:rsidRPr="00EC02CA">
              <w:rPr>
                <w:rFonts w:cs="Times New Roman"/>
                <w:sz w:val="20"/>
                <w:szCs w:val="20"/>
              </w:rPr>
              <w:t>ch 1 or 2 offences) are excluded from referral</w:t>
            </w:r>
            <w:r w:rsidR="00696AC2" w:rsidRPr="00EC02CA">
              <w:rPr>
                <w:rFonts w:cs="Times New Roman"/>
                <w:sz w:val="20"/>
                <w:szCs w:val="20"/>
              </w:rPr>
              <w:t>:</w:t>
            </w:r>
            <w:r w:rsidRPr="00EC02CA">
              <w:rPr>
                <w:rFonts w:cs="Times New Roman"/>
                <w:sz w:val="20"/>
                <w:szCs w:val="20"/>
              </w:rPr>
              <w:t xml:space="preserve"> </w:t>
            </w:r>
            <w:r w:rsidR="00696AC2" w:rsidRPr="00EC02CA">
              <w:rPr>
                <w:rFonts w:cs="Times New Roman"/>
                <w:sz w:val="20"/>
                <w:szCs w:val="20"/>
              </w:rPr>
              <w:t xml:space="preserve">YOA-WA </w:t>
            </w:r>
            <w:r w:rsidRPr="00EC02CA">
              <w:rPr>
                <w:rFonts w:cs="Times New Roman"/>
                <w:sz w:val="20"/>
                <w:szCs w:val="20"/>
              </w:rPr>
              <w:t>s 25(1).</w:t>
            </w:r>
          </w:p>
          <w:p w14:paraId="60CBD010" w14:textId="672E4B78" w:rsidR="006D0EB8" w:rsidRPr="00EC02CA" w:rsidRDefault="006D0EB8" w:rsidP="00A920EC">
            <w:pPr>
              <w:spacing w:before="60" w:after="60"/>
              <w:jc w:val="left"/>
              <w:rPr>
                <w:rFonts w:cs="Times New Roman"/>
                <w:sz w:val="20"/>
                <w:szCs w:val="20"/>
              </w:rPr>
            </w:pPr>
            <w:r w:rsidRPr="00EC02CA">
              <w:rPr>
                <w:rFonts w:cs="Times New Roman"/>
                <w:sz w:val="20"/>
                <w:szCs w:val="20"/>
              </w:rPr>
              <w:t>The young person must accept responsibility</w:t>
            </w:r>
            <w:r w:rsidR="00696AC2" w:rsidRPr="00EC02CA">
              <w:rPr>
                <w:rFonts w:cs="Times New Roman"/>
                <w:sz w:val="20"/>
                <w:szCs w:val="20"/>
              </w:rPr>
              <w:t>: YOA-WA</w:t>
            </w:r>
            <w:r w:rsidRPr="00EC02CA">
              <w:rPr>
                <w:rFonts w:cs="Times New Roman"/>
                <w:sz w:val="20"/>
                <w:szCs w:val="20"/>
              </w:rPr>
              <w:t xml:space="preserve"> s 25(4). However, this is not to be construed as an admission or a plea of guilty or otherwise used in evidence against the offender</w:t>
            </w:r>
            <w:r w:rsidR="00696AC2" w:rsidRPr="00EC02CA">
              <w:rPr>
                <w:rFonts w:cs="Times New Roman"/>
                <w:sz w:val="20"/>
                <w:szCs w:val="20"/>
              </w:rPr>
              <w:t>: YOA-WA</w:t>
            </w:r>
            <w:r w:rsidRPr="00EC02CA">
              <w:rPr>
                <w:rFonts w:cs="Times New Roman"/>
                <w:sz w:val="20"/>
                <w:szCs w:val="20"/>
              </w:rPr>
              <w:t xml:space="preserve"> s 25(4).</w:t>
            </w:r>
          </w:p>
        </w:tc>
        <w:tc>
          <w:tcPr>
            <w:tcW w:w="6055" w:type="dxa"/>
          </w:tcPr>
          <w:p w14:paraId="05F9DAAB" w14:textId="122CE216" w:rsidR="006D0EB8" w:rsidRPr="00EC02CA" w:rsidRDefault="006D0EB8" w:rsidP="00A920EC">
            <w:pPr>
              <w:spacing w:before="60" w:after="60"/>
              <w:jc w:val="left"/>
              <w:rPr>
                <w:rFonts w:cs="Times New Roman"/>
                <w:sz w:val="20"/>
                <w:szCs w:val="20"/>
              </w:rPr>
            </w:pPr>
            <w:r w:rsidRPr="00EC02CA">
              <w:rPr>
                <w:rFonts w:cs="Times New Roman"/>
                <w:i/>
                <w:iCs/>
                <w:sz w:val="20"/>
                <w:szCs w:val="20"/>
              </w:rPr>
              <w:t>Young Offenders Act 1994</w:t>
            </w:r>
            <w:r w:rsidRPr="00EC02CA">
              <w:rPr>
                <w:rFonts w:cs="Times New Roman"/>
                <w:sz w:val="20"/>
                <w:szCs w:val="20"/>
              </w:rPr>
              <w:t xml:space="preserve"> (WA) </w:t>
            </w:r>
            <w:r w:rsidR="00696AC2" w:rsidRPr="00EC02CA">
              <w:rPr>
                <w:rFonts w:cs="Times New Roman"/>
                <w:sz w:val="20"/>
                <w:szCs w:val="20"/>
              </w:rPr>
              <w:t>(</w:t>
            </w:r>
            <w:r w:rsidR="00135672" w:rsidRPr="00EC02CA">
              <w:rPr>
                <w:rFonts w:cs="Times New Roman"/>
                <w:sz w:val="20"/>
                <w:szCs w:val="20"/>
              </w:rPr>
              <w:t>‘</w:t>
            </w:r>
            <w:r w:rsidR="00696AC2" w:rsidRPr="00EC02CA">
              <w:rPr>
                <w:rFonts w:cs="Times New Roman"/>
                <w:sz w:val="20"/>
                <w:szCs w:val="20"/>
              </w:rPr>
              <w:t>YOA-WA</w:t>
            </w:r>
            <w:r w:rsidR="00135672" w:rsidRPr="00EC02CA">
              <w:rPr>
                <w:rFonts w:cs="Times New Roman"/>
                <w:sz w:val="20"/>
                <w:szCs w:val="20"/>
              </w:rPr>
              <w:t>’</w:t>
            </w:r>
            <w:r w:rsidR="00696AC2" w:rsidRPr="00EC02CA">
              <w:rPr>
                <w:rFonts w:cs="Times New Roman"/>
                <w:sz w:val="20"/>
                <w:szCs w:val="20"/>
              </w:rPr>
              <w:t>)</w:t>
            </w:r>
          </w:p>
        </w:tc>
      </w:tr>
      <w:tr w:rsidR="006D0EB8" w:rsidRPr="00EC02CA" w14:paraId="07A916BE" w14:textId="77777777" w:rsidTr="00A920EC">
        <w:tc>
          <w:tcPr>
            <w:tcW w:w="1838" w:type="dxa"/>
            <w:vMerge/>
          </w:tcPr>
          <w:p w14:paraId="784EAFEB" w14:textId="77777777" w:rsidR="006D0EB8" w:rsidRPr="00EC02CA" w:rsidRDefault="006D0EB8" w:rsidP="00A920EC">
            <w:pPr>
              <w:spacing w:before="60" w:after="60"/>
              <w:jc w:val="left"/>
              <w:rPr>
                <w:rFonts w:cs="Times New Roman"/>
                <w:sz w:val="20"/>
                <w:szCs w:val="20"/>
              </w:rPr>
            </w:pPr>
          </w:p>
        </w:tc>
        <w:tc>
          <w:tcPr>
            <w:tcW w:w="6055" w:type="dxa"/>
          </w:tcPr>
          <w:p w14:paraId="6163986E" w14:textId="77777777" w:rsidR="00E26648" w:rsidRPr="00EC02CA" w:rsidRDefault="006D0EB8" w:rsidP="00A920EC">
            <w:pPr>
              <w:spacing w:before="60" w:after="60"/>
              <w:jc w:val="left"/>
              <w:rPr>
                <w:rFonts w:cs="Times New Roman"/>
                <w:b/>
                <w:bCs/>
                <w:sz w:val="20"/>
                <w:szCs w:val="20"/>
              </w:rPr>
            </w:pPr>
            <w:r w:rsidRPr="00EC02CA">
              <w:rPr>
                <w:rFonts w:cs="Times New Roman"/>
                <w:b/>
                <w:bCs/>
                <w:sz w:val="20"/>
                <w:szCs w:val="20"/>
              </w:rPr>
              <w:t xml:space="preserve">Court </w:t>
            </w:r>
          </w:p>
          <w:p w14:paraId="4AE6A005" w14:textId="53AB6DE7" w:rsidR="006D0EB8" w:rsidRPr="00EC02CA" w:rsidRDefault="006D0EB8" w:rsidP="00A920EC">
            <w:pPr>
              <w:spacing w:before="60" w:after="60"/>
              <w:jc w:val="left"/>
              <w:rPr>
                <w:rFonts w:cs="Times New Roman"/>
                <w:b/>
                <w:bCs/>
                <w:sz w:val="20"/>
                <w:szCs w:val="20"/>
              </w:rPr>
            </w:pPr>
            <w:r w:rsidRPr="00EC02CA">
              <w:rPr>
                <w:rFonts w:cs="Times New Roman"/>
                <w:b/>
                <w:bCs/>
                <w:i/>
                <w:iCs/>
                <w:sz w:val="20"/>
                <w:szCs w:val="20"/>
              </w:rPr>
              <w:t>Jurisdiction</w:t>
            </w:r>
          </w:p>
          <w:p w14:paraId="68B5200B" w14:textId="76121AE0" w:rsidR="006D0EB8" w:rsidRPr="00EC02CA" w:rsidRDefault="006D0EB8" w:rsidP="00A920EC">
            <w:pPr>
              <w:spacing w:before="60" w:after="60"/>
              <w:jc w:val="left"/>
              <w:rPr>
                <w:rFonts w:cs="Times New Roman"/>
                <w:sz w:val="20"/>
                <w:szCs w:val="20"/>
              </w:rPr>
            </w:pPr>
            <w:r w:rsidRPr="00EC02CA">
              <w:rPr>
                <w:rFonts w:cs="Times New Roman"/>
                <w:sz w:val="20"/>
                <w:szCs w:val="20"/>
              </w:rPr>
              <w:t>The Children’s Court has jurisdiction to hear a charge alleged to have been committed by a child</w:t>
            </w:r>
            <w:r w:rsidR="007E69F0" w:rsidRPr="00EC02CA">
              <w:rPr>
                <w:rFonts w:cs="Times New Roman"/>
                <w:sz w:val="20"/>
                <w:szCs w:val="20"/>
              </w:rPr>
              <w:t>:</w:t>
            </w:r>
            <w:r w:rsidRPr="00EC02CA">
              <w:rPr>
                <w:rFonts w:cs="Times New Roman"/>
                <w:sz w:val="20"/>
                <w:szCs w:val="20"/>
              </w:rPr>
              <w:t xml:space="preserve"> CCWAA s 19.</w:t>
            </w:r>
          </w:p>
          <w:p w14:paraId="68ECBAB3" w14:textId="1CFFB20D" w:rsidR="006D0EB8" w:rsidRPr="00EC02CA" w:rsidRDefault="006D0EB8" w:rsidP="00A920EC">
            <w:pPr>
              <w:spacing w:before="60" w:after="60"/>
              <w:jc w:val="left"/>
              <w:rPr>
                <w:rFonts w:cs="Times New Roman"/>
                <w:sz w:val="20"/>
                <w:szCs w:val="20"/>
              </w:rPr>
            </w:pPr>
            <w:r w:rsidRPr="00EC02CA">
              <w:rPr>
                <w:rFonts w:cs="Times New Roman"/>
                <w:sz w:val="20"/>
                <w:szCs w:val="20"/>
              </w:rPr>
              <w:t>For indicatable offences, or offences that can be tried on indictment or summarily and the court decides that it is to be tried on indictment, the child may elect to be tried on indictment in the Supreme Court or District Court (as the case requires)</w:t>
            </w:r>
            <w:r w:rsidR="007E69F0" w:rsidRPr="00EC02CA">
              <w:rPr>
                <w:rFonts w:cs="Times New Roman"/>
                <w:sz w:val="20"/>
                <w:szCs w:val="20"/>
              </w:rPr>
              <w:t>:</w:t>
            </w:r>
            <w:r w:rsidRPr="00EC02CA">
              <w:rPr>
                <w:rFonts w:cs="Times New Roman"/>
                <w:sz w:val="20"/>
                <w:szCs w:val="20"/>
              </w:rPr>
              <w:t xml:space="preserve"> </w:t>
            </w:r>
            <w:r w:rsidR="00696AC2" w:rsidRPr="00EC02CA">
              <w:rPr>
                <w:rFonts w:cs="Times New Roman"/>
                <w:sz w:val="20"/>
                <w:szCs w:val="20"/>
              </w:rPr>
              <w:t xml:space="preserve">CCWAA </w:t>
            </w:r>
            <w:r w:rsidRPr="00EC02CA">
              <w:rPr>
                <w:rFonts w:cs="Times New Roman"/>
                <w:sz w:val="20"/>
                <w:szCs w:val="20"/>
              </w:rPr>
              <w:t xml:space="preserve">s 19B. </w:t>
            </w:r>
          </w:p>
          <w:p w14:paraId="75E4C120" w14:textId="57E6DDCB"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The court can be constituted by a magistrate or a judge. However, there are limits on the sentence length that </w:t>
            </w:r>
            <w:r w:rsidR="002D5857" w:rsidRPr="00EC02CA">
              <w:rPr>
                <w:rFonts w:cs="Times New Roman"/>
                <w:sz w:val="20"/>
                <w:szCs w:val="20"/>
              </w:rPr>
              <w:t>a m</w:t>
            </w:r>
            <w:r w:rsidRPr="00EC02CA">
              <w:rPr>
                <w:rFonts w:cs="Times New Roman"/>
                <w:sz w:val="20"/>
                <w:szCs w:val="20"/>
              </w:rPr>
              <w:t>agistrate can impose</w:t>
            </w:r>
            <w:r w:rsidR="002D5857" w:rsidRPr="00EC02CA">
              <w:rPr>
                <w:rFonts w:cs="Times New Roman"/>
                <w:sz w:val="20"/>
                <w:szCs w:val="20"/>
              </w:rPr>
              <w:t>. I</w:t>
            </w:r>
            <w:r w:rsidRPr="00EC02CA">
              <w:rPr>
                <w:rFonts w:cs="Times New Roman"/>
                <w:sz w:val="20"/>
                <w:szCs w:val="20"/>
              </w:rPr>
              <w:t>f the magistrate does not have sufficient power to sentence or otherwise deal with the child adequately, it may refer the child to sentenced or otherwise dealt with by a judge</w:t>
            </w:r>
            <w:r w:rsidR="007E69F0" w:rsidRPr="00EC02CA">
              <w:rPr>
                <w:rFonts w:cs="Times New Roman"/>
                <w:sz w:val="20"/>
                <w:szCs w:val="20"/>
              </w:rPr>
              <w:t>:</w:t>
            </w:r>
            <w:r w:rsidRPr="00EC02CA">
              <w:rPr>
                <w:rFonts w:cs="Times New Roman"/>
                <w:sz w:val="20"/>
                <w:szCs w:val="20"/>
              </w:rPr>
              <w:t xml:space="preserve"> </w:t>
            </w:r>
            <w:r w:rsidR="00696AC2" w:rsidRPr="00EC02CA">
              <w:rPr>
                <w:rFonts w:cs="Times New Roman"/>
                <w:sz w:val="20"/>
                <w:szCs w:val="20"/>
              </w:rPr>
              <w:t xml:space="preserve">CCWAA </w:t>
            </w:r>
            <w:r w:rsidRPr="00EC02CA">
              <w:rPr>
                <w:rFonts w:cs="Times New Roman"/>
                <w:sz w:val="20"/>
                <w:szCs w:val="20"/>
              </w:rPr>
              <w:t>s 21(2).</w:t>
            </w:r>
          </w:p>
          <w:p w14:paraId="242F23F9" w14:textId="4E031F84" w:rsidR="006D0EB8" w:rsidRPr="00EC02CA" w:rsidRDefault="006D0EB8" w:rsidP="00A920EC">
            <w:pPr>
              <w:spacing w:before="60" w:after="60"/>
              <w:jc w:val="left"/>
              <w:rPr>
                <w:rFonts w:cs="Times New Roman"/>
                <w:sz w:val="20"/>
                <w:szCs w:val="20"/>
              </w:rPr>
            </w:pPr>
            <w:r w:rsidRPr="00EC02CA">
              <w:rPr>
                <w:rFonts w:cs="Times New Roman"/>
                <w:sz w:val="20"/>
                <w:szCs w:val="20"/>
              </w:rPr>
              <w:t>In addition, for all sexual offence charges which carry a maximum penalty of 14 or more years imprisonment; and where the complain</w:t>
            </w:r>
            <w:r w:rsidR="00B950A8" w:rsidRPr="00EC02CA">
              <w:rPr>
                <w:rFonts w:cs="Times New Roman"/>
                <w:sz w:val="20"/>
                <w:szCs w:val="20"/>
              </w:rPr>
              <w:t>an</w:t>
            </w:r>
            <w:r w:rsidRPr="00EC02CA">
              <w:rPr>
                <w:rFonts w:cs="Times New Roman"/>
                <w:sz w:val="20"/>
                <w:szCs w:val="20"/>
              </w:rPr>
              <w:t>t is currently under 13 years old or where a ground rules hearing is necessary, the matter should be committed to a judge of the court.</w:t>
            </w:r>
            <w:r w:rsidRPr="00EC02CA">
              <w:rPr>
                <w:rStyle w:val="FootnoteReference"/>
                <w:sz w:val="20"/>
                <w:szCs w:val="20"/>
              </w:rPr>
              <w:footnoteReference w:id="972"/>
            </w:r>
          </w:p>
          <w:p w14:paraId="3CA9E8DB" w14:textId="299E2716" w:rsidR="006D0EB8" w:rsidRPr="00EC02CA" w:rsidRDefault="006D0EB8" w:rsidP="00A920EC">
            <w:pPr>
              <w:spacing w:before="60" w:after="60"/>
              <w:jc w:val="left"/>
              <w:rPr>
                <w:rFonts w:cs="Times New Roman"/>
                <w:b/>
                <w:bCs/>
                <w:i/>
                <w:iCs/>
                <w:sz w:val="20"/>
                <w:szCs w:val="20"/>
              </w:rPr>
            </w:pPr>
            <w:r w:rsidRPr="00EC02CA">
              <w:rPr>
                <w:rFonts w:cs="Times New Roman"/>
                <w:b/>
                <w:bCs/>
                <w:i/>
                <w:iCs/>
                <w:sz w:val="20"/>
                <w:szCs w:val="20"/>
              </w:rPr>
              <w:t>Diversion</w:t>
            </w:r>
          </w:p>
          <w:p w14:paraId="6D9BCC84" w14:textId="41C49CCA" w:rsidR="006D0EB8" w:rsidRPr="00EC02CA" w:rsidRDefault="006D0EB8" w:rsidP="00A920EC">
            <w:pPr>
              <w:spacing w:before="60" w:after="60"/>
              <w:jc w:val="left"/>
              <w:rPr>
                <w:rFonts w:cs="Times New Roman"/>
                <w:sz w:val="20"/>
                <w:szCs w:val="20"/>
              </w:rPr>
            </w:pPr>
            <w:r w:rsidRPr="00EC02CA">
              <w:rPr>
                <w:rFonts w:cs="Times New Roman"/>
                <w:sz w:val="20"/>
                <w:szCs w:val="20"/>
              </w:rPr>
              <w:t>Court can refer to JJT as an alternative to formal adjudication</w:t>
            </w:r>
            <w:r w:rsidR="007E69F0" w:rsidRPr="00EC02CA">
              <w:rPr>
                <w:rFonts w:cs="Times New Roman"/>
                <w:sz w:val="20"/>
                <w:szCs w:val="20"/>
              </w:rPr>
              <w:t>:</w:t>
            </w:r>
            <w:r w:rsidRPr="00EC02CA">
              <w:rPr>
                <w:rFonts w:cs="Times New Roman"/>
                <w:sz w:val="20"/>
                <w:szCs w:val="20"/>
              </w:rPr>
              <w:t xml:space="preserve"> </w:t>
            </w:r>
            <w:r w:rsidR="00696AC2" w:rsidRPr="00EC02CA">
              <w:rPr>
                <w:rFonts w:cs="Times New Roman"/>
                <w:sz w:val="20"/>
                <w:szCs w:val="20"/>
              </w:rPr>
              <w:t xml:space="preserve">YOA-WA </w:t>
            </w:r>
            <w:r w:rsidRPr="00EC02CA">
              <w:rPr>
                <w:rFonts w:cs="Times New Roman"/>
                <w:sz w:val="20"/>
                <w:szCs w:val="20"/>
              </w:rPr>
              <w:t xml:space="preserve">s 28. Again, a referral cannot be made for </w:t>
            </w:r>
            <w:r w:rsidR="00696AC2" w:rsidRPr="00EC02CA">
              <w:rPr>
                <w:rFonts w:cs="Times New Roman"/>
                <w:sz w:val="20"/>
                <w:szCs w:val="20"/>
              </w:rPr>
              <w:t>s</w:t>
            </w:r>
            <w:r w:rsidRPr="00EC02CA">
              <w:rPr>
                <w:rFonts w:cs="Times New Roman"/>
                <w:sz w:val="20"/>
                <w:szCs w:val="20"/>
              </w:rPr>
              <w:t>ch 1 or 2 offences.</w:t>
            </w:r>
          </w:p>
          <w:p w14:paraId="0D01CC08" w14:textId="0E90BF22" w:rsidR="006D0EB8" w:rsidRPr="00EC02CA" w:rsidRDefault="006D0EB8" w:rsidP="00A920EC">
            <w:pPr>
              <w:spacing w:before="60" w:after="60"/>
              <w:jc w:val="left"/>
              <w:rPr>
                <w:rFonts w:cs="Times New Roman"/>
                <w:sz w:val="20"/>
                <w:szCs w:val="20"/>
              </w:rPr>
            </w:pPr>
            <w:r w:rsidRPr="00EC02CA">
              <w:rPr>
                <w:rFonts w:cs="Times New Roman"/>
                <w:sz w:val="20"/>
                <w:szCs w:val="20"/>
              </w:rPr>
              <w:t xml:space="preserve">If a court cannot refer to a </w:t>
            </w:r>
            <w:r w:rsidR="003E215F" w:rsidRPr="00EC02CA">
              <w:rPr>
                <w:rFonts w:cs="Times New Roman"/>
                <w:sz w:val="20"/>
                <w:szCs w:val="20"/>
              </w:rPr>
              <w:t>JJT</w:t>
            </w:r>
            <w:r w:rsidRPr="00EC02CA">
              <w:rPr>
                <w:rFonts w:cs="Times New Roman"/>
                <w:sz w:val="20"/>
                <w:szCs w:val="20"/>
              </w:rPr>
              <w:t xml:space="preserve">, the court may refer to court conference under </w:t>
            </w:r>
            <w:r w:rsidR="00696AC2" w:rsidRPr="00EC02CA">
              <w:rPr>
                <w:rFonts w:cs="Times New Roman"/>
                <w:sz w:val="20"/>
                <w:szCs w:val="20"/>
              </w:rPr>
              <w:t xml:space="preserve">YOA-WA </w:t>
            </w:r>
            <w:r w:rsidRPr="00EC02CA">
              <w:rPr>
                <w:rFonts w:cs="Times New Roman"/>
                <w:sz w:val="20"/>
                <w:szCs w:val="20"/>
              </w:rPr>
              <w:t>s 68.</w:t>
            </w:r>
            <w:r w:rsidRPr="00EC02CA">
              <w:rPr>
                <w:rStyle w:val="FootnoteReference"/>
                <w:sz w:val="20"/>
                <w:szCs w:val="20"/>
              </w:rPr>
              <w:footnoteReference w:id="973"/>
            </w:r>
            <w:r w:rsidRPr="00EC02CA">
              <w:rPr>
                <w:rFonts w:cs="Times New Roman"/>
                <w:sz w:val="20"/>
                <w:szCs w:val="20"/>
              </w:rPr>
              <w:t xml:space="preserve"> This is in the nature of a preliminary disposition, and following successful completion of a court conference the change may appropriately be dealt with under </w:t>
            </w:r>
            <w:r w:rsidR="00696AC2" w:rsidRPr="00EC02CA">
              <w:rPr>
                <w:rFonts w:cs="Times New Roman"/>
                <w:sz w:val="20"/>
                <w:szCs w:val="20"/>
              </w:rPr>
              <w:t xml:space="preserve">YOA-WA </w:t>
            </w:r>
            <w:r w:rsidRPr="00EC02CA">
              <w:rPr>
                <w:rFonts w:cs="Times New Roman"/>
                <w:sz w:val="20"/>
                <w:szCs w:val="20"/>
              </w:rPr>
              <w:t xml:space="preserve">s 67 (undertaking and informal punishment). </w:t>
            </w:r>
          </w:p>
        </w:tc>
        <w:tc>
          <w:tcPr>
            <w:tcW w:w="6055" w:type="dxa"/>
          </w:tcPr>
          <w:p w14:paraId="18FD0DEC" w14:textId="6B171C11" w:rsidR="006D0EB8" w:rsidRPr="00EC02CA" w:rsidRDefault="006D0EB8" w:rsidP="006A2316">
            <w:pPr>
              <w:spacing w:before="60" w:after="60"/>
              <w:jc w:val="left"/>
              <w:rPr>
                <w:rFonts w:cs="Times New Roman"/>
                <w:sz w:val="20"/>
                <w:szCs w:val="20"/>
              </w:rPr>
            </w:pPr>
            <w:r w:rsidRPr="00EC02CA">
              <w:rPr>
                <w:rFonts w:cs="Times New Roman"/>
                <w:i/>
                <w:iCs/>
                <w:sz w:val="20"/>
                <w:szCs w:val="20"/>
              </w:rPr>
              <w:t xml:space="preserve">Children’s Court of Western Australia Act 1988 </w:t>
            </w:r>
            <w:r w:rsidRPr="00EC02CA">
              <w:rPr>
                <w:rFonts w:cs="Times New Roman"/>
                <w:sz w:val="20"/>
                <w:szCs w:val="20"/>
              </w:rPr>
              <w:t>(WA)</w:t>
            </w:r>
            <w:r w:rsidR="008D6BFD" w:rsidRPr="00EC02CA">
              <w:rPr>
                <w:rFonts w:cs="Times New Roman"/>
                <w:sz w:val="20"/>
                <w:szCs w:val="20"/>
              </w:rPr>
              <w:t xml:space="preserve"> (</w:t>
            </w:r>
            <w:r w:rsidR="00135672" w:rsidRPr="00EC02CA">
              <w:rPr>
                <w:rFonts w:cs="Times New Roman"/>
                <w:sz w:val="20"/>
                <w:szCs w:val="20"/>
              </w:rPr>
              <w:t>‘</w:t>
            </w:r>
            <w:r w:rsidR="008D6BFD" w:rsidRPr="00EC02CA">
              <w:rPr>
                <w:rFonts w:cs="Times New Roman"/>
                <w:sz w:val="20"/>
                <w:szCs w:val="20"/>
              </w:rPr>
              <w:t>CCWAA</w:t>
            </w:r>
            <w:r w:rsidR="00135672" w:rsidRPr="00EC02CA">
              <w:rPr>
                <w:rFonts w:cs="Times New Roman"/>
                <w:sz w:val="20"/>
                <w:szCs w:val="20"/>
              </w:rPr>
              <w:t>’</w:t>
            </w:r>
            <w:r w:rsidR="008D6BFD" w:rsidRPr="00EC02CA">
              <w:rPr>
                <w:rFonts w:cs="Times New Roman"/>
                <w:sz w:val="20"/>
                <w:szCs w:val="20"/>
              </w:rPr>
              <w:t>)</w:t>
            </w:r>
          </w:p>
          <w:p w14:paraId="1558044D" w14:textId="77777777" w:rsidR="00C035A3" w:rsidRPr="00EC02CA" w:rsidRDefault="00C035A3" w:rsidP="00A920EC">
            <w:pPr>
              <w:spacing w:before="60" w:after="60"/>
              <w:jc w:val="left"/>
              <w:rPr>
                <w:rFonts w:cs="Times New Roman"/>
                <w:sz w:val="20"/>
                <w:szCs w:val="20"/>
              </w:rPr>
            </w:pPr>
          </w:p>
          <w:p w14:paraId="46B778FB" w14:textId="77777777" w:rsidR="006D0EB8" w:rsidRPr="00EC02CA" w:rsidRDefault="006D0EB8" w:rsidP="00A920EC">
            <w:pPr>
              <w:spacing w:before="60" w:after="60"/>
              <w:jc w:val="left"/>
              <w:rPr>
                <w:rFonts w:cs="Times New Roman"/>
                <w:i/>
                <w:iCs/>
                <w:sz w:val="20"/>
                <w:szCs w:val="20"/>
              </w:rPr>
            </w:pPr>
            <w:r w:rsidRPr="00EC02CA">
              <w:rPr>
                <w:rFonts w:cs="Times New Roman"/>
                <w:i/>
                <w:iCs/>
                <w:sz w:val="20"/>
                <w:szCs w:val="20"/>
              </w:rPr>
              <w:t>Young Offenders Act 1994</w:t>
            </w:r>
            <w:r w:rsidRPr="00EC02CA">
              <w:rPr>
                <w:rFonts w:cs="Times New Roman"/>
                <w:sz w:val="20"/>
                <w:szCs w:val="20"/>
              </w:rPr>
              <w:t xml:space="preserve"> (WA)</w:t>
            </w:r>
          </w:p>
        </w:tc>
      </w:tr>
    </w:tbl>
    <w:p w14:paraId="525412F3" w14:textId="1EC93A67" w:rsidR="00BB5C16" w:rsidRPr="00EC02CA" w:rsidRDefault="00BB5C16" w:rsidP="001C09C6">
      <w:pPr>
        <w:sectPr w:rsidR="00BB5C16" w:rsidRPr="00EC02CA" w:rsidSect="006E28D9">
          <w:headerReference w:type="default" r:id="rId62"/>
          <w:pgSz w:w="16838" w:h="11906" w:orient="landscape"/>
          <w:pgMar w:top="1440" w:right="1440" w:bottom="1440" w:left="1440" w:header="708" w:footer="708" w:gutter="0"/>
          <w:cols w:space="708"/>
          <w:docGrid w:linePitch="360"/>
        </w:sectPr>
      </w:pPr>
    </w:p>
    <w:p w14:paraId="7F6A81D6" w14:textId="29BB3DB9" w:rsidR="009A17B2" w:rsidRPr="00EC02CA" w:rsidRDefault="00A5577D" w:rsidP="002F0007">
      <w:pPr>
        <w:pStyle w:val="NormalNumberedTextTLRI"/>
        <w:numPr>
          <w:ilvl w:val="0"/>
          <w:numId w:val="0"/>
        </w:numPr>
      </w:pPr>
      <w:r w:rsidRPr="00EC02CA">
        <w:rPr>
          <w:b/>
          <w:bCs/>
        </w:rPr>
        <w:t xml:space="preserve">Table </w:t>
      </w:r>
      <w:r w:rsidR="00107939" w:rsidRPr="00EC02CA">
        <w:rPr>
          <w:b/>
          <w:bCs/>
        </w:rPr>
        <w:t>I</w:t>
      </w:r>
      <w:r w:rsidRPr="00EC02CA">
        <w:rPr>
          <w:b/>
          <w:bCs/>
        </w:rPr>
        <w:t>.</w:t>
      </w:r>
      <w:r w:rsidR="00773141" w:rsidRPr="00EC02CA">
        <w:rPr>
          <w:b/>
          <w:bCs/>
        </w:rPr>
        <w:t>2</w:t>
      </w:r>
      <w:r w:rsidRPr="00EC02CA">
        <w:t xml:space="preserve"> Youth </w:t>
      </w:r>
      <w:r w:rsidR="00917DF1" w:rsidRPr="00EC02CA">
        <w:t>r</w:t>
      </w:r>
      <w:r w:rsidRPr="00EC02CA">
        <w:t xml:space="preserve">estorative </w:t>
      </w:r>
      <w:r w:rsidR="00917DF1" w:rsidRPr="00EC02CA">
        <w:t>j</w:t>
      </w:r>
      <w:r w:rsidRPr="00EC02CA">
        <w:t xml:space="preserve">ustice </w:t>
      </w:r>
      <w:r w:rsidR="00917DF1" w:rsidRPr="00EC02CA">
        <w:t>c</w:t>
      </w:r>
      <w:r w:rsidRPr="00EC02CA">
        <w:t xml:space="preserve">onferencing </w:t>
      </w:r>
      <w:r w:rsidR="00917DF1" w:rsidRPr="00EC02CA">
        <w:t>r</w:t>
      </w:r>
      <w:r w:rsidRPr="00EC02CA">
        <w:t xml:space="preserve">eferral </w:t>
      </w:r>
      <w:r w:rsidR="00917DF1" w:rsidRPr="00EC02CA">
        <w:t>t</w:t>
      </w:r>
      <w:r w:rsidRPr="00EC02CA">
        <w:t xml:space="preserve">ypes </w:t>
      </w:r>
      <w:r w:rsidR="00917DF1" w:rsidRPr="00EC02CA">
        <w:t xml:space="preserve">– </w:t>
      </w:r>
      <w:r w:rsidRPr="00EC02CA">
        <w:t>Queensland</w:t>
      </w:r>
      <w:r w:rsidRPr="00EC02CA">
        <w:rPr>
          <w:rStyle w:val="FootnoteReference"/>
          <w:b/>
          <w:bCs/>
        </w:rPr>
        <w:footnoteReference w:id="974"/>
      </w:r>
    </w:p>
    <w:p w14:paraId="168AE4BC" w14:textId="77777777" w:rsidR="001E7582" w:rsidRPr="00EC02CA" w:rsidRDefault="001E7582" w:rsidP="002F0007">
      <w:pPr>
        <w:pStyle w:val="NormalNumberedTextTLRI"/>
        <w:numPr>
          <w:ilvl w:val="0"/>
          <w:numId w:val="0"/>
        </w:numPr>
      </w:pPr>
    </w:p>
    <w:p w14:paraId="33EB7BEA" w14:textId="69616F6B" w:rsidR="001E7582" w:rsidRPr="00EC02CA" w:rsidRDefault="001E7582" w:rsidP="002F0007">
      <w:pPr>
        <w:pStyle w:val="NormalNumberedTextTLRI"/>
        <w:numPr>
          <w:ilvl w:val="0"/>
          <w:numId w:val="0"/>
        </w:numPr>
        <w:sectPr w:rsidR="001E7582" w:rsidRPr="00EC02CA" w:rsidSect="0037247A">
          <w:pgSz w:w="11906" w:h="16838"/>
          <w:pgMar w:top="1440" w:right="1440" w:bottom="1440" w:left="1440" w:header="708" w:footer="708" w:gutter="0"/>
          <w:cols w:space="708"/>
          <w:docGrid w:linePitch="360"/>
        </w:sectPr>
      </w:pPr>
      <w:r w:rsidRPr="00EC02CA">
        <w:rPr>
          <w:noProof/>
        </w:rPr>
        <w:drawing>
          <wp:inline distT="0" distB="0" distL="0" distR="0" wp14:anchorId="59FC4824" wp14:editId="6221989C">
            <wp:extent cx="5731510" cy="5437505"/>
            <wp:effectExtent l="0" t="0" r="2540" b="0"/>
            <wp:docPr id="71692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25294" name=""/>
                    <pic:cNvPicPr/>
                  </pic:nvPicPr>
                  <pic:blipFill>
                    <a:blip r:embed="rId63">
                      <a:extLst>
                        <a:ext uri="{BEBA8EAE-BF5A-486C-A8C5-ECC9F3942E4B}">
                          <a14:imgProps xmlns:a14="http://schemas.microsoft.com/office/drawing/2010/main">
                            <a14:imgLayer r:embed="rId64">
                              <a14:imgEffect>
                                <a14:saturation sat="0"/>
                              </a14:imgEffect>
                            </a14:imgLayer>
                          </a14:imgProps>
                        </a:ext>
                      </a:extLst>
                    </a:blip>
                    <a:stretch>
                      <a:fillRect/>
                    </a:stretch>
                  </pic:blipFill>
                  <pic:spPr>
                    <a:xfrm>
                      <a:off x="0" y="0"/>
                      <a:ext cx="5731510" cy="5437505"/>
                    </a:xfrm>
                    <a:prstGeom prst="rect">
                      <a:avLst/>
                    </a:prstGeom>
                  </pic:spPr>
                </pic:pic>
              </a:graphicData>
            </a:graphic>
          </wp:inline>
        </w:drawing>
      </w:r>
    </w:p>
    <w:p w14:paraId="0F7562E9" w14:textId="0F3BAB1E" w:rsidR="004806BF" w:rsidRPr="00EC02CA" w:rsidRDefault="00E83B8C" w:rsidP="00E83B8C">
      <w:pPr>
        <w:pStyle w:val="ExecSummaryandAppendixHeading"/>
      </w:pPr>
      <w:bookmarkStart w:id="504" w:name="_Toc211849483"/>
      <w:bookmarkStart w:id="505" w:name="_Toc218157386"/>
      <w:r w:rsidRPr="00EC02CA">
        <w:t xml:space="preserve">Appendix </w:t>
      </w:r>
      <w:r w:rsidR="00107939" w:rsidRPr="00EC02CA">
        <w:t>J</w:t>
      </w:r>
      <w:r w:rsidRPr="00EC02CA">
        <w:t xml:space="preserve">: </w:t>
      </w:r>
      <w:r w:rsidR="004806BF" w:rsidRPr="00EC02CA">
        <w:t xml:space="preserve">ALRC </w:t>
      </w:r>
      <w:r w:rsidR="00917DF1" w:rsidRPr="00EC02CA">
        <w:t>p</w:t>
      </w:r>
      <w:r w:rsidR="004806BF" w:rsidRPr="00EC02CA">
        <w:t>otential interactions between criminal justice and restorative justice processes dealing with sexual violence</w:t>
      </w:r>
      <w:bookmarkEnd w:id="504"/>
      <w:bookmarkEnd w:id="505"/>
    </w:p>
    <w:p w14:paraId="25604CCD" w14:textId="77777777" w:rsidR="004806BF" w:rsidRPr="00EC02CA" w:rsidRDefault="004806BF" w:rsidP="004806BF">
      <w:pPr>
        <w:rPr>
          <w:rFonts w:cs="Times New Roman"/>
        </w:rPr>
      </w:pPr>
      <w:r w:rsidRPr="00EC02CA">
        <w:rPr>
          <w:rFonts w:cs="Times New Roman"/>
          <w:noProof/>
        </w:rPr>
        <w:drawing>
          <wp:inline distT="0" distB="0" distL="0" distR="0" wp14:anchorId="7A6F2B3D" wp14:editId="071DFA31">
            <wp:extent cx="5039428" cy="6382641"/>
            <wp:effectExtent l="0" t="0" r="8890" b="0"/>
            <wp:docPr id="1895060841" name="Picture 1" descr="A white and purple checklis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60841" name="Picture 1" descr="A white and purple checklist with black text&#10;&#10;AI-generated content may be incorrect."/>
                    <pic:cNvPicPr/>
                  </pic:nvPicPr>
                  <pic:blipFill>
                    <a:blip r:embed="rId65">
                      <a:extLst>
                        <a:ext uri="{BEBA8EAE-BF5A-486C-A8C5-ECC9F3942E4B}">
                          <a14:imgProps xmlns:a14="http://schemas.microsoft.com/office/drawing/2010/main">
                            <a14:imgLayer r:embed="rId66">
                              <a14:imgEffect>
                                <a14:saturation sat="0"/>
                              </a14:imgEffect>
                            </a14:imgLayer>
                          </a14:imgProps>
                        </a:ext>
                      </a:extLst>
                    </a:blip>
                    <a:stretch>
                      <a:fillRect/>
                    </a:stretch>
                  </pic:blipFill>
                  <pic:spPr>
                    <a:xfrm>
                      <a:off x="0" y="0"/>
                      <a:ext cx="5039428" cy="6382641"/>
                    </a:xfrm>
                    <a:prstGeom prst="rect">
                      <a:avLst/>
                    </a:prstGeom>
                  </pic:spPr>
                </pic:pic>
              </a:graphicData>
            </a:graphic>
          </wp:inline>
        </w:drawing>
      </w:r>
    </w:p>
    <w:p w14:paraId="036331AD" w14:textId="77777777" w:rsidR="004806BF" w:rsidRPr="00EC02CA" w:rsidRDefault="004806BF" w:rsidP="001C09C6">
      <w:pPr>
        <w:sectPr w:rsidR="004806BF" w:rsidRPr="00EC02CA" w:rsidSect="0037247A">
          <w:pgSz w:w="11906" w:h="16838"/>
          <w:pgMar w:top="1440" w:right="1440" w:bottom="1440" w:left="1440" w:header="708" w:footer="708" w:gutter="0"/>
          <w:cols w:space="708"/>
          <w:docGrid w:linePitch="360"/>
        </w:sectPr>
      </w:pPr>
    </w:p>
    <w:p w14:paraId="3CA1C878" w14:textId="464B205A" w:rsidR="003B4ABF" w:rsidRPr="00EC02CA" w:rsidRDefault="00345FAF" w:rsidP="0016695E">
      <w:pPr>
        <w:pStyle w:val="ExecSummaryandAppendixHeading"/>
      </w:pPr>
      <w:bookmarkStart w:id="506" w:name="_Toc218157387"/>
      <w:bookmarkStart w:id="507" w:name="_Toc211849484"/>
      <w:r w:rsidRPr="00EC02CA">
        <w:t xml:space="preserve">Appendix </w:t>
      </w:r>
      <w:r w:rsidR="00107939" w:rsidRPr="00EC02CA">
        <w:t>K</w:t>
      </w:r>
      <w:r w:rsidRPr="00EC02CA">
        <w:t xml:space="preserve">: </w:t>
      </w:r>
      <w:r w:rsidR="00D474FF" w:rsidRPr="00EC02CA">
        <w:t xml:space="preserve">Recommendations of the </w:t>
      </w:r>
      <w:r w:rsidR="00FC4F6B" w:rsidRPr="00EC02CA">
        <w:t>Commission</w:t>
      </w:r>
      <w:r w:rsidR="00D474FF" w:rsidRPr="00EC02CA">
        <w:t xml:space="preserve"> of Inquiry relating to youth justice</w:t>
      </w:r>
      <w:r w:rsidR="00FC4F6B" w:rsidRPr="00EC02CA">
        <w:t xml:space="preserve"> (summary from </w:t>
      </w:r>
      <w:r w:rsidR="00917DF1" w:rsidRPr="00EC02CA">
        <w:t>Diversionary Services Framework</w:t>
      </w:r>
      <w:r w:rsidR="00FC4F6B" w:rsidRPr="00EC02CA">
        <w:t>)</w:t>
      </w:r>
      <w:bookmarkEnd w:id="506"/>
      <w:bookmarkEnd w:id="507"/>
    </w:p>
    <w:p w14:paraId="0CB455DA" w14:textId="77777777" w:rsidR="002915AA" w:rsidRPr="00EC02CA" w:rsidRDefault="00345FAF" w:rsidP="001C09C6">
      <w:pPr>
        <w:sectPr w:rsidR="002915AA" w:rsidRPr="00EC02CA" w:rsidSect="0037247A">
          <w:headerReference w:type="default" r:id="rId67"/>
          <w:pgSz w:w="11906" w:h="16838"/>
          <w:pgMar w:top="1440" w:right="1440" w:bottom="1440" w:left="1440" w:header="708" w:footer="708" w:gutter="0"/>
          <w:cols w:space="708"/>
          <w:docGrid w:linePitch="360"/>
        </w:sectPr>
      </w:pPr>
      <w:r w:rsidRPr="00EC02CA">
        <w:rPr>
          <w:noProof/>
        </w:rPr>
        <w:drawing>
          <wp:inline distT="0" distB="0" distL="0" distR="0" wp14:anchorId="1E2B8D82" wp14:editId="653A42B5">
            <wp:extent cx="5731510" cy="7145655"/>
            <wp:effectExtent l="0" t="0" r="2540" b="0"/>
            <wp:docPr id="622258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58021" name=""/>
                    <pic:cNvPicPr/>
                  </pic:nvPicPr>
                  <pic:blipFill>
                    <a:blip r:embed="rId68">
                      <a:extLst>
                        <a:ext uri="{BEBA8EAE-BF5A-486C-A8C5-ECC9F3942E4B}">
                          <a14:imgProps xmlns:a14="http://schemas.microsoft.com/office/drawing/2010/main">
                            <a14:imgLayer r:embed="rId69">
                              <a14:imgEffect>
                                <a14:saturation sat="0"/>
                              </a14:imgEffect>
                            </a14:imgLayer>
                          </a14:imgProps>
                        </a:ext>
                      </a:extLst>
                    </a:blip>
                    <a:stretch>
                      <a:fillRect/>
                    </a:stretch>
                  </pic:blipFill>
                  <pic:spPr>
                    <a:xfrm>
                      <a:off x="0" y="0"/>
                      <a:ext cx="5731510" cy="7145655"/>
                    </a:xfrm>
                    <a:prstGeom prst="rect">
                      <a:avLst/>
                    </a:prstGeom>
                  </pic:spPr>
                </pic:pic>
              </a:graphicData>
            </a:graphic>
          </wp:inline>
        </w:drawing>
      </w:r>
    </w:p>
    <w:p w14:paraId="7D4E345A" w14:textId="6132C3A2" w:rsidR="002915AA" w:rsidRPr="00EC02CA" w:rsidRDefault="002915AA" w:rsidP="002D09A6">
      <w:pPr>
        <w:pStyle w:val="ExecSummaryandAppendixHeading"/>
      </w:pPr>
      <w:bookmarkStart w:id="508" w:name="_Toc211849485"/>
      <w:bookmarkStart w:id="509" w:name="_Toc218157388"/>
      <w:r w:rsidRPr="00EC02CA">
        <w:t xml:space="preserve">Appendix </w:t>
      </w:r>
      <w:r w:rsidR="00841B35" w:rsidRPr="00EC02CA">
        <w:t>L</w:t>
      </w:r>
      <w:r w:rsidRPr="00EC02CA">
        <w:t>: Key recommendations of the Commission of Inquiry relevant to the youth justice system and harmful sexual behaviour</w:t>
      </w:r>
      <w:r w:rsidRPr="00EC02CA">
        <w:rPr>
          <w:rStyle w:val="FootnoteReference"/>
          <w:rFonts w:cs="Times New Roman"/>
          <w:sz w:val="20"/>
          <w:szCs w:val="20"/>
        </w:rPr>
        <w:footnoteReference w:id="975"/>
      </w:r>
      <w:bookmarkEnd w:id="508"/>
      <w:bookmarkEnd w:id="509"/>
    </w:p>
    <w:tbl>
      <w:tblPr>
        <w:tblStyle w:val="TableGrid"/>
        <w:tblW w:w="13887" w:type="dxa"/>
        <w:tblLook w:val="04A0" w:firstRow="1" w:lastRow="0" w:firstColumn="1" w:lastColumn="0" w:noHBand="0" w:noVBand="1"/>
      </w:tblPr>
      <w:tblGrid>
        <w:gridCol w:w="13887"/>
      </w:tblGrid>
      <w:tr w:rsidR="008E30C5" w:rsidRPr="00EC02CA" w14:paraId="03366B37" w14:textId="77777777" w:rsidTr="00A920EC">
        <w:tc>
          <w:tcPr>
            <w:tcW w:w="13887" w:type="dxa"/>
          </w:tcPr>
          <w:p w14:paraId="3C3B6EAF"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Commission of Inquiry Recommendation</w:t>
            </w:r>
          </w:p>
        </w:tc>
      </w:tr>
      <w:tr w:rsidR="008E30C5" w:rsidRPr="00EC02CA" w14:paraId="36415889" w14:textId="77777777" w:rsidTr="00A920EC">
        <w:tc>
          <w:tcPr>
            <w:tcW w:w="13887" w:type="dxa"/>
          </w:tcPr>
          <w:p w14:paraId="0F1723B1" w14:textId="762E3DCD"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Recommendation 9.28</w:t>
            </w:r>
          </w:p>
          <w:p w14:paraId="3A7F9F39" w14:textId="70712DB8" w:rsidR="00706086" w:rsidRPr="00EC02CA" w:rsidRDefault="008E30C5" w:rsidP="00165026">
            <w:pPr>
              <w:pStyle w:val="ListParagraph"/>
              <w:numPr>
                <w:ilvl w:val="1"/>
                <w:numId w:val="34"/>
              </w:numPr>
              <w:spacing w:before="60" w:after="60"/>
              <w:ind w:left="357" w:hanging="357"/>
              <w:contextualSpacing w:val="0"/>
              <w:jc w:val="left"/>
              <w:rPr>
                <w:rFonts w:cs="Times New Roman"/>
                <w:sz w:val="20"/>
                <w:szCs w:val="20"/>
              </w:rPr>
            </w:pPr>
            <w:r w:rsidRPr="00EC02CA">
              <w:rPr>
                <w:rFonts w:cs="Times New Roman"/>
                <w:sz w:val="20"/>
                <w:szCs w:val="20"/>
              </w:rPr>
              <w:t>The Department for Education, Children and Young People should establish a</w:t>
            </w:r>
            <w:r w:rsidR="00706086" w:rsidRPr="00EC02CA">
              <w:rPr>
                <w:rFonts w:cs="Times New Roman"/>
                <w:sz w:val="20"/>
                <w:szCs w:val="20"/>
              </w:rPr>
              <w:t xml:space="preserve"> </w:t>
            </w:r>
            <w:r w:rsidRPr="00EC02CA">
              <w:rPr>
                <w:rFonts w:cs="Times New Roman"/>
                <w:sz w:val="20"/>
                <w:szCs w:val="20"/>
              </w:rPr>
              <w:t>Harmful Sexual Behaviours Support Unit to support best practice responses to</w:t>
            </w:r>
            <w:r w:rsidR="00706086" w:rsidRPr="00EC02CA">
              <w:rPr>
                <w:rFonts w:cs="Times New Roman"/>
                <w:sz w:val="20"/>
                <w:szCs w:val="20"/>
              </w:rPr>
              <w:t xml:space="preserve"> </w:t>
            </w:r>
            <w:r w:rsidRPr="00EC02CA">
              <w:rPr>
                <w:rFonts w:cs="Times New Roman"/>
                <w:sz w:val="20"/>
                <w:szCs w:val="20"/>
              </w:rPr>
              <w:t>harmful sexual behaviours across the Department, including in schools, Child Safety Services, out of home care and youth detention. The unit should:</w:t>
            </w:r>
          </w:p>
          <w:p w14:paraId="24E75119" w14:textId="40F3E514" w:rsidR="00706086" w:rsidRPr="00EC02CA" w:rsidRDefault="008E30C5" w:rsidP="00A920EC">
            <w:pPr>
              <w:pStyle w:val="ListParagraph"/>
              <w:numPr>
                <w:ilvl w:val="0"/>
                <w:numId w:val="149"/>
              </w:numPr>
              <w:spacing w:before="60" w:after="60"/>
              <w:ind w:left="720"/>
              <w:contextualSpacing w:val="0"/>
              <w:jc w:val="left"/>
              <w:rPr>
                <w:rFonts w:cs="Times New Roman"/>
                <w:sz w:val="20"/>
                <w:szCs w:val="20"/>
              </w:rPr>
            </w:pPr>
            <w:r w:rsidRPr="00EC02CA">
              <w:rPr>
                <w:rFonts w:cs="Times New Roman"/>
                <w:sz w:val="20"/>
                <w:szCs w:val="20"/>
              </w:rPr>
              <w:t xml:space="preserve">provide advice, guidance, and support across the Department </w:t>
            </w:r>
          </w:p>
          <w:p w14:paraId="4AD18C30" w14:textId="34030635" w:rsidR="00706086" w:rsidRPr="00EC02CA" w:rsidRDefault="008E30C5" w:rsidP="00A920EC">
            <w:pPr>
              <w:pStyle w:val="ListParagraph"/>
              <w:numPr>
                <w:ilvl w:val="0"/>
                <w:numId w:val="149"/>
              </w:numPr>
              <w:spacing w:before="60" w:after="60"/>
              <w:ind w:left="720"/>
              <w:contextualSpacing w:val="0"/>
              <w:jc w:val="left"/>
              <w:rPr>
                <w:rFonts w:cs="Times New Roman"/>
                <w:sz w:val="20"/>
                <w:szCs w:val="20"/>
              </w:rPr>
            </w:pPr>
            <w:r w:rsidRPr="00EC02CA">
              <w:rPr>
                <w:rFonts w:cs="Times New Roman"/>
                <w:sz w:val="20"/>
                <w:szCs w:val="20"/>
              </w:rPr>
              <w:t>develop context-specific policies for all settings informed by the Tasmanian Government’s statewide framework and plan to address harmful sexual behaviours (Recommendation</w:t>
            </w:r>
            <w:r w:rsidR="00706086" w:rsidRPr="00EC02CA">
              <w:rPr>
                <w:rFonts w:cs="Times New Roman"/>
                <w:sz w:val="20"/>
                <w:szCs w:val="20"/>
              </w:rPr>
              <w:t xml:space="preserve"> </w:t>
            </w:r>
            <w:r w:rsidRPr="00EC02CA">
              <w:rPr>
                <w:rFonts w:cs="Times New Roman"/>
                <w:sz w:val="20"/>
                <w:szCs w:val="20"/>
              </w:rPr>
              <w:t xml:space="preserve">21.8) </w:t>
            </w:r>
          </w:p>
          <w:p w14:paraId="36F22086" w14:textId="1741ECDA" w:rsidR="008E30C5" w:rsidRPr="00EC02CA" w:rsidRDefault="008E30C5" w:rsidP="00A920EC">
            <w:pPr>
              <w:pStyle w:val="ListParagraph"/>
              <w:numPr>
                <w:ilvl w:val="0"/>
                <w:numId w:val="149"/>
              </w:numPr>
              <w:spacing w:before="60" w:after="60"/>
              <w:ind w:left="720"/>
              <w:contextualSpacing w:val="0"/>
              <w:jc w:val="left"/>
              <w:rPr>
                <w:rFonts w:cs="Times New Roman"/>
                <w:sz w:val="20"/>
                <w:szCs w:val="20"/>
              </w:rPr>
            </w:pPr>
            <w:r w:rsidRPr="00EC02CA">
              <w:rPr>
                <w:rFonts w:cs="Times New Roman"/>
                <w:sz w:val="20"/>
                <w:szCs w:val="20"/>
              </w:rPr>
              <w:t>work closely with the Quality and Risk Committee (Recommendation</w:t>
            </w:r>
            <w:r w:rsidR="00706086" w:rsidRPr="00EC02CA">
              <w:rPr>
                <w:rFonts w:cs="Times New Roman"/>
                <w:sz w:val="20"/>
                <w:szCs w:val="20"/>
              </w:rPr>
              <w:t xml:space="preserve"> </w:t>
            </w:r>
            <w:r w:rsidRPr="00EC02CA">
              <w:rPr>
                <w:rFonts w:cs="Times New Roman"/>
                <w:sz w:val="20"/>
                <w:szCs w:val="20"/>
              </w:rPr>
              <w:t>9.5) to</w:t>
            </w:r>
            <w:r w:rsidR="00706086" w:rsidRPr="00EC02CA">
              <w:rPr>
                <w:rFonts w:cs="Times New Roman"/>
                <w:sz w:val="20"/>
                <w:szCs w:val="20"/>
              </w:rPr>
              <w:t xml:space="preserve"> </w:t>
            </w:r>
            <w:r w:rsidRPr="00EC02CA">
              <w:rPr>
                <w:rFonts w:cs="Times New Roman"/>
                <w:sz w:val="20"/>
                <w:szCs w:val="20"/>
              </w:rPr>
              <w:t>ensure systemic risks, practice issues and opportunities for improvement are</w:t>
            </w:r>
            <w:r w:rsidR="00706086" w:rsidRPr="00EC02CA">
              <w:rPr>
                <w:rFonts w:cs="Times New Roman"/>
                <w:sz w:val="20"/>
                <w:szCs w:val="20"/>
              </w:rPr>
              <w:t xml:space="preserve"> </w:t>
            </w:r>
            <w:r w:rsidRPr="00EC02CA">
              <w:rPr>
                <w:rFonts w:cs="Times New Roman"/>
                <w:sz w:val="20"/>
                <w:szCs w:val="20"/>
              </w:rPr>
              <w:t>identified.</w:t>
            </w:r>
          </w:p>
          <w:p w14:paraId="1FAA900B" w14:textId="3CC439EB" w:rsidR="008E30C5" w:rsidRPr="00EC02CA" w:rsidRDefault="008E30C5" w:rsidP="00A920EC">
            <w:pPr>
              <w:pStyle w:val="ListParagraph"/>
              <w:numPr>
                <w:ilvl w:val="1"/>
                <w:numId w:val="34"/>
              </w:numPr>
              <w:spacing w:before="60" w:after="60"/>
              <w:ind w:left="357" w:hanging="357"/>
              <w:contextualSpacing w:val="0"/>
              <w:jc w:val="left"/>
              <w:rPr>
                <w:rFonts w:cs="Times New Roman"/>
                <w:sz w:val="20"/>
                <w:szCs w:val="20"/>
              </w:rPr>
            </w:pPr>
            <w:r w:rsidRPr="00EC02CA">
              <w:rPr>
                <w:rFonts w:cs="Times New Roman"/>
                <w:sz w:val="20"/>
                <w:szCs w:val="20"/>
              </w:rPr>
              <w:t>The Tasmanian Government should allocate additional funding to support responses to harmful sexual behaviours in out of home care and youth justice.</w:t>
            </w:r>
          </w:p>
          <w:p w14:paraId="625E4E88" w14:textId="4EEEC323" w:rsidR="008E30C5" w:rsidRPr="00EC02CA" w:rsidRDefault="008E30C5" w:rsidP="00A920EC">
            <w:pPr>
              <w:pStyle w:val="ListParagraph"/>
              <w:numPr>
                <w:ilvl w:val="1"/>
                <w:numId w:val="34"/>
              </w:numPr>
              <w:spacing w:before="60" w:after="60"/>
              <w:ind w:left="357" w:hanging="357"/>
              <w:contextualSpacing w:val="0"/>
              <w:jc w:val="left"/>
              <w:rPr>
                <w:rFonts w:cs="Times New Roman"/>
                <w:sz w:val="20"/>
                <w:szCs w:val="20"/>
              </w:rPr>
            </w:pPr>
            <w:r w:rsidRPr="00EC02CA">
              <w:rPr>
                <w:rFonts w:cs="Times New Roman"/>
                <w:sz w:val="20"/>
                <w:szCs w:val="20"/>
              </w:rPr>
              <w:t xml:space="preserve">The Harmful Sexual Behaviours Support Unit should develop detailed out of home care-specific policies, protocols and practice guidance to support best practice responses to harmful sexual behaviours in out of home care </w:t>
            </w:r>
          </w:p>
          <w:p w14:paraId="7557AF5A" w14:textId="4AFA7257" w:rsidR="008E30C5" w:rsidRPr="00EC02CA" w:rsidRDefault="008E30C5" w:rsidP="00A920EC">
            <w:pPr>
              <w:pStyle w:val="ListParagraph"/>
              <w:numPr>
                <w:ilvl w:val="1"/>
                <w:numId w:val="34"/>
              </w:numPr>
              <w:spacing w:before="60" w:after="60"/>
              <w:ind w:left="357" w:hanging="357"/>
              <w:contextualSpacing w:val="0"/>
              <w:jc w:val="left"/>
              <w:rPr>
                <w:rFonts w:cs="Times New Roman"/>
                <w:sz w:val="20"/>
                <w:szCs w:val="20"/>
              </w:rPr>
            </w:pPr>
            <w:r w:rsidRPr="00EC02CA">
              <w:rPr>
                <w:rFonts w:cs="Times New Roman"/>
                <w:sz w:val="20"/>
                <w:szCs w:val="20"/>
              </w:rPr>
              <w:t>The Department should ensure the advanced professional development for departmental staff in understanding and responding to harmful sexual behaviours (Recommendation</w:t>
            </w:r>
            <w:r w:rsidR="00706086" w:rsidRPr="00EC02CA">
              <w:rPr>
                <w:rFonts w:cs="Times New Roman"/>
                <w:sz w:val="20"/>
                <w:szCs w:val="20"/>
              </w:rPr>
              <w:t xml:space="preserve"> </w:t>
            </w:r>
            <w:r w:rsidRPr="00EC02CA">
              <w:rPr>
                <w:rFonts w:cs="Times New Roman"/>
                <w:sz w:val="20"/>
                <w:szCs w:val="20"/>
              </w:rPr>
              <w:t>9.11) includes tailored professional development for both Child Safety Officers and carers, and is available to staff in relevant roles in schools and youth justice.</w:t>
            </w:r>
          </w:p>
          <w:p w14:paraId="5AA8DC40" w14:textId="2DEB7D30" w:rsidR="008E30C5" w:rsidRPr="00EC02CA" w:rsidRDefault="008E30C5" w:rsidP="00A920EC">
            <w:pPr>
              <w:pStyle w:val="ListParagraph"/>
              <w:numPr>
                <w:ilvl w:val="1"/>
                <w:numId w:val="34"/>
              </w:numPr>
              <w:spacing w:before="60" w:after="60"/>
              <w:ind w:left="357" w:hanging="357"/>
              <w:contextualSpacing w:val="0"/>
              <w:jc w:val="left"/>
              <w:rPr>
                <w:rFonts w:cs="Times New Roman"/>
                <w:sz w:val="20"/>
                <w:szCs w:val="20"/>
              </w:rPr>
            </w:pPr>
            <w:r w:rsidRPr="00EC02CA">
              <w:rPr>
                <w:rFonts w:cs="Times New Roman"/>
                <w:sz w:val="20"/>
                <w:szCs w:val="20"/>
              </w:rPr>
              <w:t>The Department should ensure staff working in the Harmful Sexual Behaviours Support Unit are suitably experienced or undertake additional professional development to advance their knowledge in responding to</w:t>
            </w:r>
            <w:r w:rsidR="000A0178" w:rsidRPr="00EC02CA">
              <w:rPr>
                <w:rFonts w:cs="Times New Roman"/>
                <w:sz w:val="20"/>
                <w:szCs w:val="20"/>
              </w:rPr>
              <w:t xml:space="preserve"> </w:t>
            </w:r>
            <w:r w:rsidRPr="00EC02CA">
              <w:rPr>
                <w:rFonts w:cs="Times New Roman"/>
                <w:sz w:val="20"/>
                <w:szCs w:val="20"/>
              </w:rPr>
              <w:t>harmful sexual behaviours.</w:t>
            </w:r>
          </w:p>
          <w:p w14:paraId="59BBDF4A" w14:textId="3E2E67FD" w:rsidR="008E30C5" w:rsidRPr="00EC02CA" w:rsidRDefault="008E30C5" w:rsidP="00A920EC">
            <w:pPr>
              <w:pStyle w:val="ListParagraph"/>
              <w:numPr>
                <w:ilvl w:val="1"/>
                <w:numId w:val="34"/>
              </w:numPr>
              <w:spacing w:before="60" w:after="60"/>
              <w:ind w:left="357" w:hanging="357"/>
              <w:contextualSpacing w:val="0"/>
              <w:jc w:val="left"/>
              <w:rPr>
                <w:rFonts w:cs="Times New Roman"/>
                <w:sz w:val="20"/>
                <w:szCs w:val="20"/>
              </w:rPr>
            </w:pPr>
            <w:r w:rsidRPr="00EC02CA">
              <w:rPr>
                <w:rFonts w:cs="Times New Roman"/>
                <w:sz w:val="20"/>
                <w:szCs w:val="20"/>
              </w:rPr>
              <w:t>The Department should ensure Power to Kids or another program or approach with comparable components is implemented in government funded residential care homes as a supplementary strategy to address the heightened risk of harmful sexual behaviours (including child sexual exploitation and dating violence) in out of home care</w:t>
            </w:r>
            <w:r w:rsidR="00CF5288" w:rsidRPr="00EC02CA">
              <w:rPr>
                <w:rFonts w:cs="Times New Roman"/>
                <w:sz w:val="20"/>
                <w:szCs w:val="20"/>
              </w:rPr>
              <w:t>.</w:t>
            </w:r>
          </w:p>
        </w:tc>
      </w:tr>
      <w:tr w:rsidR="008E30C5" w:rsidRPr="00EC02CA" w14:paraId="5AE773B7" w14:textId="77777777" w:rsidTr="00A920EC">
        <w:tc>
          <w:tcPr>
            <w:tcW w:w="13887" w:type="dxa"/>
          </w:tcPr>
          <w:p w14:paraId="47ACE29C"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12.11 </w:t>
            </w:r>
          </w:p>
          <w:p w14:paraId="63787068" w14:textId="77777777" w:rsidR="00574088" w:rsidRPr="00EC02CA" w:rsidRDefault="008E30C5" w:rsidP="00165026">
            <w:pPr>
              <w:spacing w:before="60" w:after="60"/>
              <w:jc w:val="left"/>
              <w:rPr>
                <w:rFonts w:cs="Times New Roman"/>
                <w:sz w:val="20"/>
                <w:szCs w:val="20"/>
              </w:rPr>
            </w:pPr>
            <w:r w:rsidRPr="00EC02CA">
              <w:rPr>
                <w:rFonts w:cs="Times New Roman"/>
                <w:sz w:val="20"/>
                <w:szCs w:val="20"/>
              </w:rPr>
              <w:t xml:space="preserve">The Tasmanian Government should: </w:t>
            </w:r>
          </w:p>
          <w:p w14:paraId="4D1B1190" w14:textId="658E97BB" w:rsidR="00574088" w:rsidRPr="00EC02CA" w:rsidRDefault="008E30C5" w:rsidP="00A920EC">
            <w:pPr>
              <w:pStyle w:val="ListParagraph"/>
              <w:numPr>
                <w:ilvl w:val="0"/>
                <w:numId w:val="172"/>
              </w:numPr>
              <w:spacing w:before="60" w:after="60"/>
              <w:contextualSpacing w:val="0"/>
              <w:jc w:val="left"/>
              <w:rPr>
                <w:rFonts w:cs="Times New Roman"/>
                <w:sz w:val="20"/>
                <w:szCs w:val="20"/>
              </w:rPr>
            </w:pPr>
            <w:r w:rsidRPr="00EC02CA">
              <w:rPr>
                <w:rFonts w:cs="Times New Roman"/>
                <w:sz w:val="20"/>
                <w:szCs w:val="20"/>
              </w:rPr>
              <w:t>introduce legislation to increase the minimum age of criminal responsibility to</w:t>
            </w:r>
            <w:r w:rsidR="00F867C8" w:rsidRPr="00EC02CA">
              <w:rPr>
                <w:rFonts w:cs="Times New Roman"/>
                <w:sz w:val="20"/>
                <w:szCs w:val="20"/>
              </w:rPr>
              <w:t xml:space="preserve"> </w:t>
            </w:r>
            <w:r w:rsidRPr="00EC02CA">
              <w:rPr>
                <w:rFonts w:cs="Times New Roman"/>
                <w:sz w:val="20"/>
                <w:szCs w:val="20"/>
              </w:rPr>
              <w:t>14</w:t>
            </w:r>
            <w:r w:rsidR="00F867C8" w:rsidRPr="00EC02CA">
              <w:rPr>
                <w:rFonts w:cs="Times New Roman"/>
                <w:sz w:val="20"/>
                <w:szCs w:val="20"/>
              </w:rPr>
              <w:t xml:space="preserve"> </w:t>
            </w:r>
            <w:r w:rsidRPr="00EC02CA">
              <w:rPr>
                <w:rFonts w:cs="Times New Roman"/>
                <w:sz w:val="20"/>
                <w:szCs w:val="20"/>
              </w:rPr>
              <w:t xml:space="preserve">years, without exception </w:t>
            </w:r>
          </w:p>
          <w:p w14:paraId="74B53ADF" w14:textId="3980E214" w:rsidR="00574088" w:rsidRPr="00EC02CA" w:rsidRDefault="008E30C5" w:rsidP="00A920EC">
            <w:pPr>
              <w:pStyle w:val="ListParagraph"/>
              <w:numPr>
                <w:ilvl w:val="0"/>
                <w:numId w:val="172"/>
              </w:numPr>
              <w:spacing w:before="60" w:after="60"/>
              <w:contextualSpacing w:val="0"/>
              <w:jc w:val="left"/>
              <w:rPr>
                <w:rFonts w:cs="Times New Roman"/>
                <w:sz w:val="20"/>
                <w:szCs w:val="20"/>
              </w:rPr>
            </w:pPr>
            <w:r w:rsidRPr="00EC02CA">
              <w:rPr>
                <w:rFonts w:cs="Times New Roman"/>
                <w:sz w:val="20"/>
                <w:szCs w:val="20"/>
              </w:rPr>
              <w:t>develop and provide a range of community-based health, welfare and disability programs and services that are tailored to meet the needs of children and young people under the age of 14</w:t>
            </w:r>
            <w:r w:rsidR="000A0178" w:rsidRPr="00EC02CA">
              <w:rPr>
                <w:rFonts w:cs="Times New Roman"/>
                <w:sz w:val="20"/>
                <w:szCs w:val="20"/>
              </w:rPr>
              <w:t xml:space="preserve"> </w:t>
            </w:r>
            <w:r w:rsidRPr="00EC02CA">
              <w:rPr>
                <w:rFonts w:cs="Times New Roman"/>
                <w:sz w:val="20"/>
                <w:szCs w:val="20"/>
              </w:rPr>
              <w:t xml:space="preserve">years who are engaging in antisocial behaviour, and to address the factors contributing to that behaviour </w:t>
            </w:r>
          </w:p>
          <w:p w14:paraId="03EE5D0F" w14:textId="24535BF4" w:rsidR="008E30C5" w:rsidRPr="00EC02CA" w:rsidRDefault="008E30C5" w:rsidP="00A920EC">
            <w:pPr>
              <w:pStyle w:val="ListParagraph"/>
              <w:numPr>
                <w:ilvl w:val="0"/>
                <w:numId w:val="172"/>
              </w:numPr>
              <w:spacing w:before="60" w:after="60"/>
              <w:contextualSpacing w:val="0"/>
              <w:jc w:val="left"/>
              <w:rPr>
                <w:rFonts w:cs="Times New Roman"/>
                <w:sz w:val="20"/>
                <w:szCs w:val="20"/>
              </w:rPr>
            </w:pPr>
            <w:r w:rsidRPr="00EC02CA">
              <w:rPr>
                <w:rFonts w:cs="Times New Roman"/>
                <w:sz w:val="20"/>
                <w:szCs w:val="20"/>
              </w:rPr>
              <w:t>work towards increasing the minimum age of detention (including remand) to 16</w:t>
            </w:r>
            <w:r w:rsidR="000A0178" w:rsidRPr="00EC02CA">
              <w:rPr>
                <w:rFonts w:cs="Times New Roman"/>
                <w:sz w:val="20"/>
                <w:szCs w:val="20"/>
              </w:rPr>
              <w:t xml:space="preserve"> </w:t>
            </w:r>
            <w:r w:rsidRPr="00EC02CA">
              <w:rPr>
                <w:rFonts w:cs="Times New Roman"/>
                <w:sz w:val="20"/>
                <w:szCs w:val="20"/>
              </w:rPr>
              <w:t>years by developing alternatives to detention for children aged 14 and 15</w:t>
            </w:r>
            <w:r w:rsidR="00F867C8" w:rsidRPr="00EC02CA">
              <w:rPr>
                <w:rFonts w:cs="Times New Roman"/>
                <w:sz w:val="20"/>
                <w:szCs w:val="20"/>
              </w:rPr>
              <w:t xml:space="preserve"> </w:t>
            </w:r>
            <w:r w:rsidRPr="00EC02CA">
              <w:rPr>
                <w:rFonts w:cs="Times New Roman"/>
                <w:sz w:val="20"/>
                <w:szCs w:val="20"/>
              </w:rPr>
              <w:t>years who are found guilty of serious violent offences and who may be</w:t>
            </w:r>
            <w:r w:rsidR="000A0178" w:rsidRPr="00EC02CA">
              <w:rPr>
                <w:rFonts w:cs="Times New Roman"/>
                <w:sz w:val="20"/>
                <w:szCs w:val="20"/>
              </w:rPr>
              <w:t xml:space="preserve"> </w:t>
            </w:r>
            <w:r w:rsidRPr="00EC02CA">
              <w:rPr>
                <w:rFonts w:cs="Times New Roman"/>
                <w:sz w:val="20"/>
                <w:szCs w:val="20"/>
              </w:rPr>
              <w:t>a</w:t>
            </w:r>
            <w:r w:rsidR="000A0178" w:rsidRPr="00EC02CA">
              <w:rPr>
                <w:rFonts w:cs="Times New Roman"/>
                <w:sz w:val="20"/>
                <w:szCs w:val="20"/>
              </w:rPr>
              <w:t xml:space="preserve"> </w:t>
            </w:r>
            <w:r w:rsidRPr="00EC02CA">
              <w:rPr>
                <w:rFonts w:cs="Times New Roman"/>
                <w:sz w:val="20"/>
                <w:szCs w:val="20"/>
              </w:rPr>
              <w:t>danger to themselves or the community.</w:t>
            </w:r>
          </w:p>
        </w:tc>
      </w:tr>
      <w:tr w:rsidR="008E30C5" w:rsidRPr="00EC02CA" w14:paraId="11ADE812" w14:textId="77777777" w:rsidTr="00A920EC">
        <w:tc>
          <w:tcPr>
            <w:tcW w:w="13887" w:type="dxa"/>
          </w:tcPr>
          <w:p w14:paraId="71287C6E"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12.12 </w:t>
            </w:r>
          </w:p>
          <w:p w14:paraId="7C4F29A4" w14:textId="17D568F7" w:rsidR="008E30C5" w:rsidRPr="00EC02CA" w:rsidRDefault="008E30C5" w:rsidP="00A920EC">
            <w:pPr>
              <w:spacing w:before="60" w:after="60"/>
              <w:jc w:val="left"/>
              <w:rPr>
                <w:rFonts w:cs="Times New Roman"/>
                <w:sz w:val="20"/>
                <w:szCs w:val="20"/>
              </w:rPr>
            </w:pPr>
            <w:r w:rsidRPr="00EC02CA">
              <w:rPr>
                <w:rFonts w:cs="Times New Roman"/>
                <w:sz w:val="20"/>
                <w:szCs w:val="20"/>
              </w:rPr>
              <w:t xml:space="preserve">The Tasmanian Government should ensure legislation to replace or amend the </w:t>
            </w:r>
            <w:r w:rsidRPr="00EC02CA">
              <w:rPr>
                <w:rFonts w:cs="Times New Roman"/>
                <w:i/>
                <w:iCs/>
                <w:sz w:val="20"/>
                <w:szCs w:val="20"/>
              </w:rPr>
              <w:t>Youth Justice Act 1997</w:t>
            </w:r>
            <w:r w:rsidRPr="00EC02CA">
              <w:rPr>
                <w:rFonts w:cs="Times New Roman"/>
                <w:sz w:val="20"/>
                <w:szCs w:val="20"/>
              </w:rPr>
              <w:t xml:space="preserve"> contains updated general principles of youth justice that reflect contemporary understandings of child development, children’s antisocial behaviour and children’s needs.</w:t>
            </w:r>
          </w:p>
        </w:tc>
      </w:tr>
      <w:tr w:rsidR="008E30C5" w:rsidRPr="00EC02CA" w14:paraId="456ED8FE" w14:textId="77777777" w:rsidTr="00A920EC">
        <w:tc>
          <w:tcPr>
            <w:tcW w:w="13887" w:type="dxa"/>
          </w:tcPr>
          <w:p w14:paraId="5598030D"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12.13 </w:t>
            </w:r>
          </w:p>
          <w:p w14:paraId="49889587" w14:textId="426843C9" w:rsidR="00574088" w:rsidRPr="00EC02CA" w:rsidRDefault="008E30C5" w:rsidP="00A920EC">
            <w:pPr>
              <w:pStyle w:val="ListParagraph"/>
              <w:numPr>
                <w:ilvl w:val="0"/>
                <w:numId w:val="152"/>
              </w:numPr>
              <w:spacing w:before="60" w:after="60"/>
              <w:ind w:hanging="357"/>
              <w:contextualSpacing w:val="0"/>
              <w:jc w:val="left"/>
              <w:rPr>
                <w:rFonts w:cs="Times New Roman"/>
                <w:sz w:val="20"/>
                <w:szCs w:val="20"/>
              </w:rPr>
            </w:pPr>
            <w:r w:rsidRPr="00EC02CA">
              <w:rPr>
                <w:rFonts w:cs="Times New Roman"/>
                <w:sz w:val="20"/>
                <w:szCs w:val="20"/>
              </w:rPr>
              <w:t>The Tasmanian Government, in reviewing current diversion processes and developing a Diversionary Services Framework, should:</w:t>
            </w:r>
          </w:p>
          <w:p w14:paraId="2951B7D8" w14:textId="725B3A35" w:rsidR="00574088" w:rsidRPr="00EC02CA" w:rsidRDefault="008E30C5" w:rsidP="00A920EC">
            <w:pPr>
              <w:pStyle w:val="ListParagraph"/>
              <w:numPr>
                <w:ilvl w:val="0"/>
                <w:numId w:val="166"/>
              </w:numPr>
              <w:spacing w:before="60" w:after="60"/>
              <w:ind w:hanging="357"/>
              <w:contextualSpacing w:val="0"/>
              <w:jc w:val="left"/>
              <w:rPr>
                <w:rFonts w:cs="Times New Roman"/>
                <w:sz w:val="20"/>
                <w:szCs w:val="20"/>
              </w:rPr>
            </w:pPr>
            <w:r w:rsidRPr="00EC02CA">
              <w:rPr>
                <w:rFonts w:cs="Times New Roman"/>
                <w:sz w:val="20"/>
                <w:szCs w:val="20"/>
              </w:rPr>
              <w:t>examine the exercise of police discretion to determine whether opportunities for cautioning and community conferencing are being maximised, particularly for Aboriginal children and young people, and children and young people without a strong family support network</w:t>
            </w:r>
          </w:p>
          <w:p w14:paraId="57ACA493" w14:textId="30D4F3A6" w:rsidR="008E30C5" w:rsidRPr="00EC02CA" w:rsidRDefault="008E30C5" w:rsidP="00A920EC">
            <w:pPr>
              <w:pStyle w:val="ListParagraph"/>
              <w:numPr>
                <w:ilvl w:val="0"/>
                <w:numId w:val="166"/>
              </w:numPr>
              <w:spacing w:before="60" w:after="60"/>
              <w:ind w:hanging="357"/>
              <w:contextualSpacing w:val="0"/>
              <w:jc w:val="left"/>
              <w:rPr>
                <w:rFonts w:cs="Times New Roman"/>
                <w:sz w:val="20"/>
                <w:szCs w:val="20"/>
              </w:rPr>
            </w:pPr>
            <w:r w:rsidRPr="00EC02CA">
              <w:rPr>
                <w:rFonts w:cs="Times New Roman"/>
                <w:sz w:val="20"/>
                <w:szCs w:val="20"/>
              </w:rPr>
              <w:t>commission research to examine the effectiveness of formal cautions imposed with undertakings and the sanctions imposed by community conferences, to ensure they are proportionate to the alleged offending and not unnecessarily onerous</w:t>
            </w:r>
          </w:p>
          <w:p w14:paraId="4C36AA2D" w14:textId="7493EC76" w:rsidR="008E30C5" w:rsidRPr="00EC02CA" w:rsidRDefault="008E30C5" w:rsidP="00A920EC">
            <w:pPr>
              <w:pStyle w:val="ListParagraph"/>
              <w:numPr>
                <w:ilvl w:val="0"/>
                <w:numId w:val="166"/>
              </w:numPr>
              <w:spacing w:before="60" w:after="60"/>
              <w:ind w:hanging="357"/>
              <w:contextualSpacing w:val="0"/>
              <w:jc w:val="left"/>
              <w:rPr>
                <w:rFonts w:cs="Times New Roman"/>
                <w:sz w:val="20"/>
                <w:szCs w:val="20"/>
              </w:rPr>
            </w:pPr>
            <w:r w:rsidRPr="00EC02CA">
              <w:rPr>
                <w:rFonts w:cs="Times New Roman"/>
                <w:sz w:val="20"/>
                <w:szCs w:val="20"/>
              </w:rPr>
              <w:t xml:space="preserve">introduce legislation to widen the range of alleged offences in respect of which diversion may be pursued and create a presumption in favour of pre-court diversion for children and young people. </w:t>
            </w:r>
          </w:p>
          <w:p w14:paraId="1532716C" w14:textId="69E35DCE" w:rsidR="008E30C5" w:rsidRPr="00EC02CA" w:rsidRDefault="008E30C5" w:rsidP="00A920EC">
            <w:pPr>
              <w:pStyle w:val="ListParagraph"/>
              <w:numPr>
                <w:ilvl w:val="0"/>
                <w:numId w:val="152"/>
              </w:numPr>
              <w:spacing w:before="60" w:after="60"/>
              <w:ind w:hanging="357"/>
              <w:contextualSpacing w:val="0"/>
              <w:jc w:val="left"/>
              <w:rPr>
                <w:rFonts w:cs="Times New Roman"/>
                <w:sz w:val="20"/>
                <w:szCs w:val="20"/>
              </w:rPr>
            </w:pPr>
            <w:r w:rsidRPr="00EC02CA">
              <w:rPr>
                <w:rFonts w:cs="Times New Roman"/>
                <w:sz w:val="20"/>
                <w:szCs w:val="20"/>
              </w:rPr>
              <w:t>The Tasmanian Government should begin statewide delivery of new diversion programs under the Diversionary Services Framework by 2025</w:t>
            </w:r>
            <w:r w:rsidR="00CF5288" w:rsidRPr="00EC02CA">
              <w:rPr>
                <w:rFonts w:cs="Times New Roman"/>
                <w:sz w:val="20"/>
                <w:szCs w:val="20"/>
              </w:rPr>
              <w:t>.</w:t>
            </w:r>
          </w:p>
        </w:tc>
      </w:tr>
      <w:tr w:rsidR="008E30C5" w:rsidRPr="00EC02CA" w14:paraId="320C3F98" w14:textId="77777777" w:rsidTr="00A920EC">
        <w:tc>
          <w:tcPr>
            <w:tcW w:w="13887" w:type="dxa"/>
          </w:tcPr>
          <w:p w14:paraId="352A6223"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12.15 </w:t>
            </w:r>
          </w:p>
          <w:p w14:paraId="3C76008D" w14:textId="52929A40" w:rsidR="00165026" w:rsidRPr="00EC02CA" w:rsidRDefault="008E30C5" w:rsidP="00917DF1">
            <w:pPr>
              <w:spacing w:before="60" w:after="60"/>
              <w:jc w:val="left"/>
              <w:rPr>
                <w:rFonts w:cs="Times New Roman"/>
                <w:sz w:val="20"/>
                <w:szCs w:val="20"/>
              </w:rPr>
            </w:pPr>
            <w:r w:rsidRPr="00EC02CA">
              <w:rPr>
                <w:rFonts w:cs="Times New Roman"/>
                <w:sz w:val="20"/>
                <w:szCs w:val="20"/>
              </w:rPr>
              <w:t>The Tasmanian Government should:</w:t>
            </w:r>
          </w:p>
          <w:p w14:paraId="184F5F43" w14:textId="5D347119" w:rsidR="008E30C5" w:rsidRPr="00EC02CA" w:rsidRDefault="008E30C5" w:rsidP="00A920EC">
            <w:pPr>
              <w:pStyle w:val="ListParagraph"/>
              <w:numPr>
                <w:ilvl w:val="0"/>
                <w:numId w:val="170"/>
              </w:numPr>
              <w:spacing w:before="60" w:after="60"/>
              <w:ind w:hanging="357"/>
              <w:contextualSpacing w:val="0"/>
              <w:jc w:val="left"/>
              <w:rPr>
                <w:rFonts w:cs="Times New Roman"/>
                <w:sz w:val="20"/>
                <w:szCs w:val="20"/>
              </w:rPr>
            </w:pPr>
            <w:r w:rsidRPr="00EC02CA">
              <w:rPr>
                <w:rFonts w:cs="Times New Roman"/>
                <w:sz w:val="20"/>
                <w:szCs w:val="20"/>
              </w:rPr>
              <w:t xml:space="preserve">ensure any legislation designed to amend or replace the </w:t>
            </w:r>
            <w:r w:rsidRPr="00EC02CA">
              <w:rPr>
                <w:rFonts w:cs="Times New Roman"/>
                <w:i/>
                <w:iCs/>
                <w:sz w:val="20"/>
                <w:szCs w:val="20"/>
              </w:rPr>
              <w:t>Youth Justice Act 1997</w:t>
            </w:r>
            <w:r w:rsidRPr="00EC02CA">
              <w:rPr>
                <w:rFonts w:cs="Times New Roman"/>
                <w:sz w:val="20"/>
                <w:szCs w:val="20"/>
              </w:rPr>
              <w:t xml:space="preserve"> provides that:</w:t>
            </w:r>
          </w:p>
          <w:p w14:paraId="63F417F5" w14:textId="3FE3C2D8"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rehabilitation is the primary purpose of sentencing a child</w:t>
            </w:r>
          </w:p>
          <w:p w14:paraId="13AD6F87" w14:textId="3E50B8F8"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the list of sentencing options is a hierarchy and a sentencer can only impose a sentence at a particular level of the hierarchy if satisfied that it</w:t>
            </w:r>
            <w:r w:rsidR="00F03027" w:rsidRPr="00EC02CA">
              <w:rPr>
                <w:rFonts w:cs="Times New Roman"/>
                <w:sz w:val="20"/>
                <w:szCs w:val="20"/>
              </w:rPr>
              <w:t xml:space="preserve"> </w:t>
            </w:r>
            <w:r w:rsidRPr="00EC02CA">
              <w:rPr>
                <w:rFonts w:cs="Times New Roman"/>
                <w:sz w:val="20"/>
                <w:szCs w:val="20"/>
              </w:rPr>
              <w:t>is not appropriate to impose a sentence that is ‘lower’ in the hierarchy</w:t>
            </w:r>
          </w:p>
          <w:p w14:paraId="76E63B0A" w14:textId="39D4C77A"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 xml:space="preserve">a sentence imposed on a child should be the minimum intervention required in the circumstances </w:t>
            </w:r>
          </w:p>
          <w:p w14:paraId="6DB88F6B" w14:textId="32F574CE"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 xml:space="preserve">a custodial sentence must only be imposed as a last resort and for the minimum period necessary </w:t>
            </w:r>
          </w:p>
          <w:p w14:paraId="5998D73D" w14:textId="2F53BBCF"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in sentencing a child the court must consider the child’s experience of</w:t>
            </w:r>
            <w:r w:rsidR="00F03027" w:rsidRPr="00EC02CA">
              <w:rPr>
                <w:rFonts w:cs="Times New Roman"/>
                <w:sz w:val="20"/>
                <w:szCs w:val="20"/>
              </w:rPr>
              <w:t xml:space="preserve"> </w:t>
            </w:r>
            <w:r w:rsidRPr="00EC02CA">
              <w:rPr>
                <w:rFonts w:cs="Times New Roman"/>
                <w:sz w:val="20"/>
                <w:szCs w:val="20"/>
              </w:rPr>
              <w:t>trauma, any child protection involvement or experience of out of home care, disruptions to the child’s living situation or education, any mental illness, neurological difficulties or developmental issues experienced by</w:t>
            </w:r>
            <w:r w:rsidR="00F03027" w:rsidRPr="00EC02CA">
              <w:rPr>
                <w:rFonts w:cs="Times New Roman"/>
                <w:sz w:val="20"/>
                <w:szCs w:val="20"/>
              </w:rPr>
              <w:t xml:space="preserve"> </w:t>
            </w:r>
            <w:r w:rsidRPr="00EC02CA">
              <w:rPr>
                <w:rFonts w:cs="Times New Roman"/>
                <w:sz w:val="20"/>
                <w:szCs w:val="20"/>
              </w:rPr>
              <w:t>the child, and the child’s chronological age and developmental age at</w:t>
            </w:r>
            <w:r w:rsidR="00F03027" w:rsidRPr="00EC02CA">
              <w:rPr>
                <w:rFonts w:cs="Times New Roman"/>
                <w:sz w:val="20"/>
                <w:szCs w:val="20"/>
              </w:rPr>
              <w:t xml:space="preserve"> </w:t>
            </w:r>
            <w:r w:rsidRPr="00EC02CA">
              <w:rPr>
                <w:rFonts w:cs="Times New Roman"/>
                <w:sz w:val="20"/>
                <w:szCs w:val="20"/>
              </w:rPr>
              <w:t xml:space="preserve">the time of sentencing </w:t>
            </w:r>
            <w:r w:rsidR="00CF5288" w:rsidRPr="00EC02CA">
              <w:rPr>
                <w:rFonts w:cs="Times New Roman"/>
                <w:sz w:val="20"/>
                <w:szCs w:val="20"/>
              </w:rPr>
              <w:t>.</w:t>
            </w:r>
          </w:p>
          <w:p w14:paraId="4FDB76C4" w14:textId="3A58C86B"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 xml:space="preserve">in sentencing an Aboriginal child, the court must consider additional factors including the consequences of intergenerational trauma, historical discriminatory policies, general and systemic racism, and any previous culturally inappropriate responses that may have worsened the effects of trauma on the child </w:t>
            </w:r>
          </w:p>
          <w:p w14:paraId="48876B67" w14:textId="2DC392BD" w:rsidR="008E30C5" w:rsidRPr="00EC02CA" w:rsidRDefault="008E30C5" w:rsidP="00A920EC">
            <w:pPr>
              <w:pStyle w:val="ListParagraph"/>
              <w:numPr>
                <w:ilvl w:val="0"/>
                <w:numId w:val="153"/>
              </w:numPr>
              <w:spacing w:before="60" w:after="60"/>
              <w:ind w:hanging="357"/>
              <w:contextualSpacing w:val="0"/>
              <w:jc w:val="left"/>
              <w:rPr>
                <w:rFonts w:cs="Times New Roman"/>
                <w:sz w:val="20"/>
                <w:szCs w:val="20"/>
              </w:rPr>
            </w:pPr>
            <w:r w:rsidRPr="00EC02CA">
              <w:rPr>
                <w:rFonts w:cs="Times New Roman"/>
                <w:sz w:val="20"/>
                <w:szCs w:val="20"/>
              </w:rPr>
              <w:t>there is a presumption against imposing restrictive conditions (such as curfews and non-association conditions) with community-based sentencing orders, which may increase a child’s likelihood of breaching a</w:t>
            </w:r>
            <w:r w:rsidR="00F03027" w:rsidRPr="00EC02CA">
              <w:rPr>
                <w:rFonts w:cs="Times New Roman"/>
                <w:sz w:val="20"/>
                <w:szCs w:val="20"/>
              </w:rPr>
              <w:t xml:space="preserve"> </w:t>
            </w:r>
            <w:r w:rsidRPr="00EC02CA">
              <w:rPr>
                <w:rFonts w:cs="Times New Roman"/>
                <w:sz w:val="20"/>
                <w:szCs w:val="20"/>
              </w:rPr>
              <w:t>sentencing order and being sentenced to detention.</w:t>
            </w:r>
          </w:p>
          <w:p w14:paraId="3D99CCFB" w14:textId="42E131EE" w:rsidR="00165026" w:rsidRPr="00EC02CA" w:rsidRDefault="008E30C5" w:rsidP="00A920EC">
            <w:pPr>
              <w:pStyle w:val="ListParagraph"/>
              <w:numPr>
                <w:ilvl w:val="0"/>
                <w:numId w:val="170"/>
              </w:numPr>
              <w:spacing w:before="60" w:after="60"/>
              <w:ind w:hanging="357"/>
              <w:contextualSpacing w:val="0"/>
              <w:jc w:val="left"/>
              <w:rPr>
                <w:rFonts w:cs="Times New Roman"/>
                <w:sz w:val="20"/>
                <w:szCs w:val="20"/>
              </w:rPr>
            </w:pPr>
            <w:r w:rsidRPr="00EC02CA">
              <w:rPr>
                <w:rFonts w:cs="Times New Roman"/>
                <w:sz w:val="20"/>
                <w:szCs w:val="20"/>
              </w:rPr>
              <w:t xml:space="preserve">ensure children who are sentenced to a supervised community-based order receive adequate support to comply with the conditions of the order from therapeutically trained, culturally competent staff </w:t>
            </w:r>
          </w:p>
          <w:p w14:paraId="680C6A7D" w14:textId="39782FBB" w:rsidR="00165026" w:rsidRPr="00EC02CA" w:rsidRDefault="008E30C5" w:rsidP="00A920EC">
            <w:pPr>
              <w:pStyle w:val="ListParagraph"/>
              <w:numPr>
                <w:ilvl w:val="0"/>
                <w:numId w:val="170"/>
              </w:numPr>
              <w:spacing w:before="60" w:after="60"/>
              <w:ind w:hanging="357"/>
              <w:contextualSpacing w:val="0"/>
              <w:jc w:val="left"/>
              <w:rPr>
                <w:rFonts w:cs="Times New Roman"/>
                <w:sz w:val="20"/>
                <w:szCs w:val="20"/>
              </w:rPr>
            </w:pPr>
            <w:r w:rsidRPr="00EC02CA">
              <w:rPr>
                <w:rFonts w:cs="Times New Roman"/>
                <w:sz w:val="20"/>
                <w:szCs w:val="20"/>
              </w:rPr>
              <w:t>assist and support the Magistrates Court to establish a new division of the Court to hear and determine both child protection matters and criminal charges against children and young people, which should be constituted by</w:t>
            </w:r>
            <w:r w:rsidR="00F03027" w:rsidRPr="00EC02CA">
              <w:rPr>
                <w:rFonts w:cs="Times New Roman"/>
                <w:sz w:val="20"/>
                <w:szCs w:val="20"/>
              </w:rPr>
              <w:t xml:space="preserve"> </w:t>
            </w:r>
            <w:r w:rsidRPr="00EC02CA">
              <w:rPr>
                <w:rFonts w:cs="Times New Roman"/>
                <w:sz w:val="20"/>
                <w:szCs w:val="20"/>
              </w:rPr>
              <w:t>at least three dedicated full-time magistrates with specialist knowledge and skills relating to children and young people</w:t>
            </w:r>
          </w:p>
          <w:p w14:paraId="14E04AFB" w14:textId="768383AC" w:rsidR="00165026" w:rsidRPr="00EC02CA" w:rsidRDefault="008E30C5" w:rsidP="00A920EC">
            <w:pPr>
              <w:pStyle w:val="ListParagraph"/>
              <w:numPr>
                <w:ilvl w:val="0"/>
                <w:numId w:val="170"/>
              </w:numPr>
              <w:spacing w:before="60" w:after="60"/>
              <w:ind w:hanging="357"/>
              <w:contextualSpacing w:val="0"/>
              <w:jc w:val="left"/>
              <w:rPr>
                <w:rFonts w:cs="Times New Roman"/>
                <w:sz w:val="20"/>
                <w:szCs w:val="20"/>
              </w:rPr>
            </w:pPr>
            <w:r w:rsidRPr="00EC02CA">
              <w:rPr>
                <w:rFonts w:cs="Times New Roman"/>
                <w:sz w:val="20"/>
                <w:szCs w:val="20"/>
              </w:rPr>
              <w:t>support the Magistrates Court to arrange for the implementation and operation of the Court’s new specialist division to be independently evaluated after three years</w:t>
            </w:r>
          </w:p>
          <w:p w14:paraId="0E30342D" w14:textId="2E5F5D8A" w:rsidR="008E30C5" w:rsidRPr="00EC02CA" w:rsidRDefault="008E30C5" w:rsidP="00A920EC">
            <w:pPr>
              <w:pStyle w:val="ListParagraph"/>
              <w:numPr>
                <w:ilvl w:val="0"/>
                <w:numId w:val="170"/>
              </w:numPr>
              <w:spacing w:before="60" w:after="60"/>
              <w:ind w:left="714" w:hanging="357"/>
              <w:contextualSpacing w:val="0"/>
              <w:jc w:val="left"/>
              <w:rPr>
                <w:rFonts w:cs="Times New Roman"/>
                <w:sz w:val="20"/>
                <w:szCs w:val="20"/>
              </w:rPr>
            </w:pPr>
            <w:r w:rsidRPr="00EC02CA">
              <w:rPr>
                <w:rFonts w:cs="Times New Roman"/>
                <w:sz w:val="20"/>
                <w:szCs w:val="20"/>
              </w:rPr>
              <w:t>fund the Magistrates and Supreme Courts to provide professional development for judicial officers hearing matters involving children and young people in the adult jurisdiction, in areas including child and adolescent development, trauma, child and adolescent mental health, cognitive and communication deficits, and Aboriginal cultural safety.</w:t>
            </w:r>
          </w:p>
        </w:tc>
      </w:tr>
      <w:tr w:rsidR="008E30C5" w:rsidRPr="00EC02CA" w14:paraId="60C854E8" w14:textId="77777777" w:rsidTr="00A920EC">
        <w:tc>
          <w:tcPr>
            <w:tcW w:w="13887" w:type="dxa"/>
          </w:tcPr>
          <w:p w14:paraId="34EE4C86"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12.30 </w:t>
            </w:r>
          </w:p>
          <w:p w14:paraId="1AF07FCA" w14:textId="20A61827" w:rsidR="008E30C5" w:rsidRPr="00EC02CA" w:rsidRDefault="008E30C5" w:rsidP="00A920EC">
            <w:pPr>
              <w:pStyle w:val="ListParagraph"/>
              <w:numPr>
                <w:ilvl w:val="0"/>
                <w:numId w:val="154"/>
              </w:numPr>
              <w:spacing w:before="60" w:after="60"/>
              <w:ind w:left="357" w:hanging="357"/>
              <w:contextualSpacing w:val="0"/>
              <w:jc w:val="left"/>
              <w:rPr>
                <w:rFonts w:cs="Times New Roman"/>
                <w:sz w:val="20"/>
                <w:szCs w:val="20"/>
              </w:rPr>
            </w:pPr>
            <w:r w:rsidRPr="00EC02CA">
              <w:rPr>
                <w:rFonts w:cs="Times New Roman"/>
                <w:sz w:val="20"/>
                <w:szCs w:val="20"/>
              </w:rPr>
              <w:t>The Harmful Sexual Behaviours Support Unit (Recommendation</w:t>
            </w:r>
            <w:r w:rsidR="006E37A2" w:rsidRPr="00EC02CA">
              <w:rPr>
                <w:rFonts w:cs="Times New Roman"/>
                <w:sz w:val="20"/>
                <w:szCs w:val="20"/>
              </w:rPr>
              <w:t xml:space="preserve"> </w:t>
            </w:r>
            <w:r w:rsidRPr="00EC02CA">
              <w:rPr>
                <w:rFonts w:cs="Times New Roman"/>
                <w:sz w:val="20"/>
                <w:szCs w:val="20"/>
              </w:rPr>
              <w:t>9.28) should develop detailed youth justice-specific policies, protocols and practice guidelines to support best practice responses to harmful sexual behaviours in youth detention and other residential youth justice facilities.</w:t>
            </w:r>
          </w:p>
          <w:p w14:paraId="21394C6C" w14:textId="1EF95986" w:rsidR="006E37A2" w:rsidRPr="00EC02CA" w:rsidRDefault="008E30C5">
            <w:pPr>
              <w:pStyle w:val="ListParagraph"/>
              <w:numPr>
                <w:ilvl w:val="0"/>
                <w:numId w:val="154"/>
              </w:numPr>
              <w:spacing w:before="60" w:after="60"/>
              <w:ind w:left="357" w:hanging="357"/>
              <w:contextualSpacing w:val="0"/>
              <w:jc w:val="left"/>
              <w:rPr>
                <w:rFonts w:cs="Times New Roman"/>
                <w:sz w:val="20"/>
                <w:szCs w:val="20"/>
              </w:rPr>
            </w:pPr>
            <w:r w:rsidRPr="00EC02CA">
              <w:rPr>
                <w:rFonts w:cs="Times New Roman"/>
                <w:sz w:val="20"/>
                <w:szCs w:val="20"/>
              </w:rPr>
              <w:t xml:space="preserve">All incidents of harmful sexual behaviours in youth detention or other residential youth justice facilities should be reported to: </w:t>
            </w:r>
          </w:p>
          <w:p w14:paraId="2BDDC269" w14:textId="6DEEF107" w:rsidR="006E37A2" w:rsidRPr="00EC02CA" w:rsidRDefault="008E30C5" w:rsidP="00A920EC">
            <w:pPr>
              <w:pStyle w:val="ListParagraph"/>
              <w:numPr>
                <w:ilvl w:val="0"/>
                <w:numId w:val="167"/>
              </w:numPr>
              <w:spacing w:before="60" w:after="60"/>
              <w:ind w:hanging="357"/>
              <w:contextualSpacing w:val="0"/>
              <w:jc w:val="left"/>
              <w:rPr>
                <w:rFonts w:cs="Times New Roman"/>
                <w:sz w:val="20"/>
                <w:szCs w:val="20"/>
              </w:rPr>
            </w:pPr>
            <w:r w:rsidRPr="00EC02CA">
              <w:rPr>
                <w:rFonts w:cs="Times New Roman"/>
                <w:sz w:val="20"/>
                <w:szCs w:val="20"/>
              </w:rPr>
              <w:t>the Harmful Sexual Behaviours Support Unit to enable data on harmful sexual behaviours in youth detention and other residential youth justice facilities to</w:t>
            </w:r>
            <w:r w:rsidR="00F03027" w:rsidRPr="00EC02CA">
              <w:rPr>
                <w:rFonts w:cs="Times New Roman"/>
                <w:sz w:val="20"/>
                <w:szCs w:val="20"/>
              </w:rPr>
              <w:t xml:space="preserve"> </w:t>
            </w:r>
            <w:r w:rsidRPr="00EC02CA">
              <w:rPr>
                <w:rFonts w:cs="Times New Roman"/>
                <w:sz w:val="20"/>
                <w:szCs w:val="20"/>
              </w:rPr>
              <w:t>be included in the Department for Education, Children and Young People’s monitoring and oversight of harmful sexual behaviours through the new Quality and Risk Committee (Recommendation</w:t>
            </w:r>
            <w:r w:rsidR="00F03027" w:rsidRPr="00EC02CA">
              <w:rPr>
                <w:rFonts w:cs="Times New Roman"/>
                <w:sz w:val="20"/>
                <w:szCs w:val="20"/>
              </w:rPr>
              <w:t xml:space="preserve"> </w:t>
            </w:r>
            <w:r w:rsidRPr="00EC02CA">
              <w:rPr>
                <w:rFonts w:cs="Times New Roman"/>
                <w:sz w:val="20"/>
                <w:szCs w:val="20"/>
              </w:rPr>
              <w:t xml:space="preserve">9.5) </w:t>
            </w:r>
          </w:p>
          <w:p w14:paraId="0765073D" w14:textId="0B971185" w:rsidR="008E30C5" w:rsidRPr="00EC02CA" w:rsidRDefault="008E30C5" w:rsidP="00A920EC">
            <w:pPr>
              <w:pStyle w:val="ListParagraph"/>
              <w:numPr>
                <w:ilvl w:val="0"/>
                <w:numId w:val="167"/>
              </w:numPr>
              <w:spacing w:before="60" w:after="60"/>
              <w:ind w:hanging="357"/>
              <w:contextualSpacing w:val="0"/>
              <w:jc w:val="left"/>
              <w:rPr>
                <w:rFonts w:cs="Times New Roman"/>
                <w:sz w:val="20"/>
                <w:szCs w:val="20"/>
              </w:rPr>
            </w:pPr>
            <w:r w:rsidRPr="00EC02CA">
              <w:rPr>
                <w:rFonts w:cs="Times New Roman"/>
                <w:sz w:val="20"/>
                <w:szCs w:val="20"/>
              </w:rPr>
              <w:t>the Commission for Children and Young People (Recommendation</w:t>
            </w:r>
            <w:r w:rsidR="006E37A2" w:rsidRPr="00EC02CA">
              <w:rPr>
                <w:rFonts w:cs="Times New Roman"/>
                <w:sz w:val="20"/>
                <w:szCs w:val="20"/>
              </w:rPr>
              <w:t xml:space="preserve"> </w:t>
            </w:r>
            <w:r w:rsidRPr="00EC02CA">
              <w:rPr>
                <w:rFonts w:cs="Times New Roman"/>
                <w:sz w:val="20"/>
                <w:szCs w:val="20"/>
              </w:rPr>
              <w:t xml:space="preserve">18.6). </w:t>
            </w:r>
          </w:p>
          <w:p w14:paraId="25FA9582" w14:textId="3D87C055" w:rsidR="008E30C5" w:rsidRPr="00EC02CA" w:rsidRDefault="008E30C5" w:rsidP="00A920EC">
            <w:pPr>
              <w:pStyle w:val="ListParagraph"/>
              <w:numPr>
                <w:ilvl w:val="0"/>
                <w:numId w:val="154"/>
              </w:numPr>
              <w:spacing w:before="60" w:after="60"/>
              <w:ind w:left="357" w:hanging="357"/>
              <w:contextualSpacing w:val="0"/>
              <w:jc w:val="left"/>
              <w:rPr>
                <w:rFonts w:cs="Times New Roman"/>
                <w:sz w:val="20"/>
                <w:szCs w:val="20"/>
              </w:rPr>
            </w:pPr>
            <w:r w:rsidRPr="00EC02CA">
              <w:rPr>
                <w:rFonts w:cs="Times New Roman"/>
                <w:sz w:val="20"/>
                <w:szCs w:val="20"/>
              </w:rPr>
              <w:t>The Department should explore the potential to implement Power to Kids (or another program or approach with comparable components) in youth detention and other residential youth justice facilities as a supplementary strategy to address the heightened risk of harmful sexual behaviours in those settings and take a proactive approach to prevention.</w:t>
            </w:r>
          </w:p>
          <w:p w14:paraId="17632C7F" w14:textId="09F310A7" w:rsidR="008E30C5" w:rsidRPr="00EC02CA" w:rsidRDefault="008E30C5" w:rsidP="00A920EC">
            <w:pPr>
              <w:pStyle w:val="ListParagraph"/>
              <w:numPr>
                <w:ilvl w:val="0"/>
                <w:numId w:val="154"/>
              </w:numPr>
              <w:spacing w:before="60" w:after="60"/>
              <w:ind w:left="357" w:hanging="357"/>
              <w:contextualSpacing w:val="0"/>
              <w:jc w:val="left"/>
              <w:rPr>
                <w:rFonts w:cs="Times New Roman"/>
                <w:sz w:val="20"/>
                <w:szCs w:val="20"/>
              </w:rPr>
            </w:pPr>
            <w:r w:rsidRPr="00EC02CA">
              <w:rPr>
                <w:rFonts w:cs="Times New Roman"/>
                <w:sz w:val="20"/>
                <w:szCs w:val="20"/>
              </w:rPr>
              <w:t>The Tasmanian Government should ensure measures are in place to facilitate timely access to specialist therapeutic interventions for children in youth detention displaying or harmed by harmful sexual behaviours. Where treatment is likely to extend beyond their custodial sentence this should be provided by a</w:t>
            </w:r>
            <w:r w:rsidR="00F03027" w:rsidRPr="00EC02CA">
              <w:rPr>
                <w:rFonts w:cs="Times New Roman"/>
                <w:sz w:val="20"/>
                <w:szCs w:val="20"/>
              </w:rPr>
              <w:t xml:space="preserve"> </w:t>
            </w:r>
            <w:r w:rsidRPr="00EC02CA">
              <w:rPr>
                <w:rFonts w:cs="Times New Roman"/>
                <w:sz w:val="20"/>
                <w:szCs w:val="20"/>
              </w:rPr>
              <w:t>clinician external to the detention centre who can continue the treatment after the child is released from detention.</w:t>
            </w:r>
          </w:p>
        </w:tc>
      </w:tr>
      <w:tr w:rsidR="008E30C5" w:rsidRPr="00EC02CA" w14:paraId="6880714E" w14:textId="77777777" w:rsidTr="00A920EC">
        <w:tc>
          <w:tcPr>
            <w:tcW w:w="13887" w:type="dxa"/>
          </w:tcPr>
          <w:p w14:paraId="3EF87E2D"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16.10 </w:t>
            </w:r>
          </w:p>
          <w:p w14:paraId="41702E48" w14:textId="34A69748" w:rsidR="008E30C5" w:rsidRPr="00EC02CA" w:rsidRDefault="008E30C5" w:rsidP="00A920EC">
            <w:pPr>
              <w:pStyle w:val="ListParagraph"/>
              <w:numPr>
                <w:ilvl w:val="0"/>
                <w:numId w:val="155"/>
              </w:numPr>
              <w:spacing w:before="60" w:after="60"/>
              <w:ind w:left="357" w:hanging="357"/>
              <w:contextualSpacing w:val="0"/>
              <w:jc w:val="left"/>
              <w:rPr>
                <w:rFonts w:cs="Times New Roman"/>
                <w:sz w:val="20"/>
                <w:szCs w:val="20"/>
              </w:rPr>
            </w:pPr>
            <w:r w:rsidRPr="00EC02CA">
              <w:rPr>
                <w:rFonts w:cs="Times New Roman"/>
                <w:sz w:val="20"/>
                <w:szCs w:val="20"/>
              </w:rPr>
              <w:t>The Tasmanian Government should extend the Witness Intermediary Scheme to</w:t>
            </w:r>
            <w:r w:rsidR="00F03027" w:rsidRPr="00EC02CA">
              <w:rPr>
                <w:rFonts w:cs="Times New Roman"/>
                <w:sz w:val="20"/>
                <w:szCs w:val="20"/>
              </w:rPr>
              <w:t xml:space="preserve"> </w:t>
            </w:r>
            <w:r w:rsidRPr="00EC02CA">
              <w:rPr>
                <w:rFonts w:cs="Times New Roman"/>
                <w:sz w:val="20"/>
                <w:szCs w:val="20"/>
              </w:rPr>
              <w:t>include children who are under investigation for, or who have been charged with, sexual offences, and fund it to do so.</w:t>
            </w:r>
          </w:p>
          <w:p w14:paraId="006E2306" w14:textId="6FECE935" w:rsidR="008E30C5" w:rsidRPr="00EC02CA" w:rsidRDefault="008E30C5" w:rsidP="00A920EC">
            <w:pPr>
              <w:pStyle w:val="ListParagraph"/>
              <w:numPr>
                <w:ilvl w:val="0"/>
                <w:numId w:val="155"/>
              </w:numPr>
              <w:spacing w:before="60" w:after="60"/>
              <w:ind w:left="357" w:hanging="357"/>
              <w:contextualSpacing w:val="0"/>
              <w:jc w:val="left"/>
              <w:rPr>
                <w:rFonts w:cs="Times New Roman"/>
                <w:sz w:val="20"/>
                <w:szCs w:val="20"/>
              </w:rPr>
            </w:pPr>
            <w:r w:rsidRPr="00EC02CA">
              <w:rPr>
                <w:rFonts w:cs="Times New Roman"/>
                <w:sz w:val="20"/>
                <w:szCs w:val="20"/>
              </w:rPr>
              <w:t>The Tasmanian Government should consider whether legislation should be enacted requiring police to use witness intermediaries in police interviews of</w:t>
            </w:r>
            <w:r w:rsidR="00F03027" w:rsidRPr="00EC02CA">
              <w:rPr>
                <w:rFonts w:cs="Times New Roman"/>
                <w:sz w:val="20"/>
                <w:szCs w:val="20"/>
              </w:rPr>
              <w:t xml:space="preserve"> </w:t>
            </w:r>
            <w:r w:rsidRPr="00EC02CA">
              <w:rPr>
                <w:rFonts w:cs="Times New Roman"/>
                <w:sz w:val="20"/>
                <w:szCs w:val="20"/>
              </w:rPr>
              <w:t>children and young people and adults with communication needs (including defendants), relating to sexual offences.</w:t>
            </w:r>
          </w:p>
        </w:tc>
      </w:tr>
      <w:tr w:rsidR="008E30C5" w:rsidRPr="00EC02CA" w14:paraId="6A387550" w14:textId="77777777" w:rsidTr="00A920EC">
        <w:tc>
          <w:tcPr>
            <w:tcW w:w="13887" w:type="dxa"/>
          </w:tcPr>
          <w:p w14:paraId="2CED1C50"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16.19 </w:t>
            </w:r>
          </w:p>
          <w:p w14:paraId="2287A111" w14:textId="150FAAB1" w:rsidR="008E30C5" w:rsidRPr="00EC02CA" w:rsidRDefault="008E30C5" w:rsidP="00A920EC">
            <w:pPr>
              <w:spacing w:before="60" w:after="60"/>
              <w:jc w:val="left"/>
              <w:rPr>
                <w:rFonts w:cs="Times New Roman"/>
                <w:sz w:val="20"/>
                <w:szCs w:val="20"/>
              </w:rPr>
            </w:pPr>
            <w:r w:rsidRPr="00EC02CA">
              <w:rPr>
                <w:rFonts w:cs="Times New Roman"/>
                <w:sz w:val="20"/>
                <w:szCs w:val="20"/>
              </w:rPr>
              <w:t>We encourage the courts to consider using their powers to direct young people engaging in harmful sexual behaviours who are charged with a criminal offence to specialist therapeutic services</w:t>
            </w:r>
            <w:r w:rsidR="00CF5288" w:rsidRPr="00EC02CA">
              <w:rPr>
                <w:rFonts w:cs="Times New Roman"/>
                <w:sz w:val="20"/>
                <w:szCs w:val="20"/>
              </w:rPr>
              <w:t>.</w:t>
            </w:r>
          </w:p>
        </w:tc>
      </w:tr>
      <w:tr w:rsidR="008E30C5" w:rsidRPr="00EC02CA" w14:paraId="6C3396D7" w14:textId="77777777" w:rsidTr="00A920EC">
        <w:tc>
          <w:tcPr>
            <w:tcW w:w="13887" w:type="dxa"/>
          </w:tcPr>
          <w:p w14:paraId="58DBCFA7"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21.1 </w:t>
            </w:r>
          </w:p>
          <w:p w14:paraId="147434F0" w14:textId="29B68439" w:rsidR="008E30C5" w:rsidRPr="00EC02CA" w:rsidRDefault="008E30C5" w:rsidP="00A920EC">
            <w:pPr>
              <w:pStyle w:val="ListParagraph"/>
              <w:numPr>
                <w:ilvl w:val="0"/>
                <w:numId w:val="156"/>
              </w:numPr>
              <w:spacing w:before="60" w:after="60"/>
              <w:ind w:left="357" w:hanging="357"/>
              <w:contextualSpacing w:val="0"/>
              <w:jc w:val="left"/>
              <w:rPr>
                <w:rFonts w:cs="Times New Roman"/>
                <w:sz w:val="20"/>
                <w:szCs w:val="20"/>
              </w:rPr>
            </w:pPr>
            <w:r w:rsidRPr="00EC02CA">
              <w:rPr>
                <w:rFonts w:cs="Times New Roman"/>
                <w:sz w:val="20"/>
                <w:szCs w:val="20"/>
              </w:rPr>
              <w:t>The Department of Premier and Cabinet should lead, coordinate and fund a</w:t>
            </w:r>
            <w:r w:rsidR="00F03027" w:rsidRPr="00EC02CA">
              <w:rPr>
                <w:rFonts w:cs="Times New Roman"/>
                <w:sz w:val="20"/>
                <w:szCs w:val="20"/>
              </w:rPr>
              <w:t xml:space="preserve"> </w:t>
            </w:r>
            <w:r w:rsidRPr="00EC02CA">
              <w:rPr>
                <w:rFonts w:cs="Times New Roman"/>
                <w:sz w:val="20"/>
                <w:szCs w:val="20"/>
              </w:rPr>
              <w:t xml:space="preserve">therapeutic service system for child and adult victim-survivors of child sexual abuse and children who have experienced or displayed harmful sexual behaviours. </w:t>
            </w:r>
          </w:p>
          <w:p w14:paraId="05B44C7E" w14:textId="59FB4CDB" w:rsidR="006E37A2" w:rsidRPr="00EC02CA" w:rsidRDefault="008E30C5">
            <w:pPr>
              <w:pStyle w:val="ListParagraph"/>
              <w:numPr>
                <w:ilvl w:val="0"/>
                <w:numId w:val="156"/>
              </w:numPr>
              <w:spacing w:before="60" w:after="60"/>
              <w:ind w:left="357" w:hanging="357"/>
              <w:contextualSpacing w:val="0"/>
              <w:jc w:val="left"/>
              <w:rPr>
                <w:rFonts w:cs="Times New Roman"/>
                <w:sz w:val="20"/>
                <w:szCs w:val="20"/>
              </w:rPr>
            </w:pPr>
            <w:r w:rsidRPr="00EC02CA">
              <w:rPr>
                <w:rFonts w:cs="Times New Roman"/>
                <w:sz w:val="20"/>
                <w:szCs w:val="20"/>
              </w:rPr>
              <w:t xml:space="preserve">The Department should ensure the therapeutic service system: </w:t>
            </w:r>
          </w:p>
          <w:p w14:paraId="31191508" w14:textId="18C058B5" w:rsidR="006E37A2" w:rsidRPr="00EC02CA" w:rsidRDefault="008E30C5" w:rsidP="00A920EC">
            <w:pPr>
              <w:pStyle w:val="ListParagraph"/>
              <w:numPr>
                <w:ilvl w:val="0"/>
                <w:numId w:val="231"/>
              </w:numPr>
              <w:spacing w:before="60" w:after="60"/>
              <w:contextualSpacing w:val="0"/>
              <w:jc w:val="left"/>
              <w:rPr>
                <w:rFonts w:cs="Times New Roman"/>
                <w:sz w:val="20"/>
                <w:szCs w:val="20"/>
              </w:rPr>
            </w:pPr>
            <w:r w:rsidRPr="00EC02CA">
              <w:rPr>
                <w:rFonts w:cs="Times New Roman"/>
                <w:sz w:val="20"/>
                <w:szCs w:val="20"/>
              </w:rPr>
              <w:t xml:space="preserve">addresses service gaps and provides coordination of services, appropriate coverage and equitable access to quality services </w:t>
            </w:r>
          </w:p>
          <w:p w14:paraId="59D0AB84" w14:textId="2617E7DB" w:rsidR="008E30C5" w:rsidRPr="00EC02CA" w:rsidRDefault="008E30C5" w:rsidP="00A920EC">
            <w:pPr>
              <w:pStyle w:val="ListParagraph"/>
              <w:numPr>
                <w:ilvl w:val="0"/>
                <w:numId w:val="231"/>
              </w:numPr>
              <w:spacing w:before="60" w:after="60"/>
              <w:ind w:hanging="357"/>
              <w:contextualSpacing w:val="0"/>
              <w:jc w:val="left"/>
              <w:rPr>
                <w:rFonts w:cs="Times New Roman"/>
                <w:sz w:val="20"/>
                <w:szCs w:val="20"/>
              </w:rPr>
            </w:pPr>
            <w:r w:rsidRPr="00EC02CA">
              <w:rPr>
                <w:rFonts w:cs="Times New Roman"/>
                <w:sz w:val="20"/>
                <w:szCs w:val="20"/>
              </w:rPr>
              <w:t>is easily understood and accessible to the public, state servants and other mainstream service providers.</w:t>
            </w:r>
          </w:p>
          <w:p w14:paraId="00A4D139" w14:textId="7E2676B3" w:rsidR="006E37A2" w:rsidRPr="00EC02CA" w:rsidRDefault="008E30C5">
            <w:pPr>
              <w:pStyle w:val="ListParagraph"/>
              <w:numPr>
                <w:ilvl w:val="0"/>
                <w:numId w:val="156"/>
              </w:numPr>
              <w:spacing w:before="60" w:after="60"/>
              <w:ind w:left="357" w:hanging="357"/>
              <w:contextualSpacing w:val="0"/>
              <w:jc w:val="left"/>
              <w:rPr>
                <w:rFonts w:cs="Times New Roman"/>
                <w:sz w:val="20"/>
                <w:szCs w:val="20"/>
              </w:rPr>
            </w:pPr>
            <w:r w:rsidRPr="00EC02CA">
              <w:rPr>
                <w:rFonts w:cs="Times New Roman"/>
                <w:sz w:val="20"/>
                <w:szCs w:val="20"/>
              </w:rPr>
              <w:t xml:space="preserve">The Department, in leading this work, should consult with: </w:t>
            </w:r>
          </w:p>
          <w:p w14:paraId="401DA248" w14:textId="24A4AF6F" w:rsidR="006E37A2" w:rsidRPr="00EC02CA" w:rsidRDefault="008E30C5" w:rsidP="00A920EC">
            <w:pPr>
              <w:pStyle w:val="ListParagraph"/>
              <w:numPr>
                <w:ilvl w:val="0"/>
                <w:numId w:val="229"/>
              </w:numPr>
              <w:spacing w:before="60" w:after="60"/>
              <w:contextualSpacing w:val="0"/>
              <w:jc w:val="left"/>
              <w:rPr>
                <w:rFonts w:cs="Times New Roman"/>
                <w:sz w:val="20"/>
                <w:szCs w:val="20"/>
              </w:rPr>
            </w:pPr>
            <w:r w:rsidRPr="00EC02CA">
              <w:rPr>
                <w:rFonts w:cs="Times New Roman"/>
                <w:sz w:val="20"/>
                <w:szCs w:val="20"/>
              </w:rPr>
              <w:t xml:space="preserve">any relevant government departments, including the Department for Education, Children and Young People, the Department of Health and Tasmania Police </w:t>
            </w:r>
          </w:p>
          <w:p w14:paraId="7D18EA9A" w14:textId="5CEAF948" w:rsidR="006E37A2" w:rsidRPr="00EC02CA" w:rsidRDefault="008E30C5" w:rsidP="00A920EC">
            <w:pPr>
              <w:pStyle w:val="ListParagraph"/>
              <w:numPr>
                <w:ilvl w:val="0"/>
                <w:numId w:val="229"/>
              </w:numPr>
              <w:spacing w:before="60" w:after="60"/>
              <w:ind w:hanging="357"/>
              <w:contextualSpacing w:val="0"/>
              <w:jc w:val="left"/>
              <w:rPr>
                <w:rFonts w:cs="Times New Roman"/>
                <w:sz w:val="20"/>
                <w:szCs w:val="20"/>
              </w:rPr>
            </w:pPr>
            <w:r w:rsidRPr="00EC02CA">
              <w:rPr>
                <w:rFonts w:cs="Times New Roman"/>
                <w:sz w:val="20"/>
                <w:szCs w:val="20"/>
              </w:rPr>
              <w:t xml:space="preserve">sexual assault and abuse counselling services </w:t>
            </w:r>
          </w:p>
          <w:p w14:paraId="66ABDA07" w14:textId="2E9AAEC7" w:rsidR="006E37A2" w:rsidRPr="00EC02CA" w:rsidRDefault="008E30C5" w:rsidP="00A920EC">
            <w:pPr>
              <w:pStyle w:val="ListParagraph"/>
              <w:numPr>
                <w:ilvl w:val="0"/>
                <w:numId w:val="229"/>
              </w:numPr>
              <w:spacing w:before="60" w:after="60"/>
              <w:ind w:hanging="357"/>
              <w:contextualSpacing w:val="0"/>
              <w:jc w:val="left"/>
              <w:rPr>
                <w:rFonts w:cs="Times New Roman"/>
                <w:sz w:val="20"/>
                <w:szCs w:val="20"/>
              </w:rPr>
            </w:pPr>
            <w:r w:rsidRPr="00EC02CA">
              <w:rPr>
                <w:rFonts w:cs="Times New Roman"/>
                <w:sz w:val="20"/>
                <w:szCs w:val="20"/>
              </w:rPr>
              <w:t>the Premier’s Youth Advisory Council and the adult victim-survivors of child sexual abuse advisory group (Recommendation</w:t>
            </w:r>
            <w:r w:rsidR="00F03027" w:rsidRPr="00EC02CA">
              <w:rPr>
                <w:rFonts w:cs="Times New Roman"/>
                <w:sz w:val="20"/>
                <w:szCs w:val="20"/>
              </w:rPr>
              <w:t xml:space="preserve"> </w:t>
            </w:r>
            <w:r w:rsidRPr="00EC02CA">
              <w:rPr>
                <w:rFonts w:cs="Times New Roman"/>
                <w:sz w:val="20"/>
                <w:szCs w:val="20"/>
              </w:rPr>
              <w:t xml:space="preserve">19.5) </w:t>
            </w:r>
          </w:p>
          <w:p w14:paraId="4EBB7DC2" w14:textId="6A1FEE3D" w:rsidR="008E30C5" w:rsidRPr="00EC02CA" w:rsidRDefault="008E30C5" w:rsidP="00A920EC">
            <w:pPr>
              <w:pStyle w:val="ListParagraph"/>
              <w:numPr>
                <w:ilvl w:val="0"/>
                <w:numId w:val="229"/>
              </w:numPr>
              <w:spacing w:before="60" w:after="60"/>
              <w:ind w:hanging="357"/>
              <w:contextualSpacing w:val="0"/>
              <w:jc w:val="left"/>
              <w:rPr>
                <w:rFonts w:cs="Times New Roman"/>
                <w:sz w:val="20"/>
                <w:szCs w:val="20"/>
              </w:rPr>
            </w:pPr>
            <w:r w:rsidRPr="00EC02CA">
              <w:rPr>
                <w:rFonts w:cs="Times New Roman"/>
                <w:sz w:val="20"/>
                <w:szCs w:val="20"/>
              </w:rPr>
              <w:t>the peak body for the sexual assault service system (Recommendation</w:t>
            </w:r>
            <w:r w:rsidR="00F03027" w:rsidRPr="00EC02CA">
              <w:rPr>
                <w:rFonts w:cs="Times New Roman"/>
                <w:sz w:val="20"/>
                <w:szCs w:val="20"/>
              </w:rPr>
              <w:t xml:space="preserve"> </w:t>
            </w:r>
            <w:r w:rsidRPr="00EC02CA">
              <w:rPr>
                <w:rFonts w:cs="Times New Roman"/>
                <w:sz w:val="20"/>
                <w:szCs w:val="20"/>
              </w:rPr>
              <w:t xml:space="preserve">21.3). </w:t>
            </w:r>
          </w:p>
          <w:p w14:paraId="12F9702E" w14:textId="66038648" w:rsidR="008E30C5" w:rsidRPr="00EC02CA" w:rsidRDefault="008E30C5" w:rsidP="00A920EC">
            <w:pPr>
              <w:pStyle w:val="ListParagraph"/>
              <w:numPr>
                <w:ilvl w:val="0"/>
                <w:numId w:val="156"/>
              </w:numPr>
              <w:spacing w:before="60" w:after="60"/>
              <w:ind w:left="357" w:hanging="357"/>
              <w:contextualSpacing w:val="0"/>
              <w:jc w:val="left"/>
              <w:rPr>
                <w:rFonts w:cs="Times New Roman"/>
                <w:sz w:val="20"/>
                <w:szCs w:val="20"/>
              </w:rPr>
            </w:pPr>
            <w:r w:rsidRPr="00EC02CA">
              <w:rPr>
                <w:rFonts w:cs="Times New Roman"/>
                <w:sz w:val="20"/>
                <w:szCs w:val="20"/>
              </w:rPr>
              <w:t>The Tasmanian Government should ensure funding agreements with nongovernment specialist services include appropriate governance requirements, sexual abuse service standards, service evaluation and child safe accreditation</w:t>
            </w:r>
            <w:r w:rsidR="00CF5288" w:rsidRPr="00EC02CA">
              <w:rPr>
                <w:rFonts w:cs="Times New Roman"/>
                <w:sz w:val="20"/>
                <w:szCs w:val="20"/>
              </w:rPr>
              <w:t>.</w:t>
            </w:r>
          </w:p>
        </w:tc>
      </w:tr>
      <w:tr w:rsidR="008E30C5" w:rsidRPr="00EC02CA" w14:paraId="139BDE1E" w14:textId="77777777" w:rsidTr="00A920EC">
        <w:tc>
          <w:tcPr>
            <w:tcW w:w="13887" w:type="dxa"/>
          </w:tcPr>
          <w:p w14:paraId="350D113E"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 xml:space="preserve">Recommendation 21.3 </w:t>
            </w:r>
          </w:p>
          <w:p w14:paraId="672E8A45" w14:textId="3043561E" w:rsidR="00574088" w:rsidRPr="00EC02CA" w:rsidRDefault="008E30C5" w:rsidP="00A920EC">
            <w:pPr>
              <w:pStyle w:val="ListParagraph"/>
              <w:numPr>
                <w:ilvl w:val="0"/>
                <w:numId w:val="157"/>
              </w:numPr>
              <w:spacing w:before="60" w:after="60"/>
              <w:ind w:hanging="357"/>
              <w:contextualSpacing w:val="0"/>
              <w:jc w:val="left"/>
              <w:rPr>
                <w:rFonts w:cs="Times New Roman"/>
                <w:sz w:val="20"/>
                <w:szCs w:val="20"/>
              </w:rPr>
            </w:pPr>
            <w:r w:rsidRPr="00EC02CA">
              <w:rPr>
                <w:rFonts w:cs="Times New Roman"/>
                <w:sz w:val="20"/>
                <w:szCs w:val="20"/>
              </w:rPr>
              <w:t xml:space="preserve">The Tasmanian Government should establish a peak body for the sexual assault service system, including therapeutic interventions for children who have engaged in harmful sexual behaviours, to: </w:t>
            </w:r>
          </w:p>
          <w:p w14:paraId="77239229" w14:textId="224B8E33" w:rsidR="00574088" w:rsidRPr="00EC02CA" w:rsidRDefault="008E30C5" w:rsidP="00A920EC">
            <w:pPr>
              <w:pStyle w:val="ListParagraph"/>
              <w:numPr>
                <w:ilvl w:val="0"/>
                <w:numId w:val="230"/>
              </w:numPr>
              <w:spacing w:before="60" w:after="60"/>
              <w:contextualSpacing w:val="0"/>
              <w:jc w:val="left"/>
              <w:rPr>
                <w:rFonts w:cs="Times New Roman"/>
                <w:sz w:val="20"/>
                <w:szCs w:val="20"/>
              </w:rPr>
            </w:pPr>
            <w:r w:rsidRPr="00EC02CA">
              <w:rPr>
                <w:rFonts w:cs="Times New Roman"/>
                <w:sz w:val="20"/>
                <w:szCs w:val="20"/>
              </w:rPr>
              <w:t xml:space="preserve">ensure the needs of adult and child victim-survivors of child sexual abuse and children who have experienced or displayed harmful sexual behaviours are met by the sexual assault service system </w:t>
            </w:r>
          </w:p>
          <w:p w14:paraId="38D31FCA" w14:textId="479AF113" w:rsidR="00574088" w:rsidRPr="00EC02CA" w:rsidRDefault="008E30C5" w:rsidP="00A920EC">
            <w:pPr>
              <w:pStyle w:val="ListParagraph"/>
              <w:numPr>
                <w:ilvl w:val="0"/>
                <w:numId w:val="230"/>
              </w:numPr>
              <w:spacing w:before="60" w:after="60"/>
              <w:ind w:hanging="357"/>
              <w:contextualSpacing w:val="0"/>
              <w:jc w:val="left"/>
              <w:rPr>
                <w:rFonts w:cs="Times New Roman"/>
                <w:sz w:val="20"/>
                <w:szCs w:val="20"/>
              </w:rPr>
            </w:pPr>
            <w:r w:rsidRPr="00EC02CA">
              <w:rPr>
                <w:rFonts w:cs="Times New Roman"/>
                <w:sz w:val="20"/>
                <w:szCs w:val="20"/>
              </w:rPr>
              <w:t xml:space="preserve">represent sexual assault service providers in a coordinated way </w:t>
            </w:r>
          </w:p>
          <w:p w14:paraId="48D4718E" w14:textId="1E1F48BC" w:rsidR="00574088" w:rsidRPr="00EC02CA" w:rsidRDefault="008E30C5" w:rsidP="00A920EC">
            <w:pPr>
              <w:pStyle w:val="ListParagraph"/>
              <w:numPr>
                <w:ilvl w:val="0"/>
                <w:numId w:val="230"/>
              </w:numPr>
              <w:spacing w:before="60" w:after="60"/>
              <w:ind w:hanging="357"/>
              <w:contextualSpacing w:val="0"/>
              <w:jc w:val="left"/>
              <w:rPr>
                <w:rFonts w:cs="Times New Roman"/>
                <w:sz w:val="20"/>
                <w:szCs w:val="20"/>
              </w:rPr>
            </w:pPr>
            <w:r w:rsidRPr="00EC02CA">
              <w:rPr>
                <w:rFonts w:cs="Times New Roman"/>
                <w:sz w:val="20"/>
                <w:szCs w:val="20"/>
              </w:rPr>
              <w:t xml:space="preserve">share evidence and experience </w:t>
            </w:r>
          </w:p>
          <w:p w14:paraId="122EA7A0" w14:textId="31361E2D" w:rsidR="008E30C5" w:rsidRPr="00EC02CA" w:rsidRDefault="008E30C5" w:rsidP="00A920EC">
            <w:pPr>
              <w:pStyle w:val="ListParagraph"/>
              <w:numPr>
                <w:ilvl w:val="0"/>
                <w:numId w:val="230"/>
              </w:numPr>
              <w:spacing w:before="60" w:after="60"/>
              <w:ind w:hanging="357"/>
              <w:contextualSpacing w:val="0"/>
              <w:jc w:val="left"/>
              <w:rPr>
                <w:rFonts w:cs="Times New Roman"/>
                <w:sz w:val="20"/>
                <w:szCs w:val="20"/>
              </w:rPr>
            </w:pPr>
            <w:r w:rsidRPr="00EC02CA">
              <w:rPr>
                <w:rFonts w:cs="Times New Roman"/>
                <w:sz w:val="20"/>
                <w:szCs w:val="20"/>
              </w:rPr>
              <w:t>develop or identify practice standards for sexual assault services and interventions for child sexual abuse and harmful sexual behaviours</w:t>
            </w:r>
          </w:p>
          <w:p w14:paraId="3B2ADC04" w14:textId="043081F0" w:rsidR="00574088" w:rsidRPr="00EC02CA" w:rsidRDefault="008E30C5" w:rsidP="00A920EC">
            <w:pPr>
              <w:pStyle w:val="ListParagraph"/>
              <w:numPr>
                <w:ilvl w:val="0"/>
                <w:numId w:val="230"/>
              </w:numPr>
              <w:spacing w:before="60" w:after="60"/>
              <w:ind w:hanging="357"/>
              <w:contextualSpacing w:val="0"/>
              <w:jc w:val="left"/>
              <w:rPr>
                <w:rFonts w:cs="Times New Roman"/>
                <w:sz w:val="20"/>
                <w:szCs w:val="20"/>
              </w:rPr>
            </w:pPr>
            <w:r w:rsidRPr="00EC02CA">
              <w:rPr>
                <w:rFonts w:cs="Times New Roman"/>
                <w:sz w:val="20"/>
                <w:szCs w:val="20"/>
              </w:rPr>
              <w:t xml:space="preserve">coordinate service delivery for victim-survivors </w:t>
            </w:r>
          </w:p>
          <w:p w14:paraId="091A61E7" w14:textId="53F582A4" w:rsidR="00574088" w:rsidRPr="00EC02CA" w:rsidRDefault="008E30C5" w:rsidP="00A920EC">
            <w:pPr>
              <w:pStyle w:val="ListParagraph"/>
              <w:numPr>
                <w:ilvl w:val="0"/>
                <w:numId w:val="230"/>
              </w:numPr>
              <w:spacing w:before="60" w:after="60"/>
              <w:ind w:hanging="357"/>
              <w:contextualSpacing w:val="0"/>
              <w:jc w:val="left"/>
              <w:rPr>
                <w:rFonts w:cs="Times New Roman"/>
                <w:sz w:val="20"/>
                <w:szCs w:val="20"/>
              </w:rPr>
            </w:pPr>
            <w:r w:rsidRPr="00EC02CA">
              <w:rPr>
                <w:rFonts w:cs="Times New Roman"/>
                <w:sz w:val="20"/>
                <w:szCs w:val="20"/>
              </w:rPr>
              <w:t xml:space="preserve">advocate for improvements in the sexual assault service system. </w:t>
            </w:r>
          </w:p>
          <w:p w14:paraId="22E15FCC" w14:textId="0CA1BF19" w:rsidR="008E30C5" w:rsidRPr="00EC02CA" w:rsidRDefault="008E30C5" w:rsidP="00A920EC">
            <w:pPr>
              <w:pStyle w:val="ListParagraph"/>
              <w:numPr>
                <w:ilvl w:val="0"/>
                <w:numId w:val="157"/>
              </w:numPr>
              <w:spacing w:before="60" w:after="60"/>
              <w:ind w:hanging="357"/>
              <w:contextualSpacing w:val="0"/>
              <w:jc w:val="left"/>
              <w:rPr>
                <w:rFonts w:cs="Times New Roman"/>
                <w:sz w:val="20"/>
                <w:szCs w:val="20"/>
              </w:rPr>
            </w:pPr>
            <w:r w:rsidRPr="00EC02CA">
              <w:rPr>
                <w:rFonts w:cs="Times New Roman"/>
                <w:sz w:val="20"/>
                <w:szCs w:val="20"/>
              </w:rPr>
              <w:t>This peak body for the sexual assault service system should be distinct from, but work in cooperation with, a family violence peak body.</w:t>
            </w:r>
          </w:p>
        </w:tc>
      </w:tr>
      <w:tr w:rsidR="008E30C5" w:rsidRPr="00EC02CA" w14:paraId="520EF728" w14:textId="77777777" w:rsidTr="00A920EC">
        <w:tc>
          <w:tcPr>
            <w:tcW w:w="13887" w:type="dxa"/>
          </w:tcPr>
          <w:p w14:paraId="5DA4D0A8"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Recommendation 21.8</w:t>
            </w:r>
          </w:p>
          <w:p w14:paraId="16E599DF" w14:textId="342CDCAD" w:rsidR="008E30C5" w:rsidRPr="00EC02CA" w:rsidRDefault="008E30C5" w:rsidP="00A920EC">
            <w:pPr>
              <w:pStyle w:val="ListParagraph"/>
              <w:numPr>
                <w:ilvl w:val="0"/>
                <w:numId w:val="164"/>
              </w:numPr>
              <w:spacing w:before="60" w:after="60"/>
              <w:contextualSpacing w:val="0"/>
              <w:jc w:val="left"/>
              <w:rPr>
                <w:rFonts w:cs="Times New Roman"/>
                <w:sz w:val="20"/>
                <w:szCs w:val="20"/>
              </w:rPr>
            </w:pPr>
            <w:r w:rsidRPr="00EC02CA">
              <w:rPr>
                <w:rFonts w:cs="Times New Roman"/>
                <w:sz w:val="20"/>
                <w:szCs w:val="20"/>
              </w:rPr>
              <w:t>The Tasmanian Government, in collaboration with key stakeholders, should develop a statewide framework and plan for preventing, identifying and responding to harmful sexual behaviours. The framework should:</w:t>
            </w:r>
          </w:p>
          <w:p w14:paraId="014CB584" w14:textId="77777777" w:rsidR="008E30C5" w:rsidRPr="00EC02CA" w:rsidRDefault="008E30C5" w:rsidP="00A920EC">
            <w:pPr>
              <w:pStyle w:val="ListParagraph"/>
              <w:numPr>
                <w:ilvl w:val="0"/>
                <w:numId w:val="162"/>
              </w:numPr>
              <w:spacing w:before="60" w:after="60"/>
              <w:contextualSpacing w:val="0"/>
              <w:jc w:val="left"/>
              <w:rPr>
                <w:rFonts w:cs="Times New Roman"/>
                <w:sz w:val="20"/>
                <w:szCs w:val="20"/>
              </w:rPr>
            </w:pPr>
            <w:r w:rsidRPr="00EC02CA">
              <w:rPr>
                <w:rFonts w:cs="Times New Roman"/>
                <w:sz w:val="20"/>
                <w:szCs w:val="20"/>
              </w:rPr>
              <w:t>agree on a common definition and understanding of harmful sexual behaviours, including adopting a recognised, contemporary continuum of sexual behaviours from ‘developmentally expected’ to ‘harmful’</w:t>
            </w:r>
          </w:p>
          <w:p w14:paraId="76DC3096" w14:textId="77777777" w:rsidR="008E30C5" w:rsidRPr="00EC02CA" w:rsidRDefault="008E30C5" w:rsidP="00A920EC">
            <w:pPr>
              <w:pStyle w:val="ListParagraph"/>
              <w:numPr>
                <w:ilvl w:val="0"/>
                <w:numId w:val="162"/>
              </w:numPr>
              <w:spacing w:before="60" w:after="60"/>
              <w:contextualSpacing w:val="0"/>
              <w:jc w:val="left"/>
              <w:rPr>
                <w:rFonts w:cs="Times New Roman"/>
                <w:sz w:val="20"/>
                <w:szCs w:val="20"/>
              </w:rPr>
            </w:pPr>
            <w:r w:rsidRPr="00EC02CA">
              <w:rPr>
                <w:rFonts w:cs="Times New Roman"/>
                <w:sz w:val="20"/>
                <w:szCs w:val="20"/>
              </w:rPr>
              <w:t>use an evidence-informed framework for understanding, preventing, identifying and responding to harmful sexual behaviours</w:t>
            </w:r>
          </w:p>
          <w:p w14:paraId="7840EE10" w14:textId="77777777" w:rsidR="008E30C5" w:rsidRPr="00EC02CA" w:rsidRDefault="008E30C5" w:rsidP="00A920EC">
            <w:pPr>
              <w:pStyle w:val="ListParagraph"/>
              <w:numPr>
                <w:ilvl w:val="0"/>
                <w:numId w:val="162"/>
              </w:numPr>
              <w:spacing w:before="60" w:after="60"/>
              <w:contextualSpacing w:val="0"/>
              <w:jc w:val="left"/>
              <w:rPr>
                <w:rFonts w:cs="Times New Roman"/>
                <w:sz w:val="20"/>
                <w:szCs w:val="20"/>
              </w:rPr>
            </w:pPr>
            <w:r w:rsidRPr="00EC02CA">
              <w:rPr>
                <w:rFonts w:cs="Times New Roman"/>
                <w:sz w:val="20"/>
                <w:szCs w:val="20"/>
              </w:rPr>
              <w:t>clarify the roles and responsibilities of the various agencies and departments involved in preventing and responding to the full continuum of harmful sexual behaviours, including programs delivered by non-government providers</w:t>
            </w:r>
          </w:p>
          <w:p w14:paraId="6DF9E60D" w14:textId="381AB456" w:rsidR="008E30C5" w:rsidRPr="00EC02CA" w:rsidRDefault="008E30C5" w:rsidP="00A920EC">
            <w:pPr>
              <w:pStyle w:val="ListParagraph"/>
              <w:numPr>
                <w:ilvl w:val="0"/>
                <w:numId w:val="162"/>
              </w:numPr>
              <w:spacing w:before="60" w:after="60"/>
              <w:contextualSpacing w:val="0"/>
              <w:jc w:val="left"/>
              <w:rPr>
                <w:rFonts w:cs="Times New Roman"/>
                <w:sz w:val="20"/>
                <w:szCs w:val="20"/>
              </w:rPr>
            </w:pPr>
            <w:r w:rsidRPr="00EC02CA">
              <w:rPr>
                <w:rFonts w:cs="Times New Roman"/>
                <w:sz w:val="20"/>
                <w:szCs w:val="20"/>
              </w:rPr>
              <w:t>meet the needs of particular groups of children (Recommendation</w:t>
            </w:r>
            <w:r w:rsidR="00165026" w:rsidRPr="00EC02CA">
              <w:rPr>
                <w:rFonts w:cs="Times New Roman"/>
                <w:sz w:val="20"/>
                <w:szCs w:val="20"/>
              </w:rPr>
              <w:t xml:space="preserve"> </w:t>
            </w:r>
            <w:r w:rsidRPr="00EC02CA">
              <w:rPr>
                <w:rFonts w:cs="Times New Roman"/>
                <w:sz w:val="20"/>
                <w:szCs w:val="20"/>
              </w:rPr>
              <w:t>21.6)</w:t>
            </w:r>
          </w:p>
          <w:p w14:paraId="26FB85DF" w14:textId="77777777" w:rsidR="008E30C5" w:rsidRPr="00EC02CA" w:rsidRDefault="008E30C5" w:rsidP="00A920EC">
            <w:pPr>
              <w:pStyle w:val="ListParagraph"/>
              <w:numPr>
                <w:ilvl w:val="0"/>
                <w:numId w:val="162"/>
              </w:numPr>
              <w:spacing w:before="60" w:after="60"/>
              <w:contextualSpacing w:val="0"/>
              <w:jc w:val="left"/>
              <w:rPr>
                <w:rFonts w:cs="Times New Roman"/>
                <w:sz w:val="20"/>
                <w:szCs w:val="20"/>
              </w:rPr>
            </w:pPr>
            <w:r w:rsidRPr="00EC02CA">
              <w:rPr>
                <w:rFonts w:cs="Times New Roman"/>
                <w:sz w:val="20"/>
                <w:szCs w:val="20"/>
              </w:rPr>
              <w:t>include structures to support ongoing engagement with emerging evidence regarding harmful sexual behaviours</w:t>
            </w:r>
          </w:p>
          <w:p w14:paraId="1A4B8D50" w14:textId="77777777" w:rsidR="008E30C5" w:rsidRPr="00EC02CA" w:rsidRDefault="008E30C5" w:rsidP="00A920EC">
            <w:pPr>
              <w:pStyle w:val="ListParagraph"/>
              <w:numPr>
                <w:ilvl w:val="0"/>
                <w:numId w:val="162"/>
              </w:numPr>
              <w:spacing w:before="60" w:after="60"/>
              <w:contextualSpacing w:val="0"/>
              <w:jc w:val="left"/>
              <w:rPr>
                <w:rFonts w:cs="Times New Roman"/>
                <w:sz w:val="20"/>
                <w:szCs w:val="20"/>
              </w:rPr>
            </w:pPr>
            <w:r w:rsidRPr="00EC02CA">
              <w:rPr>
                <w:rFonts w:cs="Times New Roman"/>
                <w:sz w:val="20"/>
                <w:szCs w:val="20"/>
              </w:rPr>
              <w:t>include an evaluation framework.</w:t>
            </w:r>
          </w:p>
          <w:p w14:paraId="3D19FF81" w14:textId="6BDA625F" w:rsidR="008E30C5" w:rsidRPr="00EC02CA" w:rsidRDefault="008E30C5" w:rsidP="00A920EC">
            <w:pPr>
              <w:pStyle w:val="ListParagraph"/>
              <w:numPr>
                <w:ilvl w:val="0"/>
                <w:numId w:val="164"/>
              </w:numPr>
              <w:spacing w:before="60" w:after="60"/>
              <w:contextualSpacing w:val="0"/>
              <w:jc w:val="left"/>
              <w:rPr>
                <w:rFonts w:cs="Times New Roman"/>
                <w:sz w:val="20"/>
                <w:szCs w:val="20"/>
              </w:rPr>
            </w:pPr>
            <w:r w:rsidRPr="00EC02CA">
              <w:rPr>
                <w:rFonts w:cs="Times New Roman"/>
                <w:sz w:val="20"/>
                <w:szCs w:val="20"/>
              </w:rPr>
              <w:t>The Tasmanian Government should ensure the therapeutic service system for</w:t>
            </w:r>
            <w:r w:rsidR="00F03027" w:rsidRPr="00EC02CA">
              <w:rPr>
                <w:rFonts w:cs="Times New Roman"/>
                <w:sz w:val="20"/>
                <w:szCs w:val="20"/>
              </w:rPr>
              <w:t xml:space="preserve"> </w:t>
            </w:r>
            <w:r w:rsidRPr="00EC02CA">
              <w:rPr>
                <w:rFonts w:cs="Times New Roman"/>
                <w:sz w:val="20"/>
                <w:szCs w:val="20"/>
              </w:rPr>
              <w:t>children who have displayed harmful sexual behaviours:</w:t>
            </w:r>
          </w:p>
          <w:p w14:paraId="296BC1BF" w14:textId="33FCCBC7" w:rsidR="008E30C5" w:rsidRPr="00EC02CA" w:rsidRDefault="008E30C5" w:rsidP="00A920EC">
            <w:pPr>
              <w:pStyle w:val="ListParagraph"/>
              <w:numPr>
                <w:ilvl w:val="0"/>
                <w:numId w:val="159"/>
              </w:numPr>
              <w:spacing w:before="60" w:after="60"/>
              <w:contextualSpacing w:val="0"/>
              <w:jc w:val="left"/>
              <w:rPr>
                <w:rFonts w:cs="Times New Roman"/>
                <w:sz w:val="20"/>
                <w:szCs w:val="20"/>
              </w:rPr>
            </w:pPr>
            <w:r w:rsidRPr="00EC02CA">
              <w:rPr>
                <w:rFonts w:cs="Times New Roman"/>
                <w:sz w:val="20"/>
                <w:szCs w:val="20"/>
              </w:rPr>
              <w:t>provides sufficient therapeutic services that can be accessed in a timely manner</w:t>
            </w:r>
          </w:p>
          <w:p w14:paraId="25F4739C" w14:textId="04224F1D" w:rsidR="008E30C5" w:rsidRPr="00EC02CA" w:rsidRDefault="008E30C5" w:rsidP="00A920EC">
            <w:pPr>
              <w:pStyle w:val="ListParagraph"/>
              <w:numPr>
                <w:ilvl w:val="0"/>
                <w:numId w:val="159"/>
              </w:numPr>
              <w:spacing w:before="60" w:after="60"/>
              <w:contextualSpacing w:val="0"/>
              <w:jc w:val="left"/>
              <w:rPr>
                <w:rFonts w:cs="Times New Roman"/>
                <w:sz w:val="20"/>
                <w:szCs w:val="20"/>
              </w:rPr>
            </w:pPr>
            <w:r w:rsidRPr="00EC02CA">
              <w:rPr>
                <w:rFonts w:cs="Times New Roman"/>
                <w:sz w:val="20"/>
                <w:szCs w:val="20"/>
              </w:rPr>
              <w:t>ensures timely access to therapeutic services for all children who need them, regardless of their age, identity or location in the state (including in youth detention)</w:t>
            </w:r>
          </w:p>
          <w:p w14:paraId="2E03FC7E" w14:textId="3341B964" w:rsidR="008E30C5" w:rsidRPr="00EC02CA" w:rsidRDefault="008E30C5" w:rsidP="00A920EC">
            <w:pPr>
              <w:pStyle w:val="ListParagraph"/>
              <w:numPr>
                <w:ilvl w:val="0"/>
                <w:numId w:val="159"/>
              </w:numPr>
              <w:spacing w:before="60" w:after="60"/>
              <w:contextualSpacing w:val="0"/>
              <w:jc w:val="left"/>
              <w:rPr>
                <w:rFonts w:cs="Times New Roman"/>
                <w:sz w:val="20"/>
                <w:szCs w:val="20"/>
              </w:rPr>
            </w:pPr>
            <w:r w:rsidRPr="00EC02CA">
              <w:rPr>
                <w:rFonts w:cs="Times New Roman"/>
                <w:sz w:val="20"/>
                <w:szCs w:val="20"/>
              </w:rPr>
              <w:t>ensures specialist interventions for children with disabilities</w:t>
            </w:r>
          </w:p>
          <w:p w14:paraId="69FA38ED" w14:textId="7B721175" w:rsidR="008E30C5" w:rsidRPr="00EC02CA" w:rsidRDefault="008E30C5" w:rsidP="00A920EC">
            <w:pPr>
              <w:pStyle w:val="ListParagraph"/>
              <w:numPr>
                <w:ilvl w:val="0"/>
                <w:numId w:val="159"/>
              </w:numPr>
              <w:spacing w:before="60" w:after="60"/>
              <w:contextualSpacing w:val="0"/>
              <w:jc w:val="left"/>
              <w:rPr>
                <w:rFonts w:cs="Times New Roman"/>
                <w:sz w:val="20"/>
                <w:szCs w:val="20"/>
              </w:rPr>
            </w:pPr>
            <w:r w:rsidRPr="00EC02CA">
              <w:rPr>
                <w:rFonts w:cs="Times New Roman"/>
                <w:sz w:val="20"/>
                <w:szCs w:val="20"/>
              </w:rPr>
              <w:t>ensures all providers of therapeutic interventions for harmful sexual behaviours have Aboriginal representation in their governance structure.</w:t>
            </w:r>
          </w:p>
          <w:p w14:paraId="3F66BD0E" w14:textId="6214B76E" w:rsidR="008E30C5" w:rsidRPr="00EC02CA" w:rsidRDefault="008E30C5" w:rsidP="00A920EC">
            <w:pPr>
              <w:pStyle w:val="ListParagraph"/>
              <w:numPr>
                <w:ilvl w:val="0"/>
                <w:numId w:val="164"/>
              </w:numPr>
              <w:spacing w:before="60" w:after="60"/>
              <w:contextualSpacing w:val="0"/>
              <w:jc w:val="left"/>
              <w:rPr>
                <w:rFonts w:cs="Times New Roman"/>
                <w:sz w:val="20"/>
                <w:szCs w:val="20"/>
              </w:rPr>
            </w:pPr>
            <w:r w:rsidRPr="00EC02CA">
              <w:rPr>
                <w:rFonts w:cs="Times New Roman"/>
                <w:sz w:val="20"/>
                <w:szCs w:val="20"/>
              </w:rPr>
              <w:t>The Tasmanian Government should provide ongoing and increased funding for specialist therapeutic interventions for harmful sexual behaviours that:</w:t>
            </w:r>
          </w:p>
          <w:p w14:paraId="636F9D92" w14:textId="4FCDCF9A" w:rsidR="008E30C5" w:rsidRPr="00EC02CA" w:rsidRDefault="008E30C5" w:rsidP="00A920EC">
            <w:pPr>
              <w:pStyle w:val="ListParagraph"/>
              <w:numPr>
                <w:ilvl w:val="0"/>
                <w:numId w:val="150"/>
              </w:numPr>
              <w:spacing w:before="60" w:after="60"/>
              <w:ind w:left="720"/>
              <w:contextualSpacing w:val="0"/>
              <w:jc w:val="left"/>
              <w:rPr>
                <w:rFonts w:cs="Times New Roman"/>
                <w:sz w:val="20"/>
                <w:szCs w:val="20"/>
              </w:rPr>
            </w:pPr>
            <w:r w:rsidRPr="00EC02CA">
              <w:rPr>
                <w:rFonts w:cs="Times New Roman"/>
                <w:sz w:val="20"/>
                <w:szCs w:val="20"/>
              </w:rPr>
              <w:t>ensures children who have displayed abusive or violent harmful sexual behaviours and their families need not wait more than two weeks for support when therapeutic treatment is required</w:t>
            </w:r>
          </w:p>
          <w:p w14:paraId="4BFCE1ED" w14:textId="57213894" w:rsidR="008E30C5" w:rsidRPr="00EC02CA" w:rsidRDefault="008E30C5" w:rsidP="00A920EC">
            <w:pPr>
              <w:pStyle w:val="ListParagraph"/>
              <w:numPr>
                <w:ilvl w:val="0"/>
                <w:numId w:val="150"/>
              </w:numPr>
              <w:spacing w:before="60" w:after="60"/>
              <w:ind w:left="720"/>
              <w:contextualSpacing w:val="0"/>
              <w:jc w:val="left"/>
              <w:rPr>
                <w:rFonts w:cs="Times New Roman"/>
                <w:sz w:val="20"/>
                <w:szCs w:val="20"/>
              </w:rPr>
            </w:pPr>
            <w:r w:rsidRPr="00EC02CA">
              <w:rPr>
                <w:rFonts w:cs="Times New Roman"/>
                <w:sz w:val="20"/>
                <w:szCs w:val="20"/>
              </w:rPr>
              <w:t>provides an advisory service for child-facing organisations, such as independent schools, childcare, disability and at-risk youth services and Tasmania Police (this service is not intended for the Department for Education, Children and Young People, which will have access to an internal Harmful Sexual Behaviours Support Unit (Recommendation</w:t>
            </w:r>
            <w:r w:rsidR="00F03027" w:rsidRPr="00EC02CA">
              <w:rPr>
                <w:rFonts w:cs="Times New Roman"/>
                <w:sz w:val="20"/>
                <w:szCs w:val="20"/>
              </w:rPr>
              <w:t xml:space="preserve"> </w:t>
            </w:r>
            <w:r w:rsidRPr="00EC02CA">
              <w:rPr>
                <w:rFonts w:cs="Times New Roman"/>
                <w:sz w:val="20"/>
                <w:szCs w:val="20"/>
              </w:rPr>
              <w:t>9.28))</w:t>
            </w:r>
          </w:p>
          <w:p w14:paraId="621253B0" w14:textId="3084745C" w:rsidR="008E30C5" w:rsidRPr="00EC02CA" w:rsidRDefault="008E30C5" w:rsidP="00A920EC">
            <w:pPr>
              <w:pStyle w:val="ListParagraph"/>
              <w:numPr>
                <w:ilvl w:val="0"/>
                <w:numId w:val="150"/>
              </w:numPr>
              <w:spacing w:before="60" w:after="60"/>
              <w:ind w:left="720"/>
              <w:contextualSpacing w:val="0"/>
              <w:jc w:val="left"/>
              <w:rPr>
                <w:rFonts w:cs="Times New Roman"/>
                <w:sz w:val="20"/>
                <w:szCs w:val="20"/>
              </w:rPr>
            </w:pPr>
            <w:r w:rsidRPr="00EC02CA">
              <w:rPr>
                <w:rFonts w:cs="Times New Roman"/>
                <w:sz w:val="20"/>
                <w:szCs w:val="20"/>
              </w:rPr>
              <w:t>contributes to the statewide plan for preventing harmful sexual behaviours and its agencies’ responses to children who have displayed such behaviours.</w:t>
            </w:r>
          </w:p>
        </w:tc>
      </w:tr>
      <w:tr w:rsidR="008E30C5" w:rsidRPr="00EC02CA" w14:paraId="13592727" w14:textId="77777777" w:rsidTr="00A920EC">
        <w:tc>
          <w:tcPr>
            <w:tcW w:w="13887" w:type="dxa"/>
          </w:tcPr>
          <w:p w14:paraId="232C8C08"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Recommendation 21.9</w:t>
            </w:r>
          </w:p>
          <w:p w14:paraId="7F04D8DB" w14:textId="77777777" w:rsidR="008E30C5" w:rsidRPr="00EC02CA" w:rsidRDefault="008E30C5" w:rsidP="00A920EC">
            <w:pPr>
              <w:spacing w:before="60" w:after="60"/>
              <w:jc w:val="left"/>
              <w:rPr>
                <w:rFonts w:cs="Times New Roman"/>
                <w:sz w:val="20"/>
                <w:szCs w:val="20"/>
              </w:rPr>
            </w:pPr>
            <w:r w:rsidRPr="00EC02CA">
              <w:rPr>
                <w:rFonts w:cs="Times New Roman"/>
                <w:sz w:val="20"/>
                <w:szCs w:val="20"/>
              </w:rPr>
              <w:t xml:space="preserve">The Tasmanian Government should introduce legislation to amend the </w:t>
            </w:r>
            <w:r w:rsidRPr="00EC02CA">
              <w:rPr>
                <w:rFonts w:cs="Times New Roman"/>
                <w:i/>
                <w:iCs/>
                <w:sz w:val="20"/>
                <w:szCs w:val="20"/>
              </w:rPr>
              <w:t>Children, Young Persons and Their Families Act 1997</w:t>
            </w:r>
            <w:r w:rsidRPr="00EC02CA">
              <w:rPr>
                <w:rFonts w:cs="Times New Roman"/>
                <w:sz w:val="20"/>
                <w:szCs w:val="20"/>
              </w:rPr>
              <w:t xml:space="preserve"> and the </w:t>
            </w:r>
            <w:r w:rsidRPr="00EC02CA">
              <w:rPr>
                <w:rFonts w:cs="Times New Roman"/>
                <w:i/>
                <w:iCs/>
                <w:sz w:val="20"/>
                <w:szCs w:val="20"/>
              </w:rPr>
              <w:t>Youth Justice Act 1997</w:t>
            </w:r>
            <w:r w:rsidRPr="00EC02CA">
              <w:rPr>
                <w:rFonts w:cs="Times New Roman"/>
                <w:sz w:val="20"/>
                <w:szCs w:val="20"/>
              </w:rPr>
              <w:t xml:space="preserve"> to:</w:t>
            </w:r>
          </w:p>
          <w:p w14:paraId="3FB59D2B" w14:textId="7FE142C1" w:rsidR="008E30C5" w:rsidRPr="00EC02CA" w:rsidRDefault="008E30C5" w:rsidP="00A920EC">
            <w:pPr>
              <w:pStyle w:val="ListParagraph"/>
              <w:numPr>
                <w:ilvl w:val="0"/>
                <w:numId w:val="169"/>
              </w:numPr>
              <w:spacing w:before="60" w:after="60"/>
              <w:contextualSpacing w:val="0"/>
              <w:jc w:val="left"/>
              <w:rPr>
                <w:rFonts w:cs="Times New Roman"/>
                <w:sz w:val="20"/>
                <w:szCs w:val="20"/>
              </w:rPr>
            </w:pPr>
            <w:r w:rsidRPr="00EC02CA">
              <w:rPr>
                <w:rFonts w:cs="Times New Roman"/>
                <w:sz w:val="20"/>
                <w:szCs w:val="20"/>
              </w:rPr>
              <w:t>give the Magistrates Court explicit power to order that a child who has displayed harmful sexual behaviours (and their family) engage in a therapeutic intervention for harmful sexual behaviours</w:t>
            </w:r>
          </w:p>
          <w:p w14:paraId="40D553F6" w14:textId="745D1628" w:rsidR="008E30C5" w:rsidRPr="00EC02CA" w:rsidRDefault="008E30C5" w:rsidP="00A920EC">
            <w:pPr>
              <w:pStyle w:val="ListParagraph"/>
              <w:numPr>
                <w:ilvl w:val="0"/>
                <w:numId w:val="169"/>
              </w:numPr>
              <w:spacing w:before="60" w:after="60"/>
              <w:contextualSpacing w:val="0"/>
              <w:jc w:val="left"/>
              <w:rPr>
                <w:rFonts w:cs="Times New Roman"/>
                <w:sz w:val="20"/>
                <w:szCs w:val="20"/>
              </w:rPr>
            </w:pPr>
            <w:r w:rsidRPr="00EC02CA">
              <w:rPr>
                <w:rFonts w:cs="Times New Roman"/>
                <w:sz w:val="20"/>
                <w:szCs w:val="20"/>
              </w:rPr>
              <w:t>ensure the Magistrates Court has the power to divert from the criminal justice system a child who has been charged with a criminal offence and who has engaged in harmful sexual behaviours, by adjourning the criminal proceeding to enable the child to engage in a therapeutic intervention, and discharging the child where the intervention has been completed successfully.</w:t>
            </w:r>
          </w:p>
        </w:tc>
      </w:tr>
      <w:tr w:rsidR="008E30C5" w:rsidRPr="00EC02CA" w14:paraId="2AE3397E" w14:textId="77777777" w:rsidTr="00A920EC">
        <w:tc>
          <w:tcPr>
            <w:tcW w:w="13887" w:type="dxa"/>
          </w:tcPr>
          <w:p w14:paraId="5E3FD164" w14:textId="77777777" w:rsidR="008E30C5" w:rsidRPr="00EC02CA" w:rsidRDefault="008E30C5" w:rsidP="00A920EC">
            <w:pPr>
              <w:spacing w:before="60" w:after="60"/>
              <w:jc w:val="left"/>
              <w:rPr>
                <w:rFonts w:cs="Times New Roman"/>
                <w:b/>
                <w:bCs/>
                <w:sz w:val="20"/>
                <w:szCs w:val="20"/>
              </w:rPr>
            </w:pPr>
            <w:r w:rsidRPr="00EC02CA">
              <w:rPr>
                <w:rFonts w:cs="Times New Roman"/>
                <w:b/>
                <w:bCs/>
                <w:sz w:val="20"/>
                <w:szCs w:val="20"/>
              </w:rPr>
              <w:t>Recommendation 21.10</w:t>
            </w:r>
          </w:p>
          <w:p w14:paraId="5150DB71" w14:textId="562EA049" w:rsidR="008E30C5" w:rsidRPr="00EC02CA" w:rsidRDefault="008E30C5" w:rsidP="00A920EC">
            <w:pPr>
              <w:spacing w:before="60" w:after="60"/>
              <w:jc w:val="left"/>
              <w:rPr>
                <w:rFonts w:cs="Times New Roman"/>
                <w:sz w:val="20"/>
                <w:szCs w:val="20"/>
              </w:rPr>
            </w:pPr>
            <w:r w:rsidRPr="00EC02CA">
              <w:rPr>
                <w:rFonts w:cs="Times New Roman"/>
                <w:sz w:val="20"/>
                <w:szCs w:val="20"/>
              </w:rPr>
              <w:t>Tasmania Police and the Department for Education, Children and Young People should update the</w:t>
            </w:r>
            <w:r w:rsidR="006E37A2" w:rsidRPr="00EC02CA">
              <w:rPr>
                <w:rFonts w:cs="Times New Roman"/>
                <w:sz w:val="20"/>
                <w:szCs w:val="20"/>
              </w:rPr>
              <w:t xml:space="preserve"> </w:t>
            </w:r>
            <w:r w:rsidRPr="00EC02CA">
              <w:rPr>
                <w:rFonts w:cs="Times New Roman"/>
                <w:i/>
                <w:iCs/>
                <w:sz w:val="20"/>
                <w:szCs w:val="20"/>
              </w:rPr>
              <w:t>Keeping Children Safe Handbook</w:t>
            </w:r>
            <w:r w:rsidR="00F03027" w:rsidRPr="00EC02CA">
              <w:rPr>
                <w:rFonts w:cs="Times New Roman"/>
                <w:i/>
                <w:iCs/>
                <w:sz w:val="20"/>
                <w:szCs w:val="20"/>
              </w:rPr>
              <w:t xml:space="preserve"> </w:t>
            </w:r>
            <w:r w:rsidRPr="00EC02CA">
              <w:rPr>
                <w:rFonts w:cs="Times New Roman"/>
                <w:sz w:val="20"/>
                <w:szCs w:val="20"/>
              </w:rPr>
              <w:t>to reflect the Tasmanian Government’s statewide framework and plan for addressing harmful sexual behaviours, including by:</w:t>
            </w:r>
          </w:p>
          <w:p w14:paraId="25FF7065" w14:textId="77777777" w:rsidR="008E30C5" w:rsidRPr="00EC02CA" w:rsidRDefault="008E30C5" w:rsidP="00A920EC">
            <w:pPr>
              <w:pStyle w:val="ListParagraph"/>
              <w:numPr>
                <w:ilvl w:val="0"/>
                <w:numId w:val="165"/>
              </w:numPr>
              <w:spacing w:before="60" w:after="60"/>
              <w:contextualSpacing w:val="0"/>
              <w:jc w:val="left"/>
              <w:rPr>
                <w:rFonts w:cs="Times New Roman"/>
                <w:sz w:val="20"/>
                <w:szCs w:val="20"/>
              </w:rPr>
            </w:pPr>
            <w:r w:rsidRPr="00EC02CA">
              <w:rPr>
                <w:rFonts w:cs="Times New Roman"/>
                <w:sz w:val="20"/>
                <w:szCs w:val="20"/>
              </w:rPr>
              <w:t>modifying the language used when discussing children who have displayed harmful sexual behaviours to align with the definitions developed through the National Office of Child Safety</w:t>
            </w:r>
          </w:p>
          <w:p w14:paraId="53878D36" w14:textId="77777777" w:rsidR="008E30C5" w:rsidRPr="00EC02CA" w:rsidRDefault="008E30C5" w:rsidP="00A920EC">
            <w:pPr>
              <w:pStyle w:val="ListParagraph"/>
              <w:numPr>
                <w:ilvl w:val="0"/>
                <w:numId w:val="165"/>
              </w:numPr>
              <w:spacing w:before="60" w:after="60"/>
              <w:contextualSpacing w:val="0"/>
              <w:jc w:val="left"/>
              <w:rPr>
                <w:rFonts w:cs="Times New Roman"/>
                <w:sz w:val="20"/>
                <w:szCs w:val="20"/>
              </w:rPr>
            </w:pPr>
            <w:r w:rsidRPr="00EC02CA">
              <w:rPr>
                <w:rFonts w:cs="Times New Roman"/>
                <w:sz w:val="20"/>
                <w:szCs w:val="20"/>
              </w:rPr>
              <w:t>clarifying the roles and responsibilities of the two agencies in responding to incidents involving harmful sexual behaviours, including the conditions under which each agency will lead the response</w:t>
            </w:r>
          </w:p>
          <w:p w14:paraId="683A855B" w14:textId="55C7F9CB" w:rsidR="008E30C5" w:rsidRPr="00EC02CA" w:rsidRDefault="008E30C5" w:rsidP="00A920EC">
            <w:pPr>
              <w:pStyle w:val="ListParagraph"/>
              <w:numPr>
                <w:ilvl w:val="0"/>
                <w:numId w:val="165"/>
              </w:numPr>
              <w:spacing w:before="60" w:after="60"/>
              <w:contextualSpacing w:val="0"/>
              <w:jc w:val="left"/>
              <w:rPr>
                <w:rFonts w:cs="Times New Roman"/>
                <w:sz w:val="20"/>
                <w:szCs w:val="20"/>
              </w:rPr>
            </w:pPr>
            <w:r w:rsidRPr="00EC02CA">
              <w:rPr>
                <w:rFonts w:cs="Times New Roman"/>
                <w:sz w:val="20"/>
                <w:szCs w:val="20"/>
              </w:rPr>
              <w:t>clarifying the involvement of specialist therapeutic services in responses to</w:t>
            </w:r>
            <w:r w:rsidR="006E37A2" w:rsidRPr="00EC02CA">
              <w:rPr>
                <w:rFonts w:cs="Times New Roman"/>
                <w:sz w:val="20"/>
                <w:szCs w:val="20"/>
              </w:rPr>
              <w:t xml:space="preserve"> </w:t>
            </w:r>
            <w:r w:rsidRPr="00EC02CA">
              <w:rPr>
                <w:rFonts w:cs="Times New Roman"/>
                <w:sz w:val="20"/>
                <w:szCs w:val="20"/>
              </w:rPr>
              <w:t>incidents.</w:t>
            </w:r>
          </w:p>
        </w:tc>
      </w:tr>
    </w:tbl>
    <w:p w14:paraId="7BDCAB6A" w14:textId="5C64B2C8" w:rsidR="00345FAF" w:rsidRPr="00EC02CA" w:rsidRDefault="00345FAF"/>
    <w:sectPr w:rsidR="00345FAF" w:rsidRPr="00EC02CA" w:rsidSect="003919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343C" w14:textId="77777777" w:rsidR="00852EA1" w:rsidRDefault="00852EA1" w:rsidP="00D8729E">
      <w:pPr>
        <w:spacing w:after="0"/>
      </w:pPr>
      <w:r>
        <w:separator/>
      </w:r>
    </w:p>
  </w:endnote>
  <w:endnote w:type="continuationSeparator" w:id="0">
    <w:p w14:paraId="56D8EA77" w14:textId="77777777" w:rsidR="00852EA1" w:rsidRDefault="00852EA1" w:rsidP="00D8729E">
      <w:pPr>
        <w:spacing w:after="0"/>
      </w:pPr>
      <w:r>
        <w:continuationSeparator/>
      </w:r>
    </w:p>
  </w:endnote>
  <w:endnote w:type="continuationNotice" w:id="1">
    <w:p w14:paraId="727100F8" w14:textId="77777777" w:rsidR="00852EA1" w:rsidRDefault="00852E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iti TC Light">
    <w:altName w:val="HEITI TC LIGHT"/>
    <w:charset w:val="80"/>
    <w:family w:val="auto"/>
    <w:pitch w:val="variable"/>
    <w:sig w:usb0="8000002F" w:usb1="0807004A" w:usb2="00000010" w:usb3="00000000" w:csb0="003E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17650"/>
      <w:docPartObj>
        <w:docPartGallery w:val="Page Numbers (Bottom of Page)"/>
        <w:docPartUnique/>
      </w:docPartObj>
    </w:sdtPr>
    <w:sdtEndPr>
      <w:rPr>
        <w:rFonts w:ascii="Times New Roman" w:hAnsi="Times New Roman" w:cs="Times New Roman"/>
        <w:noProof/>
      </w:rPr>
    </w:sdtEndPr>
    <w:sdtContent>
      <w:p w14:paraId="4911474D" w14:textId="77777777" w:rsidR="00D8729E" w:rsidRPr="00D8729E" w:rsidRDefault="00D8729E">
        <w:pPr>
          <w:pStyle w:val="Footer"/>
          <w:rPr>
            <w:rFonts w:ascii="Times New Roman" w:hAnsi="Times New Roman" w:cs="Times New Roman"/>
          </w:rPr>
        </w:pPr>
        <w:r w:rsidRPr="00D8729E">
          <w:rPr>
            <w:rFonts w:ascii="Times New Roman" w:hAnsi="Times New Roman" w:cs="Times New Roman"/>
          </w:rPr>
          <w:fldChar w:fldCharType="begin"/>
        </w:r>
        <w:r w:rsidRPr="00D8729E">
          <w:rPr>
            <w:rFonts w:ascii="Times New Roman" w:hAnsi="Times New Roman" w:cs="Times New Roman"/>
          </w:rPr>
          <w:instrText xml:space="preserve"> PAGE   \* MERGEFORMAT </w:instrText>
        </w:r>
        <w:r w:rsidRPr="00D8729E">
          <w:rPr>
            <w:rFonts w:ascii="Times New Roman" w:hAnsi="Times New Roman" w:cs="Times New Roman"/>
          </w:rPr>
          <w:fldChar w:fldCharType="separate"/>
        </w:r>
        <w:r w:rsidRPr="00D8729E">
          <w:rPr>
            <w:rFonts w:ascii="Times New Roman" w:hAnsi="Times New Roman" w:cs="Times New Roman"/>
            <w:noProof/>
          </w:rPr>
          <w:t>2</w:t>
        </w:r>
        <w:r w:rsidRPr="00D8729E">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4015629"/>
      <w:docPartObj>
        <w:docPartGallery w:val="Page Numbers (Bottom of Page)"/>
        <w:docPartUnique/>
      </w:docPartObj>
    </w:sdtPr>
    <w:sdtEndPr>
      <w:rPr>
        <w:rStyle w:val="PageNumber"/>
        <w:rFonts w:ascii="Times New Roman" w:hAnsi="Times New Roman" w:cs="Times New Roman"/>
      </w:rPr>
    </w:sdtEndPr>
    <w:sdtContent>
      <w:p w14:paraId="2CD21AEC" w14:textId="77777777" w:rsidR="0092433F" w:rsidRPr="00DB6B44" w:rsidRDefault="0092433F">
        <w:pPr>
          <w:pStyle w:val="Footer"/>
          <w:framePr w:wrap="none" w:vAnchor="text" w:hAnchor="margin" w:xAlign="right" w:y="1"/>
          <w:rPr>
            <w:rStyle w:val="PageNumber"/>
            <w:rFonts w:ascii="Times New Roman" w:hAnsi="Times New Roman" w:cs="Times New Roman"/>
          </w:rPr>
        </w:pPr>
        <w:r w:rsidRPr="00DB6B44">
          <w:rPr>
            <w:rStyle w:val="PageNumber"/>
            <w:rFonts w:ascii="Times New Roman" w:hAnsi="Times New Roman" w:cs="Times New Roman"/>
          </w:rPr>
          <w:fldChar w:fldCharType="begin"/>
        </w:r>
        <w:r w:rsidRPr="00DB6B44">
          <w:rPr>
            <w:rStyle w:val="PageNumber"/>
            <w:rFonts w:ascii="Times New Roman" w:hAnsi="Times New Roman" w:cs="Times New Roman"/>
          </w:rPr>
          <w:instrText xml:space="preserve"> PAGE </w:instrText>
        </w:r>
        <w:r w:rsidRPr="00DB6B44">
          <w:rPr>
            <w:rStyle w:val="PageNumber"/>
            <w:rFonts w:ascii="Times New Roman" w:hAnsi="Times New Roman" w:cs="Times New Roman"/>
          </w:rPr>
          <w:fldChar w:fldCharType="separate"/>
        </w:r>
        <w:r w:rsidRPr="00DB6B44">
          <w:rPr>
            <w:rStyle w:val="PageNumber"/>
            <w:rFonts w:ascii="Times New Roman" w:hAnsi="Times New Roman" w:cs="Times New Roman"/>
            <w:noProof/>
          </w:rPr>
          <w:t>42</w:t>
        </w:r>
        <w:r w:rsidRPr="00DB6B44">
          <w:rPr>
            <w:rStyle w:val="PageNumber"/>
            <w:rFonts w:ascii="Times New Roman" w:hAnsi="Times New Roman" w:cs="Times New Roman"/>
          </w:rPr>
          <w:fldChar w:fldCharType="end"/>
        </w:r>
      </w:p>
    </w:sdtContent>
  </w:sdt>
  <w:p w14:paraId="135FA1A2" w14:textId="77777777" w:rsidR="0092433F" w:rsidRPr="00DB6B44" w:rsidRDefault="0092433F">
    <w:pPr>
      <w:pStyle w:val="Footer"/>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5FE1" w14:textId="77777777" w:rsidR="0092433F" w:rsidRDefault="0092433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6669449"/>
      <w:docPartObj>
        <w:docPartGallery w:val="Page Numbers (Bottom of Page)"/>
        <w:docPartUnique/>
      </w:docPartObj>
    </w:sdtPr>
    <w:sdtEndPr>
      <w:rPr>
        <w:rStyle w:val="PageNumber"/>
        <w:rFonts w:ascii="Times New Roman" w:hAnsi="Times New Roman" w:cs="Times New Roman"/>
      </w:rPr>
    </w:sdtEndPr>
    <w:sdtContent>
      <w:p w14:paraId="1CE2036C" w14:textId="77777777" w:rsidR="00B26492" w:rsidRPr="00DB6B44" w:rsidRDefault="00B26492">
        <w:pPr>
          <w:pStyle w:val="Footer"/>
          <w:framePr w:wrap="none" w:vAnchor="text" w:hAnchor="margin" w:xAlign="right" w:y="1"/>
          <w:rPr>
            <w:rStyle w:val="PageNumber"/>
            <w:rFonts w:ascii="Times New Roman" w:hAnsi="Times New Roman" w:cs="Times New Roman"/>
          </w:rPr>
        </w:pPr>
        <w:r w:rsidRPr="00DB6B44">
          <w:rPr>
            <w:rStyle w:val="PageNumber"/>
            <w:rFonts w:ascii="Times New Roman" w:hAnsi="Times New Roman" w:cs="Times New Roman"/>
          </w:rPr>
          <w:fldChar w:fldCharType="begin"/>
        </w:r>
        <w:r w:rsidRPr="00DB6B44">
          <w:rPr>
            <w:rStyle w:val="PageNumber"/>
            <w:rFonts w:ascii="Times New Roman" w:hAnsi="Times New Roman" w:cs="Times New Roman"/>
          </w:rPr>
          <w:instrText xml:space="preserve"> PAGE </w:instrText>
        </w:r>
        <w:r w:rsidRPr="00DB6B44">
          <w:rPr>
            <w:rStyle w:val="PageNumber"/>
            <w:rFonts w:ascii="Times New Roman" w:hAnsi="Times New Roman" w:cs="Times New Roman"/>
          </w:rPr>
          <w:fldChar w:fldCharType="separate"/>
        </w:r>
        <w:r w:rsidRPr="00DB6B44">
          <w:rPr>
            <w:rStyle w:val="PageNumber"/>
            <w:rFonts w:ascii="Times New Roman" w:hAnsi="Times New Roman" w:cs="Times New Roman"/>
            <w:noProof/>
          </w:rPr>
          <w:t>42</w:t>
        </w:r>
        <w:r w:rsidRPr="00DB6B44">
          <w:rPr>
            <w:rStyle w:val="PageNumber"/>
            <w:rFonts w:ascii="Times New Roman" w:hAnsi="Times New Roman" w:cs="Times New Roman"/>
          </w:rPr>
          <w:fldChar w:fldCharType="end"/>
        </w:r>
      </w:p>
    </w:sdtContent>
  </w:sdt>
  <w:p w14:paraId="25AA0434" w14:textId="77777777" w:rsidR="00B26492" w:rsidRPr="00DB6B44" w:rsidRDefault="00B26492">
    <w:pPr>
      <w:pStyle w:val="Footer"/>
      <w:ind w:right="360"/>
      <w:jc w:val="right"/>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1769240"/>
      <w:docPartObj>
        <w:docPartGallery w:val="Page Numbers (Bottom of Page)"/>
        <w:docPartUnique/>
      </w:docPartObj>
    </w:sdtPr>
    <w:sdtEndPr>
      <w:rPr>
        <w:rStyle w:val="PageNumber"/>
        <w:rFonts w:ascii="Times New Roman" w:hAnsi="Times New Roman" w:cs="Times New Roman"/>
      </w:rPr>
    </w:sdtEndPr>
    <w:sdtContent>
      <w:p w14:paraId="0F56C0A5" w14:textId="77777777" w:rsidR="00840836" w:rsidRPr="00DB6B44" w:rsidRDefault="00840836">
        <w:pPr>
          <w:pStyle w:val="Footer"/>
          <w:framePr w:wrap="none" w:vAnchor="text" w:hAnchor="margin" w:xAlign="right" w:y="1"/>
          <w:rPr>
            <w:rStyle w:val="PageNumber"/>
            <w:rFonts w:ascii="Times New Roman" w:hAnsi="Times New Roman" w:cs="Times New Roman"/>
          </w:rPr>
        </w:pPr>
        <w:r w:rsidRPr="00DB6B44">
          <w:rPr>
            <w:rStyle w:val="PageNumber"/>
            <w:rFonts w:ascii="Times New Roman" w:hAnsi="Times New Roman" w:cs="Times New Roman"/>
          </w:rPr>
          <w:fldChar w:fldCharType="begin"/>
        </w:r>
        <w:r w:rsidRPr="00DB6B44">
          <w:rPr>
            <w:rStyle w:val="PageNumber"/>
            <w:rFonts w:ascii="Times New Roman" w:hAnsi="Times New Roman" w:cs="Times New Roman"/>
          </w:rPr>
          <w:instrText xml:space="preserve"> PAGE </w:instrText>
        </w:r>
        <w:r w:rsidRPr="00DB6B44">
          <w:rPr>
            <w:rStyle w:val="PageNumber"/>
            <w:rFonts w:ascii="Times New Roman" w:hAnsi="Times New Roman" w:cs="Times New Roman"/>
          </w:rPr>
          <w:fldChar w:fldCharType="separate"/>
        </w:r>
        <w:r w:rsidRPr="00DB6B44">
          <w:rPr>
            <w:rStyle w:val="PageNumber"/>
            <w:rFonts w:ascii="Times New Roman" w:hAnsi="Times New Roman" w:cs="Times New Roman"/>
            <w:noProof/>
          </w:rPr>
          <w:t>42</w:t>
        </w:r>
        <w:r w:rsidRPr="00DB6B44">
          <w:rPr>
            <w:rStyle w:val="PageNumber"/>
            <w:rFonts w:ascii="Times New Roman" w:hAnsi="Times New Roman" w:cs="Times New Roman"/>
          </w:rPr>
          <w:fldChar w:fldCharType="end"/>
        </w:r>
      </w:p>
    </w:sdtContent>
  </w:sdt>
  <w:p w14:paraId="0E2930F1" w14:textId="77777777" w:rsidR="00840836" w:rsidRPr="00DB6B44" w:rsidRDefault="00840836">
    <w:pPr>
      <w:pStyle w:val="Footer"/>
      <w:ind w:right="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F275" w14:textId="77777777" w:rsidR="00852EA1" w:rsidRDefault="00852EA1" w:rsidP="00D8729E">
      <w:pPr>
        <w:spacing w:after="0"/>
      </w:pPr>
      <w:r>
        <w:separator/>
      </w:r>
    </w:p>
  </w:footnote>
  <w:footnote w:type="continuationSeparator" w:id="0">
    <w:p w14:paraId="5D410C83" w14:textId="77777777" w:rsidR="00852EA1" w:rsidRDefault="00852EA1" w:rsidP="00D8729E">
      <w:pPr>
        <w:spacing w:after="0"/>
      </w:pPr>
      <w:r>
        <w:continuationSeparator/>
      </w:r>
    </w:p>
  </w:footnote>
  <w:footnote w:type="continuationNotice" w:id="1">
    <w:p w14:paraId="7C1171FF" w14:textId="77777777" w:rsidR="00852EA1" w:rsidRDefault="00852EA1">
      <w:pPr>
        <w:spacing w:after="0"/>
      </w:pPr>
    </w:p>
  </w:footnote>
  <w:footnote w:id="2">
    <w:p w14:paraId="2E77862C" w14:textId="7E3E7F2C" w:rsidR="005A0A4A" w:rsidRPr="00FF6E12" w:rsidRDefault="005A0A4A" w:rsidP="00D817F8">
      <w:pPr>
        <w:pStyle w:val="FootnoteText"/>
      </w:pPr>
      <w:r w:rsidRPr="00FF6E12">
        <w:rPr>
          <w:rStyle w:val="FootnoteReference"/>
        </w:rPr>
        <w:footnoteRef/>
      </w:r>
      <w:r w:rsidRPr="00FF6E12">
        <w:t xml:space="preserve"> See </w:t>
      </w:r>
      <w:r w:rsidR="00280654" w:rsidRPr="00FF6E12">
        <w:t>[</w:t>
      </w:r>
      <w:r w:rsidR="003569D3" w:rsidRPr="00FF6E12">
        <w:fldChar w:fldCharType="begin"/>
      </w:r>
      <w:r w:rsidR="003569D3" w:rsidRPr="00FF6E12">
        <w:instrText xml:space="preserve"> REF _Ref217895383 \r \h </w:instrText>
      </w:r>
      <w:r w:rsidR="003569D3" w:rsidRPr="00FF6E12">
        <w:fldChar w:fldCharType="separate"/>
      </w:r>
      <w:r w:rsidR="007D7830">
        <w:t>2.2</w:t>
      </w:r>
      <w:r w:rsidR="003569D3" w:rsidRPr="00FF6E12">
        <w:fldChar w:fldCharType="end"/>
      </w:r>
      <w:r w:rsidR="00280654" w:rsidRPr="00FF6E12">
        <w:t>].</w:t>
      </w:r>
    </w:p>
  </w:footnote>
  <w:footnote w:id="3">
    <w:p w14:paraId="1FB1BFE9" w14:textId="63534E3C" w:rsidR="007A5C94" w:rsidRPr="00FF6E12" w:rsidRDefault="007A5C94" w:rsidP="00D817F8">
      <w:pPr>
        <w:pStyle w:val="FootnoteText"/>
      </w:pPr>
      <w:r w:rsidRPr="00FF6E12">
        <w:rPr>
          <w:rStyle w:val="FootnoteReference"/>
        </w:rPr>
        <w:footnoteRef/>
      </w:r>
      <w:r w:rsidRPr="00FF6E12">
        <w:t xml:space="preserve"> See </w:t>
      </w:r>
      <w:r w:rsidR="00EC5F46" w:rsidRPr="00FF6E12">
        <w:t xml:space="preserve">Ben </w:t>
      </w:r>
      <w:r w:rsidRPr="00FF6E12">
        <w:t xml:space="preserve">Mathews et al, </w:t>
      </w:r>
      <w:r w:rsidR="003D492F" w:rsidRPr="00FF6E12">
        <w:t xml:space="preserve">‘Child </w:t>
      </w:r>
      <w:r w:rsidR="00743C1D" w:rsidRPr="00FF6E12">
        <w:t>s</w:t>
      </w:r>
      <w:r w:rsidR="003D492F" w:rsidRPr="00FF6E12">
        <w:t xml:space="preserve">exual </w:t>
      </w:r>
      <w:r w:rsidR="00743C1D" w:rsidRPr="00FF6E12">
        <w:t>a</w:t>
      </w:r>
      <w:r w:rsidR="003D492F" w:rsidRPr="00FF6E12">
        <w:t xml:space="preserve">buse by </w:t>
      </w:r>
      <w:r w:rsidR="00743C1D" w:rsidRPr="00FF6E12">
        <w:t>d</w:t>
      </w:r>
      <w:r w:rsidR="003D492F" w:rsidRPr="00FF6E12">
        <w:t xml:space="preserve">ifferent </w:t>
      </w:r>
      <w:r w:rsidR="00743C1D" w:rsidRPr="00FF6E12">
        <w:t>c</w:t>
      </w:r>
      <w:r w:rsidR="003D492F" w:rsidRPr="00FF6E12">
        <w:t xml:space="preserve">lasses and </w:t>
      </w:r>
      <w:r w:rsidR="00743C1D" w:rsidRPr="00FF6E12">
        <w:t>t</w:t>
      </w:r>
      <w:r w:rsidR="003D492F" w:rsidRPr="00FF6E12">
        <w:t xml:space="preserve">ypes of </w:t>
      </w:r>
      <w:r w:rsidR="00743C1D" w:rsidRPr="00FF6E12">
        <w:t>p</w:t>
      </w:r>
      <w:r w:rsidR="003D492F" w:rsidRPr="00FF6E12">
        <w:t xml:space="preserve">erpetrator: Prevalence and </w:t>
      </w:r>
      <w:r w:rsidR="00743C1D" w:rsidRPr="00FF6E12">
        <w:t>t</w:t>
      </w:r>
      <w:r w:rsidR="003D492F" w:rsidRPr="00FF6E12">
        <w:t xml:space="preserve">rends from an Australian </w:t>
      </w:r>
      <w:r w:rsidR="00743C1D" w:rsidRPr="00FF6E12">
        <w:t>national s</w:t>
      </w:r>
      <w:r w:rsidR="003D492F" w:rsidRPr="00FF6E12">
        <w:t>urvey</w:t>
      </w:r>
      <w:r w:rsidR="00415D44" w:rsidRPr="00FF6E12">
        <w:t>’</w:t>
      </w:r>
      <w:r w:rsidR="003D492F" w:rsidRPr="00FF6E12">
        <w:t xml:space="preserve"> (2024) </w:t>
      </w:r>
      <w:r w:rsidR="009E561A" w:rsidRPr="00FF6E12">
        <w:t xml:space="preserve">147 </w:t>
      </w:r>
      <w:r w:rsidR="003D492F" w:rsidRPr="00FF6E12">
        <w:rPr>
          <w:i/>
          <w:iCs/>
        </w:rPr>
        <w:t xml:space="preserve">Child Abuse and Neglect </w:t>
      </w:r>
      <w:r w:rsidR="003D492F" w:rsidRPr="00FF6E12">
        <w:t>1</w:t>
      </w:r>
      <w:r w:rsidR="002E10B9" w:rsidRPr="00FF6E12">
        <w:t xml:space="preserve">, </w:t>
      </w:r>
      <w:r w:rsidR="00EB4DE8" w:rsidRPr="00FF6E12">
        <w:t>2; Kate Warner and Lorana Bartels</w:t>
      </w:r>
      <w:r w:rsidR="00EC7218" w:rsidRPr="00FF6E12">
        <w:t>,</w:t>
      </w:r>
      <w:r w:rsidR="00EB4DE8" w:rsidRPr="00FF6E12">
        <w:t xml:space="preserve"> ‘</w:t>
      </w:r>
      <w:r w:rsidR="00C070BE" w:rsidRPr="00FF6E12">
        <w:t>Juvenile</w:t>
      </w:r>
      <w:r w:rsidR="002E10B9" w:rsidRPr="00FF6E12">
        <w:t xml:space="preserve"> Sex Offending: Its </w:t>
      </w:r>
      <w:r w:rsidR="00C070BE" w:rsidRPr="00FF6E12">
        <w:t>Prevalence</w:t>
      </w:r>
      <w:r w:rsidR="002E10B9" w:rsidRPr="00FF6E12">
        <w:t xml:space="preserve"> and the Criminal Justice Response’ </w:t>
      </w:r>
      <w:r w:rsidR="00C070BE" w:rsidRPr="00FF6E12">
        <w:t xml:space="preserve">(2015) 38 </w:t>
      </w:r>
      <w:r w:rsidR="00C070BE" w:rsidRPr="00FF6E12">
        <w:rPr>
          <w:i/>
          <w:iCs/>
        </w:rPr>
        <w:t xml:space="preserve">UNSW Law Journal </w:t>
      </w:r>
      <w:r w:rsidR="00C070BE" w:rsidRPr="00FF6E12">
        <w:t>48.</w:t>
      </w:r>
    </w:p>
  </w:footnote>
  <w:footnote w:id="4">
    <w:p w14:paraId="3FE7E0B5" w14:textId="72248E1F" w:rsidR="0038719C" w:rsidRPr="00FF6E12" w:rsidRDefault="0038719C" w:rsidP="00D817F8">
      <w:pPr>
        <w:pStyle w:val="FootnoteText"/>
      </w:pPr>
      <w:r w:rsidRPr="00FF6E12">
        <w:rPr>
          <w:rStyle w:val="FootnoteReference"/>
        </w:rPr>
        <w:footnoteRef/>
      </w:r>
      <w:r w:rsidRPr="00FF6E12">
        <w:t xml:space="preserve"> See </w:t>
      </w:r>
      <w:r w:rsidR="00580064" w:rsidRPr="00FF6E12">
        <w:t>H</w:t>
      </w:r>
      <w:r w:rsidR="00EC5F46" w:rsidRPr="00FF6E12">
        <w:t>eather A</w:t>
      </w:r>
      <w:r w:rsidR="00580064" w:rsidRPr="00FF6E12">
        <w:t xml:space="preserve"> </w:t>
      </w:r>
      <w:r w:rsidRPr="00FF6E12">
        <w:t>Turner</w:t>
      </w:r>
      <w:r w:rsidR="00580064" w:rsidRPr="00FF6E12">
        <w:t xml:space="preserve"> et al</w:t>
      </w:r>
      <w:r w:rsidRPr="00FF6E12">
        <w:t>, ‘Contexts and Characteristics of Imaged-Based Sexual Exploitation and Abuse of Children: Incident Dynamics in a National Sample’ (202</w:t>
      </w:r>
      <w:r w:rsidR="00F514B8" w:rsidRPr="00FF6E12">
        <w:t>5</w:t>
      </w:r>
      <w:r w:rsidRPr="00FF6E12">
        <w:t xml:space="preserve">) </w:t>
      </w:r>
      <w:r w:rsidR="00F514B8" w:rsidRPr="00FF6E12">
        <w:t>30</w:t>
      </w:r>
      <w:r w:rsidR="005F43B1" w:rsidRPr="00FF6E12">
        <w:t xml:space="preserve">(1) </w:t>
      </w:r>
      <w:r w:rsidRPr="00FF6E12">
        <w:rPr>
          <w:i/>
          <w:iCs/>
        </w:rPr>
        <w:t>Child Maltreatment</w:t>
      </w:r>
      <w:r w:rsidR="005F43B1" w:rsidRPr="00FF6E12">
        <w:t xml:space="preserve"> 68</w:t>
      </w:r>
      <w:r w:rsidRPr="00FF6E12">
        <w:t>.</w:t>
      </w:r>
    </w:p>
  </w:footnote>
  <w:footnote w:id="5">
    <w:p w14:paraId="4C96170D" w14:textId="72F33ED4" w:rsidR="00B315CD" w:rsidRPr="00FF6E12" w:rsidRDefault="00B315CD" w:rsidP="00D817F8">
      <w:pPr>
        <w:pStyle w:val="FootnoteText"/>
      </w:pPr>
      <w:r w:rsidRPr="00FF6E12">
        <w:rPr>
          <w:rStyle w:val="FootnoteReference"/>
        </w:rPr>
        <w:footnoteRef/>
      </w:r>
      <w:r w:rsidRPr="00FF6E12">
        <w:t xml:space="preserve"> Mathews et al</w:t>
      </w:r>
      <w:r w:rsidR="007B4414" w:rsidRPr="00FF6E12">
        <w:t xml:space="preserve"> (n </w:t>
      </w:r>
      <w:r w:rsidR="00B75F85" w:rsidRPr="00FF6E12">
        <w:fldChar w:fldCharType="begin"/>
      </w:r>
      <w:r w:rsidR="00B75F85" w:rsidRPr="00FF6E12">
        <w:instrText xml:space="preserve"> NOTEREF _Ref217901142 \h </w:instrText>
      </w:r>
      <w:r w:rsidR="00B75F85" w:rsidRPr="00FF6E12">
        <w:fldChar w:fldCharType="separate"/>
      </w:r>
      <w:r w:rsidR="007D7830">
        <w:t>2</w:t>
      </w:r>
      <w:r w:rsidR="00B75F85" w:rsidRPr="00FF6E12">
        <w:fldChar w:fldCharType="end"/>
      </w:r>
      <w:r w:rsidR="007B4414" w:rsidRPr="00FF6E12">
        <w:t>)</w:t>
      </w:r>
      <w:r w:rsidRPr="00FF6E12">
        <w:t xml:space="preserve">; Warner and Bartels </w:t>
      </w:r>
      <w:r w:rsidR="007B4414" w:rsidRPr="00FF6E12">
        <w:t xml:space="preserve">(n </w:t>
      </w:r>
      <w:r w:rsidR="00B75F85" w:rsidRPr="00FF6E12">
        <w:fldChar w:fldCharType="begin"/>
      </w:r>
      <w:r w:rsidR="00B75F85" w:rsidRPr="00FF6E12">
        <w:instrText xml:space="preserve"> NOTEREF _Ref217901142 \h </w:instrText>
      </w:r>
      <w:r w:rsidR="00B75F85" w:rsidRPr="00FF6E12">
        <w:fldChar w:fldCharType="separate"/>
      </w:r>
      <w:r w:rsidR="007D7830">
        <w:t>2</w:t>
      </w:r>
      <w:r w:rsidR="00B75F85" w:rsidRPr="00FF6E12">
        <w:fldChar w:fldCharType="end"/>
      </w:r>
      <w:r w:rsidR="007B4414" w:rsidRPr="00FF6E12">
        <w:t>).</w:t>
      </w:r>
    </w:p>
  </w:footnote>
  <w:footnote w:id="6">
    <w:p w14:paraId="3149CE2D" w14:textId="54A8E87A" w:rsidR="007D4577" w:rsidRPr="00FF6E12" w:rsidRDefault="007D4577" w:rsidP="00D817F8">
      <w:pPr>
        <w:pStyle w:val="FootnoteText"/>
      </w:pPr>
      <w:r w:rsidRPr="00FF6E12">
        <w:rPr>
          <w:rStyle w:val="FootnoteReference"/>
        </w:rPr>
        <w:footnoteRef/>
      </w:r>
      <w:r w:rsidRPr="00FF6E12">
        <w:t xml:space="preserve"> </w:t>
      </w:r>
      <w:r w:rsidR="00580064" w:rsidRPr="00FF6E12">
        <w:t>S</w:t>
      </w:r>
      <w:r w:rsidR="00EC5F46" w:rsidRPr="00FF6E12">
        <w:t>imon</w:t>
      </w:r>
      <w:r w:rsidR="00580064" w:rsidRPr="00FF6E12">
        <w:t xml:space="preserve"> </w:t>
      </w:r>
      <w:r w:rsidRPr="00FF6E12">
        <w:t xml:space="preserve">Hackett et al, </w:t>
      </w:r>
      <w:r w:rsidR="006B7954" w:rsidRPr="00FF6E12">
        <w:t>‘Life course outcomes and developmental pathways for children and young people with harmful sexual behaviour</w:t>
      </w:r>
      <w:r w:rsidR="00EC5F46" w:rsidRPr="00FF6E12">
        <w:t>’</w:t>
      </w:r>
      <w:r w:rsidR="006B7954" w:rsidRPr="00FF6E12">
        <w:t xml:space="preserve"> </w:t>
      </w:r>
      <w:r w:rsidR="00EC5F46" w:rsidRPr="00FF6E12">
        <w:t xml:space="preserve">(2022) 30(2) </w:t>
      </w:r>
      <w:r w:rsidR="006B7954" w:rsidRPr="00FF6E12">
        <w:rPr>
          <w:i/>
          <w:iCs/>
        </w:rPr>
        <w:t>Journal of Sexual Aggression</w:t>
      </w:r>
      <w:r w:rsidR="00EC5F46" w:rsidRPr="00FF6E12">
        <w:t xml:space="preserve"> 145–65</w:t>
      </w:r>
      <w:r w:rsidRPr="00FF6E12">
        <w:t>.</w:t>
      </w:r>
    </w:p>
  </w:footnote>
  <w:footnote w:id="7">
    <w:p w14:paraId="58F13E35" w14:textId="2DD57B58" w:rsidR="001055D3" w:rsidRPr="00FF6E12" w:rsidRDefault="001055D3" w:rsidP="00D817F8">
      <w:pPr>
        <w:pStyle w:val="FootnoteText"/>
      </w:pPr>
      <w:r w:rsidRPr="00FF6E12">
        <w:rPr>
          <w:rStyle w:val="FootnoteReference"/>
        </w:rPr>
        <w:footnoteRef/>
      </w:r>
      <w:r w:rsidRPr="00FF6E12">
        <w:t xml:space="preserve"> </w:t>
      </w:r>
      <w:r w:rsidR="006965D5" w:rsidRPr="00FF6E12">
        <w:t>R</w:t>
      </w:r>
      <w:r w:rsidR="00EC5F46" w:rsidRPr="00FF6E12">
        <w:t>iddhi</w:t>
      </w:r>
      <w:r w:rsidR="00A313B1" w:rsidRPr="00FF6E12">
        <w:t xml:space="preserve"> </w:t>
      </w:r>
      <w:r w:rsidR="006965D5" w:rsidRPr="00FF6E12">
        <w:t>Blackley and L</w:t>
      </w:r>
      <w:r w:rsidR="00EC5F46" w:rsidRPr="00FF6E12">
        <w:t>orana</w:t>
      </w:r>
      <w:r w:rsidR="006965D5" w:rsidRPr="00FF6E12">
        <w:t xml:space="preserve"> Bartels, </w:t>
      </w:r>
      <w:r w:rsidR="00743C1D" w:rsidRPr="00FF6E12">
        <w:t>‘</w:t>
      </w:r>
      <w:r w:rsidR="006965D5" w:rsidRPr="00FF6E12">
        <w:t>Sentencing and treatment of juvenile sex offenders in Australia</w:t>
      </w:r>
      <w:r w:rsidR="00743C1D" w:rsidRPr="00FF6E12">
        <w:t>’</w:t>
      </w:r>
      <w:r w:rsidR="006965D5" w:rsidRPr="00FF6E12">
        <w:t xml:space="preserve"> (2018)</w:t>
      </w:r>
      <w:r w:rsidR="008F04AC" w:rsidRPr="00FF6E12">
        <w:t xml:space="preserve"> 555</w:t>
      </w:r>
      <w:r w:rsidR="006B7954" w:rsidRPr="00FF6E12">
        <w:t xml:space="preserve"> </w:t>
      </w:r>
      <w:r w:rsidR="006965D5" w:rsidRPr="00FF6E12">
        <w:rPr>
          <w:i/>
          <w:iCs/>
        </w:rPr>
        <w:t>Trends and Issues in Crime and Criminal Justic</w:t>
      </w:r>
      <w:r w:rsidR="006965D5" w:rsidRPr="00FF6E12">
        <w:t>e</w:t>
      </w:r>
      <w:r w:rsidR="00210233" w:rsidRPr="00FF6E12">
        <w:t>,</w:t>
      </w:r>
      <w:r w:rsidR="006965D5" w:rsidRPr="00FF6E12">
        <w:t xml:space="preserve"> 1.</w:t>
      </w:r>
    </w:p>
  </w:footnote>
  <w:footnote w:id="8">
    <w:p w14:paraId="764FC30A" w14:textId="00494619" w:rsidR="008B14DF" w:rsidRPr="00FF6E12" w:rsidRDefault="008B14DF" w:rsidP="00D817F8">
      <w:pPr>
        <w:pStyle w:val="FootnoteText"/>
      </w:pPr>
      <w:r w:rsidRPr="00FF6E12">
        <w:rPr>
          <w:rStyle w:val="FootnoteReference"/>
          <w:rFonts w:cs="Times New Roman"/>
        </w:rPr>
        <w:footnoteRef/>
      </w:r>
      <w:r w:rsidRPr="00FF6E12">
        <w:t xml:space="preserve"> </w:t>
      </w:r>
      <w:r w:rsidRPr="00FF6E12">
        <w:fldChar w:fldCharType="begin"/>
      </w:r>
      <w:r w:rsidRPr="00FF6E12">
        <w:instrText xml:space="preserve"> ADDIN EN.CITE &lt;EndNote&gt;&lt;Cite&gt;&lt;Author&gt;Blackley&lt;/Author&gt;&lt;Year&gt;2018&lt;/Year&gt;&lt;RecNum&gt;667&lt;/RecNum&gt;&lt;DisplayText&gt;Ibid.&lt;/DisplayText&gt;&lt;record&gt;&lt;rec-number&gt;667&lt;/rec-number&gt;&lt;foreign-keys&gt;&lt;key app="EN" db-id="92twpawtxsdzaae5zwevdsw799fderxv2d52" timestamp="1689652140" guid="8733d135-35b7-4f3f-80e4-3d91d3847d41"&gt;667&lt;/key&gt;&lt;/foreign-keys&gt;&lt;ref-type name="Journal Article"&gt;17&lt;/ref-type&gt;&lt;contributors&gt;&lt;authors&gt;&lt;author&gt;Blackley, Riddhi&lt;/author&gt;&lt;author&gt;Bartels, Lorana&lt;/author&gt;&lt;/authors&gt;&lt;/contributors&gt;&lt;titles&gt;&lt;title&gt;Sentencing and treatment of juvenile sex offenders in Australia&lt;/title&gt;&lt;secondary-title&gt;Trends and Issues in Crime and Criminal Justice&lt;/secondary-title&gt;&lt;/titles&gt;&lt;periodical&gt;&lt;full-title&gt;Trends and Issues in Crime and Criminal Justice&lt;/full-title&gt;&lt;/periodical&gt;&lt;pages&gt;1-15&lt;/pages&gt;&lt;number&gt;555&lt;/number&gt;&lt;dates&gt;&lt;year&gt;2018&lt;/year&gt;&lt;/dates&gt;&lt;urls&gt;&lt;/urls&gt;&lt;/record&gt;&lt;/Cite&gt;&lt;/EndNote&gt;</w:instrText>
      </w:r>
      <w:r w:rsidRPr="00FF6E12">
        <w:fldChar w:fldCharType="separate"/>
      </w:r>
      <w:r w:rsidR="00D856E8" w:rsidRPr="00FF6E12">
        <w:t>Ibid</w:t>
      </w:r>
      <w:r w:rsidRPr="00FF6E12">
        <w:t>.</w:t>
      </w:r>
      <w:r w:rsidRPr="00FF6E12">
        <w:fldChar w:fldCharType="end"/>
      </w:r>
    </w:p>
  </w:footnote>
  <w:footnote w:id="9">
    <w:p w14:paraId="3151EBD1" w14:textId="7297917A" w:rsidR="00D94A91" w:rsidRPr="00FF6E12" w:rsidRDefault="00D94A91" w:rsidP="00D817F8">
      <w:pPr>
        <w:pStyle w:val="FootnoteText"/>
      </w:pPr>
      <w:r w:rsidRPr="00FF6E12">
        <w:rPr>
          <w:rStyle w:val="FootnoteReference"/>
        </w:rPr>
        <w:footnoteRef/>
      </w:r>
      <w:r w:rsidRPr="00FF6E12">
        <w:t xml:space="preserve"> </w:t>
      </w:r>
      <w:r w:rsidR="00A313B1" w:rsidRPr="00FF6E12">
        <w:t>B</w:t>
      </w:r>
      <w:r w:rsidR="00743C1D" w:rsidRPr="00FF6E12">
        <w:t>ryce G</w:t>
      </w:r>
      <w:r w:rsidR="00A313B1" w:rsidRPr="00FF6E12">
        <w:t xml:space="preserve"> </w:t>
      </w:r>
      <w:r w:rsidR="007D212F" w:rsidRPr="00FF6E12">
        <w:t xml:space="preserve">Westlake, </w:t>
      </w:r>
      <w:r w:rsidR="00743C1D" w:rsidRPr="00FF6E12">
        <w:t>‘</w:t>
      </w:r>
      <w:r w:rsidR="007D212F" w:rsidRPr="00FF6E12">
        <w:t xml:space="preserve">Delineating </w:t>
      </w:r>
      <w:r w:rsidR="00743C1D" w:rsidRPr="00FF6E12">
        <w:t>V</w:t>
      </w:r>
      <w:r w:rsidR="007D212F" w:rsidRPr="00FF6E12">
        <w:t xml:space="preserve">ictims from </w:t>
      </w:r>
      <w:r w:rsidR="00743C1D" w:rsidRPr="00FF6E12">
        <w:t>P</w:t>
      </w:r>
      <w:r w:rsidR="007D212F" w:rsidRPr="00FF6E12">
        <w:t xml:space="preserve">erpetrators: Prosecuting </w:t>
      </w:r>
      <w:r w:rsidR="00743C1D" w:rsidRPr="00FF6E12">
        <w:t>S</w:t>
      </w:r>
      <w:r w:rsidR="007D212F" w:rsidRPr="00FF6E12">
        <w:t xml:space="preserve">elf-produced </w:t>
      </w:r>
      <w:r w:rsidR="00743C1D" w:rsidRPr="00FF6E12">
        <w:t>C</w:t>
      </w:r>
      <w:r w:rsidR="007D212F" w:rsidRPr="00FF6E12">
        <w:t xml:space="preserve">hild </w:t>
      </w:r>
      <w:r w:rsidR="00743C1D" w:rsidRPr="00FF6E12">
        <w:t>P</w:t>
      </w:r>
      <w:r w:rsidR="007D212F" w:rsidRPr="00FF6E12">
        <w:t xml:space="preserve">ornography in </w:t>
      </w:r>
      <w:r w:rsidR="00743C1D" w:rsidRPr="00FF6E12">
        <w:t>Y</w:t>
      </w:r>
      <w:r w:rsidR="007D212F" w:rsidRPr="00FF6E12">
        <w:t xml:space="preserve">outh </w:t>
      </w:r>
      <w:r w:rsidR="00743C1D" w:rsidRPr="00FF6E12">
        <w:t>C</w:t>
      </w:r>
      <w:r w:rsidR="007D212F" w:rsidRPr="00FF6E12">
        <w:t xml:space="preserve">riminal </w:t>
      </w:r>
      <w:r w:rsidR="00743C1D" w:rsidRPr="00FF6E12">
        <w:t>J</w:t>
      </w:r>
      <w:r w:rsidR="007D212F" w:rsidRPr="00FF6E12">
        <w:t xml:space="preserve">ustice </w:t>
      </w:r>
      <w:r w:rsidR="00743C1D" w:rsidRPr="00FF6E12">
        <w:t>S</w:t>
      </w:r>
      <w:r w:rsidR="007D212F" w:rsidRPr="00FF6E12">
        <w:t>ystems</w:t>
      </w:r>
      <w:r w:rsidR="00743C1D" w:rsidRPr="00FF6E12">
        <w:t>’</w:t>
      </w:r>
      <w:r w:rsidR="007D212F" w:rsidRPr="00FF6E12">
        <w:t xml:space="preserve"> (2018) 12(1) </w:t>
      </w:r>
      <w:r w:rsidR="007D212F" w:rsidRPr="00FF6E12">
        <w:rPr>
          <w:i/>
          <w:iCs/>
        </w:rPr>
        <w:t>International Journal of Cyber Criminology</w:t>
      </w:r>
      <w:r w:rsidR="007D212F" w:rsidRPr="00FF6E12">
        <w:t xml:space="preserve"> 255.</w:t>
      </w:r>
    </w:p>
  </w:footnote>
  <w:footnote w:id="10">
    <w:p w14:paraId="3B059C8D" w14:textId="5A06431A" w:rsidR="006F626C" w:rsidRPr="00FF6E12" w:rsidRDefault="006F626C" w:rsidP="00A920EC">
      <w:pPr>
        <w:pStyle w:val="FootnoteText"/>
        <w:jc w:val="left"/>
        <w:rPr>
          <w:highlight w:val="yellow"/>
        </w:rPr>
      </w:pPr>
      <w:r w:rsidRPr="00FF6E12">
        <w:rPr>
          <w:rStyle w:val="FootnoteReference"/>
        </w:rPr>
        <w:footnoteRef/>
      </w:r>
      <w:r w:rsidRPr="00FF6E12">
        <w:t xml:space="preserve"> </w:t>
      </w:r>
      <w:r w:rsidR="00152C89" w:rsidRPr="00FF6E12">
        <w:t>Commission of Inquiry</w:t>
      </w:r>
      <w:r w:rsidR="00E87C3A" w:rsidRPr="00FF6E12">
        <w:t xml:space="preserve"> into the Tasmanian </w:t>
      </w:r>
      <w:r w:rsidR="000F0C99" w:rsidRPr="00FF6E12">
        <w:t>Government’s</w:t>
      </w:r>
      <w:r w:rsidR="00E87C3A" w:rsidRPr="00FF6E12">
        <w:t xml:space="preserve"> </w:t>
      </w:r>
      <w:r w:rsidR="000F0C99" w:rsidRPr="00FF6E12">
        <w:t>Responses</w:t>
      </w:r>
      <w:r w:rsidR="00E87C3A" w:rsidRPr="00FF6E12">
        <w:t xml:space="preserve"> to </w:t>
      </w:r>
      <w:r w:rsidR="000F0C99" w:rsidRPr="00FF6E12">
        <w:t>Child</w:t>
      </w:r>
      <w:r w:rsidR="00E87C3A" w:rsidRPr="00FF6E12">
        <w:t xml:space="preserve"> Sexual Abuse in </w:t>
      </w:r>
      <w:r w:rsidR="000F0C99" w:rsidRPr="00FF6E12">
        <w:t>Institutional</w:t>
      </w:r>
      <w:r w:rsidR="00E87C3A" w:rsidRPr="00FF6E12">
        <w:t xml:space="preserve"> </w:t>
      </w:r>
      <w:r w:rsidR="000F0C99" w:rsidRPr="00FF6E12">
        <w:t>Settings</w:t>
      </w:r>
      <w:r w:rsidR="00DB4B44" w:rsidRPr="00FF6E12">
        <w:t xml:space="preserve">, </w:t>
      </w:r>
      <w:r w:rsidR="00DB4B44" w:rsidRPr="00FF6E12">
        <w:rPr>
          <w:i/>
          <w:iCs/>
        </w:rPr>
        <w:t xml:space="preserve">Who was Looking after </w:t>
      </w:r>
      <w:r w:rsidR="00E07063" w:rsidRPr="00FF6E12">
        <w:rPr>
          <w:i/>
          <w:iCs/>
        </w:rPr>
        <w:t>me</w:t>
      </w:r>
      <w:r w:rsidR="00DB4B44" w:rsidRPr="00FF6E12">
        <w:rPr>
          <w:i/>
          <w:iCs/>
        </w:rPr>
        <w:t xml:space="preserve">? Prioritising the Safety of Tasmanian Children </w:t>
      </w:r>
      <w:r w:rsidR="00DB4B44" w:rsidRPr="00FF6E12">
        <w:t>(</w:t>
      </w:r>
      <w:r w:rsidR="00BC7000" w:rsidRPr="00FF6E12">
        <w:t xml:space="preserve">Report, August </w:t>
      </w:r>
      <w:r w:rsidR="00DB4B44" w:rsidRPr="00FF6E12">
        <w:t xml:space="preserve">2023) </w:t>
      </w:r>
      <w:r w:rsidR="00BC7000" w:rsidRPr="00FF6E12">
        <w:t>(‘</w:t>
      </w:r>
      <w:r w:rsidR="00EC7218" w:rsidRPr="00FF6E12">
        <w:t xml:space="preserve">Tasmanian </w:t>
      </w:r>
      <w:r w:rsidR="00BC7000" w:rsidRPr="00FF6E12">
        <w:t xml:space="preserve">Commission of Inquiry’) </w:t>
      </w:r>
      <w:r w:rsidR="00743C1D" w:rsidRPr="00FF6E12">
        <w:t xml:space="preserve">vol </w:t>
      </w:r>
      <w:r w:rsidRPr="00FF6E12">
        <w:t xml:space="preserve">10 </w:t>
      </w:r>
      <w:r w:rsidR="00743C1D" w:rsidRPr="00FF6E12">
        <w:t>c</w:t>
      </w:r>
      <w:r w:rsidRPr="00FF6E12">
        <w:t>h 1 [1.1]</w:t>
      </w:r>
      <w:r w:rsidR="007F6B25" w:rsidRPr="00FF6E12">
        <w:t xml:space="preserve"> </w:t>
      </w:r>
      <w:r w:rsidR="002E7004" w:rsidRPr="00FF6E12">
        <w:t>&lt;</w:t>
      </w:r>
      <w:r w:rsidR="007F6B25" w:rsidRPr="00FF6E12">
        <w:t>https://www.commissionofinquiry.tas.gov.au/__data/assets/file/0011/724439/COI_Full-Report.pdf</w:t>
      </w:r>
      <w:r w:rsidR="002E7004" w:rsidRPr="00FF6E12">
        <w:t>&gt;.</w:t>
      </w:r>
    </w:p>
  </w:footnote>
  <w:footnote w:id="11">
    <w:p w14:paraId="1A38E0BC" w14:textId="3931D8C4" w:rsidR="004F1C6A" w:rsidRPr="00FF6E12" w:rsidRDefault="004F1C6A" w:rsidP="00D817F8">
      <w:pPr>
        <w:pStyle w:val="FootnoteText"/>
        <w:rPr>
          <w:highlight w:val="yellow"/>
        </w:rPr>
      </w:pPr>
      <w:r w:rsidRPr="00FF6E12">
        <w:rPr>
          <w:rStyle w:val="FootnoteReference"/>
        </w:rPr>
        <w:footnoteRef/>
      </w:r>
      <w:r w:rsidRPr="00FF6E12">
        <w:t xml:space="preserve"> </w:t>
      </w:r>
      <w:r w:rsidR="003C0B62" w:rsidRPr="00FF6E12">
        <w:t>G</w:t>
      </w:r>
      <w:r w:rsidR="00743C1D" w:rsidRPr="00FF6E12">
        <w:t>emma</w:t>
      </w:r>
      <w:r w:rsidR="003C0B62" w:rsidRPr="00FF6E12">
        <w:t xml:space="preserve"> McKibbin et al, ‘The </w:t>
      </w:r>
      <w:r w:rsidR="00B75F85" w:rsidRPr="00FF6E12">
        <w:t>c</w:t>
      </w:r>
      <w:r w:rsidR="003C0B62" w:rsidRPr="00FF6E12">
        <w:t xml:space="preserve">hild </w:t>
      </w:r>
      <w:r w:rsidR="00B75F85" w:rsidRPr="00FF6E12">
        <w:t>b</w:t>
      </w:r>
      <w:r w:rsidR="003C0B62" w:rsidRPr="00FF6E12">
        <w:t xml:space="preserve">ehind the </w:t>
      </w:r>
      <w:r w:rsidR="00B75F85" w:rsidRPr="00FF6E12">
        <w:t>v</w:t>
      </w:r>
      <w:r w:rsidR="003C0B62" w:rsidRPr="00FF6E12">
        <w:t xml:space="preserve">ictim: Survivor </w:t>
      </w:r>
      <w:r w:rsidR="00B75F85" w:rsidRPr="00FF6E12">
        <w:t>e</w:t>
      </w:r>
      <w:r w:rsidR="003C0B62" w:rsidRPr="00FF6E12">
        <w:t xml:space="preserve">xperiences of </w:t>
      </w:r>
      <w:r w:rsidR="00B75F85" w:rsidRPr="00FF6E12">
        <w:t>c</w:t>
      </w:r>
      <w:r w:rsidR="003C0B62" w:rsidRPr="00FF6E12">
        <w:t xml:space="preserve">hildren’s </w:t>
      </w:r>
      <w:r w:rsidR="00B75F85" w:rsidRPr="00FF6E12">
        <w:t>h</w:t>
      </w:r>
      <w:r w:rsidR="003C0B62" w:rsidRPr="00FF6E12">
        <w:t xml:space="preserve">armful </w:t>
      </w:r>
      <w:r w:rsidR="00B75F85" w:rsidRPr="00FF6E12">
        <w:t>s</w:t>
      </w:r>
      <w:r w:rsidR="003C0B62" w:rsidRPr="00FF6E12">
        <w:t xml:space="preserve">exual </w:t>
      </w:r>
      <w:r w:rsidR="00B75F85" w:rsidRPr="00FF6E12">
        <w:t>b</w:t>
      </w:r>
      <w:r w:rsidR="003C0B62" w:rsidRPr="00FF6E12">
        <w:t xml:space="preserve">ehaviour’ (2025) </w:t>
      </w:r>
      <w:r w:rsidR="00EC7218" w:rsidRPr="00FF6E12">
        <w:t xml:space="preserve">163 </w:t>
      </w:r>
      <w:r w:rsidR="003C0B62" w:rsidRPr="00FF6E12">
        <w:rPr>
          <w:i/>
          <w:iCs/>
        </w:rPr>
        <w:t xml:space="preserve">Child Abuse and Neglect </w:t>
      </w:r>
      <w:r w:rsidR="00EC7218" w:rsidRPr="00FF6E12">
        <w:t>107277 &lt;https://doi.org/10.1016/j.chiabu.2025.107277&gt;</w:t>
      </w:r>
      <w:r w:rsidRPr="00FF6E12">
        <w:t>.</w:t>
      </w:r>
    </w:p>
  </w:footnote>
  <w:footnote w:id="12">
    <w:p w14:paraId="7C124593" w14:textId="040DCE43" w:rsidR="000003F5" w:rsidRPr="00FF6E12" w:rsidRDefault="000003F5" w:rsidP="00D817F8">
      <w:pPr>
        <w:pStyle w:val="FootnoteText"/>
      </w:pPr>
      <w:r w:rsidRPr="00FF6E12">
        <w:rPr>
          <w:rStyle w:val="FootnoteReference"/>
        </w:rPr>
        <w:footnoteRef/>
      </w:r>
      <w:r w:rsidRPr="00FF6E12">
        <w:t xml:space="preserve"> See </w:t>
      </w:r>
      <w:r w:rsidR="00562F74" w:rsidRPr="00FF6E12">
        <w:t xml:space="preserve">Commonwealth of Australia, </w:t>
      </w:r>
      <w:r w:rsidR="00562F74" w:rsidRPr="00A920EC">
        <w:rPr>
          <w:i/>
          <w:iCs/>
        </w:rPr>
        <w:t>National Strategy to Prevent and Respond to Child Sexual Abuse 2021–2030: An Initiative of the Australian</w:t>
      </w:r>
      <w:r w:rsidR="00945737" w:rsidRPr="00FF6E12">
        <w:rPr>
          <w:i/>
          <w:iCs/>
        </w:rPr>
        <w:t>,</w:t>
      </w:r>
      <w:r w:rsidR="00562F74" w:rsidRPr="00A920EC">
        <w:rPr>
          <w:i/>
          <w:iCs/>
        </w:rPr>
        <w:t xml:space="preserve"> State and Territory Governments</w:t>
      </w:r>
      <w:r w:rsidR="00562F74" w:rsidRPr="00FF6E12">
        <w:t xml:space="preserve"> (2021)</w:t>
      </w:r>
      <w:r w:rsidR="00945737" w:rsidRPr="00FF6E12">
        <w:t xml:space="preserve"> 43</w:t>
      </w:r>
      <w:r w:rsidR="00562F74" w:rsidRPr="00FF6E12">
        <w:t xml:space="preserve"> &lt;</w:t>
      </w:r>
      <w:r w:rsidR="00945737" w:rsidRPr="00FF6E12">
        <w:t>https://www.childsafety.gov.au/resources/national-strategy-prevent-and-respond-child-sexual-abuse-2021-2030</w:t>
      </w:r>
      <w:r w:rsidR="00987F54" w:rsidRPr="00FF6E12">
        <w:t>&gt;</w:t>
      </w:r>
      <w:r w:rsidRPr="00FF6E12">
        <w:t>.</w:t>
      </w:r>
      <w:r w:rsidR="00E11267" w:rsidRPr="00FF6E12">
        <w:t xml:space="preserve"> See also </w:t>
      </w:r>
      <w:r w:rsidR="007C2BF9" w:rsidRPr="00FF6E12">
        <w:t>Tasmania</w:t>
      </w:r>
      <w:r w:rsidR="00945737" w:rsidRPr="00FF6E12">
        <w:t>n</w:t>
      </w:r>
      <w:r w:rsidR="007C2BF9" w:rsidRPr="00FF6E12">
        <w:t xml:space="preserve"> Government, </w:t>
      </w:r>
      <w:r w:rsidR="007C2BF9" w:rsidRPr="00FF6E12">
        <w:rPr>
          <w:i/>
          <w:iCs/>
        </w:rPr>
        <w:t>Keeping Children Safe</w:t>
      </w:r>
      <w:r w:rsidR="00B00F04" w:rsidRPr="00FF6E12">
        <w:t xml:space="preserve"> &lt;</w:t>
      </w:r>
      <w:r w:rsidR="00B75F85" w:rsidRPr="00A920EC">
        <w:t>https://keepingchildrensafe.tas.gov.au</w:t>
      </w:r>
      <w:r w:rsidR="00B00F04" w:rsidRPr="00FF6E12">
        <w:t>&gt;.</w:t>
      </w:r>
    </w:p>
  </w:footnote>
  <w:footnote w:id="13">
    <w:p w14:paraId="4E18FDBC" w14:textId="0C3E9B7C" w:rsidR="00D525F0" w:rsidRPr="00FF6E12" w:rsidRDefault="00D525F0" w:rsidP="00D817F8">
      <w:pPr>
        <w:pStyle w:val="FootnoteText"/>
      </w:pPr>
      <w:r w:rsidRPr="00FF6E12">
        <w:rPr>
          <w:rStyle w:val="FootnoteReference"/>
        </w:rPr>
        <w:footnoteRef/>
      </w:r>
      <w:r w:rsidRPr="00FF6E12">
        <w:t xml:space="preserve"> </w:t>
      </w:r>
      <w:r w:rsidR="00B75F85" w:rsidRPr="00FF6E12">
        <w:t>D</w:t>
      </w:r>
      <w:r w:rsidR="00F527DB" w:rsidRPr="00FF6E12">
        <w:t>ivna</w:t>
      </w:r>
      <w:r w:rsidR="00B75F85" w:rsidRPr="00FF6E12">
        <w:t xml:space="preserve"> </w:t>
      </w:r>
      <w:r w:rsidRPr="00FF6E12">
        <w:t>Haslam</w:t>
      </w:r>
      <w:r w:rsidR="00927BFA" w:rsidRPr="00FF6E12">
        <w:t xml:space="preserve"> et al</w:t>
      </w:r>
      <w:r w:rsidRPr="00FF6E12">
        <w:t xml:space="preserve">, </w:t>
      </w:r>
      <w:r w:rsidRPr="00A920EC">
        <w:rPr>
          <w:i/>
          <w:iCs/>
        </w:rPr>
        <w:t xml:space="preserve">The </w:t>
      </w:r>
      <w:r w:rsidR="00B75F85" w:rsidRPr="00A920EC">
        <w:rPr>
          <w:i/>
          <w:iCs/>
        </w:rPr>
        <w:t>p</w:t>
      </w:r>
      <w:r w:rsidRPr="00A920EC">
        <w:rPr>
          <w:i/>
          <w:iCs/>
        </w:rPr>
        <w:t xml:space="preserve">revalence and </w:t>
      </w:r>
      <w:r w:rsidR="00B75F85" w:rsidRPr="00FF6E12">
        <w:rPr>
          <w:i/>
          <w:iCs/>
        </w:rPr>
        <w:t>i</w:t>
      </w:r>
      <w:r w:rsidRPr="00A920EC">
        <w:rPr>
          <w:i/>
          <w:iCs/>
        </w:rPr>
        <w:t xml:space="preserve">mpact of </w:t>
      </w:r>
      <w:r w:rsidR="00B75F85" w:rsidRPr="00FF6E12">
        <w:rPr>
          <w:i/>
          <w:iCs/>
        </w:rPr>
        <w:t>c</w:t>
      </w:r>
      <w:r w:rsidRPr="00A920EC">
        <w:rPr>
          <w:i/>
          <w:iCs/>
        </w:rPr>
        <w:t xml:space="preserve">hild </w:t>
      </w:r>
      <w:r w:rsidR="00B75F85" w:rsidRPr="00FF6E12">
        <w:rPr>
          <w:i/>
          <w:iCs/>
        </w:rPr>
        <w:t>m</w:t>
      </w:r>
      <w:r w:rsidRPr="00A920EC">
        <w:rPr>
          <w:i/>
          <w:iCs/>
        </w:rPr>
        <w:t xml:space="preserve">altreatment in Australia: Findings from the Australian Maltreatment Study: </w:t>
      </w:r>
      <w:r w:rsidR="00B75F85" w:rsidRPr="00FF6E12">
        <w:rPr>
          <w:i/>
          <w:iCs/>
        </w:rPr>
        <w:t xml:space="preserve">2023 </w:t>
      </w:r>
      <w:r w:rsidRPr="00A920EC">
        <w:rPr>
          <w:i/>
          <w:iCs/>
        </w:rPr>
        <w:t>Brief Report</w:t>
      </w:r>
      <w:r w:rsidRPr="00FF6E12">
        <w:t xml:space="preserve"> </w:t>
      </w:r>
      <w:r w:rsidR="00B75F85" w:rsidRPr="00FF6E12">
        <w:t xml:space="preserve">(2023) </w:t>
      </w:r>
      <w:r w:rsidRPr="00FF6E12">
        <w:t>18.</w:t>
      </w:r>
    </w:p>
  </w:footnote>
  <w:footnote w:id="14">
    <w:p w14:paraId="2A346024" w14:textId="62F52072" w:rsidR="00261A81" w:rsidRPr="00FF6E12" w:rsidRDefault="00261A81" w:rsidP="00D817F8">
      <w:pPr>
        <w:pStyle w:val="FootnoteText"/>
      </w:pPr>
      <w:r w:rsidRPr="00FF6E12">
        <w:rPr>
          <w:rStyle w:val="FootnoteReference"/>
        </w:rPr>
        <w:footnoteRef/>
      </w:r>
      <w:r w:rsidRPr="00FF6E12">
        <w:t xml:space="preserve"> Royal Commission</w:t>
      </w:r>
      <w:r w:rsidR="00B75F85" w:rsidRPr="00FF6E12">
        <w:t xml:space="preserve"> into Institutional Responses to Child Sexual Abuse</w:t>
      </w:r>
      <w:r w:rsidRPr="00FF6E12">
        <w:t xml:space="preserve">, </w:t>
      </w:r>
      <w:r w:rsidRPr="00A920EC">
        <w:rPr>
          <w:i/>
          <w:iCs/>
        </w:rPr>
        <w:t xml:space="preserve">Criminal Justice </w:t>
      </w:r>
      <w:r w:rsidR="00BC7000" w:rsidRPr="00FF6E12">
        <w:rPr>
          <w:i/>
          <w:iCs/>
        </w:rPr>
        <w:t xml:space="preserve">Report: </w:t>
      </w:r>
      <w:r w:rsidRPr="00A920EC">
        <w:rPr>
          <w:i/>
          <w:iCs/>
        </w:rPr>
        <w:t xml:space="preserve">Executive </w:t>
      </w:r>
      <w:r w:rsidR="00BC7000" w:rsidRPr="00FF6E12">
        <w:rPr>
          <w:i/>
          <w:iCs/>
        </w:rPr>
        <w:t>s</w:t>
      </w:r>
      <w:r w:rsidRPr="00A920EC">
        <w:rPr>
          <w:i/>
          <w:iCs/>
        </w:rPr>
        <w:t>ummary</w:t>
      </w:r>
      <w:r w:rsidRPr="00FF6E12">
        <w:t xml:space="preserve"> </w:t>
      </w:r>
      <w:r w:rsidR="00BC7000" w:rsidRPr="00A920EC">
        <w:rPr>
          <w:i/>
          <w:iCs/>
        </w:rPr>
        <w:t xml:space="preserve">and </w:t>
      </w:r>
      <w:r w:rsidRPr="00A920EC">
        <w:rPr>
          <w:i/>
          <w:iCs/>
        </w:rPr>
        <w:t xml:space="preserve">Parts I </w:t>
      </w:r>
      <w:r w:rsidR="00BC7000" w:rsidRPr="00A920EC">
        <w:rPr>
          <w:i/>
          <w:iCs/>
        </w:rPr>
        <w:t>and</w:t>
      </w:r>
      <w:r w:rsidRPr="00A920EC">
        <w:rPr>
          <w:i/>
          <w:iCs/>
        </w:rPr>
        <w:t xml:space="preserve"> II</w:t>
      </w:r>
      <w:r w:rsidRPr="00FF6E12">
        <w:t xml:space="preserve">, </w:t>
      </w:r>
      <w:r w:rsidR="00B00E69" w:rsidRPr="00FF6E12">
        <w:t>(</w:t>
      </w:r>
      <w:r w:rsidR="00BC7000" w:rsidRPr="00FF6E12">
        <w:t xml:space="preserve">Report, August </w:t>
      </w:r>
      <w:r w:rsidR="00B00E69" w:rsidRPr="00FF6E12">
        <w:t xml:space="preserve">2017) </w:t>
      </w:r>
      <w:r w:rsidRPr="00FF6E12">
        <w:t>12.</w:t>
      </w:r>
    </w:p>
  </w:footnote>
  <w:footnote w:id="15">
    <w:p w14:paraId="7299384B" w14:textId="7E3A0FFF" w:rsidR="007D6B2E" w:rsidRPr="00FF6E12" w:rsidRDefault="007D6B2E" w:rsidP="00D817F8">
      <w:pPr>
        <w:pStyle w:val="FootnoteText"/>
      </w:pPr>
      <w:r w:rsidRPr="00FF6E12">
        <w:rPr>
          <w:rStyle w:val="FootnoteReference"/>
        </w:rPr>
        <w:footnoteRef/>
      </w:r>
      <w:r w:rsidRPr="00FF6E12">
        <w:t xml:space="preserve"> </w:t>
      </w:r>
      <w:r w:rsidR="00B00E69" w:rsidRPr="00FF6E12">
        <w:t>McKibbin</w:t>
      </w:r>
      <w:r w:rsidR="00C82657" w:rsidRPr="00FF6E12">
        <w:t xml:space="preserve"> et al</w:t>
      </w:r>
      <w:r w:rsidR="00B75F85" w:rsidRPr="00FF6E12">
        <w:t xml:space="preserve"> (n </w:t>
      </w:r>
      <w:r w:rsidR="00B75F85" w:rsidRPr="00FF6E12">
        <w:fldChar w:fldCharType="begin"/>
      </w:r>
      <w:r w:rsidR="00B75F85" w:rsidRPr="00FF6E12">
        <w:instrText xml:space="preserve"> NOTEREF _Ref217901178 \h </w:instrText>
      </w:r>
      <w:r w:rsidR="00B75F85" w:rsidRPr="00FF6E12">
        <w:fldChar w:fldCharType="separate"/>
      </w:r>
      <w:r w:rsidR="007D7830">
        <w:t>10</w:t>
      </w:r>
      <w:r w:rsidR="00B75F85" w:rsidRPr="00FF6E12">
        <w:fldChar w:fldCharType="end"/>
      </w:r>
      <w:r w:rsidR="00B75F85" w:rsidRPr="00FF6E12">
        <w:t>)</w:t>
      </w:r>
      <w:r w:rsidR="00B37217" w:rsidRPr="00FF6E12">
        <w:t xml:space="preserve">. See also </w:t>
      </w:r>
      <w:r w:rsidR="00C9005C" w:rsidRPr="00FF6E12">
        <w:t>[</w:t>
      </w:r>
      <w:r w:rsidR="00BE3979">
        <w:fldChar w:fldCharType="begin"/>
      </w:r>
      <w:r w:rsidR="00BE3979">
        <w:instrText xml:space="preserve"> REF _Ref218251999 \r \h </w:instrText>
      </w:r>
      <w:r w:rsidR="00BE3979">
        <w:fldChar w:fldCharType="separate"/>
      </w:r>
      <w:r w:rsidR="007D7830">
        <w:t>2.3</w:t>
      </w:r>
      <w:r w:rsidR="00BE3979">
        <w:fldChar w:fldCharType="end"/>
      </w:r>
      <w:r w:rsidR="00C9005C" w:rsidRPr="00FF6E12">
        <w:t>]</w:t>
      </w:r>
    </w:p>
  </w:footnote>
  <w:footnote w:id="16">
    <w:p w14:paraId="7F4956A5" w14:textId="73E70511" w:rsidR="007D6B2E" w:rsidRPr="00FF6E12" w:rsidRDefault="007D6B2E" w:rsidP="00D817F8">
      <w:pPr>
        <w:pStyle w:val="FootnoteText"/>
        <w:rPr>
          <w:highlight w:val="yellow"/>
        </w:rPr>
      </w:pPr>
      <w:r w:rsidRPr="00FF6E12">
        <w:rPr>
          <w:rStyle w:val="FootnoteReference"/>
        </w:rPr>
        <w:footnoteRef/>
      </w:r>
      <w:r w:rsidRPr="00FF6E12">
        <w:t xml:space="preserve"> See </w:t>
      </w:r>
      <w:r w:rsidR="009D6497" w:rsidRPr="00FF6E12">
        <w:t>J</w:t>
      </w:r>
      <w:r w:rsidR="002A10A1" w:rsidRPr="00FF6E12">
        <w:t>ames</w:t>
      </w:r>
      <w:r w:rsidR="009D6497" w:rsidRPr="00FF6E12">
        <w:t xml:space="preserve"> O</w:t>
      </w:r>
      <w:r w:rsidR="002100F1" w:rsidRPr="00FF6E12">
        <w:t>gilvie</w:t>
      </w:r>
      <w:r w:rsidR="003D3B63" w:rsidRPr="00FF6E12">
        <w:t xml:space="preserve"> et al</w:t>
      </w:r>
      <w:r w:rsidR="002100F1" w:rsidRPr="00FF6E12">
        <w:t xml:space="preserve">, </w:t>
      </w:r>
      <w:r w:rsidR="003D3B63" w:rsidRPr="00A920EC">
        <w:rPr>
          <w:i/>
          <w:iCs/>
        </w:rPr>
        <w:t>Examining</w:t>
      </w:r>
      <w:r w:rsidR="002100F1" w:rsidRPr="00A920EC">
        <w:rPr>
          <w:i/>
          <w:iCs/>
        </w:rPr>
        <w:t xml:space="preserve"> the Impact of Childhood Sexual Abuse Victimisation on Adolescent Offending </w:t>
      </w:r>
      <w:r w:rsidR="00151D72" w:rsidRPr="00A920EC">
        <w:rPr>
          <w:i/>
          <w:iCs/>
        </w:rPr>
        <w:t>Outcomes</w:t>
      </w:r>
      <w:r w:rsidR="002A10A1" w:rsidRPr="00A920EC">
        <w:rPr>
          <w:i/>
          <w:iCs/>
        </w:rPr>
        <w:t>:</w:t>
      </w:r>
      <w:r w:rsidR="002100F1" w:rsidRPr="00FF6E12">
        <w:t xml:space="preserve"> </w:t>
      </w:r>
      <w:r w:rsidR="00151D72" w:rsidRPr="00FF6E12">
        <w:rPr>
          <w:i/>
          <w:iCs/>
        </w:rPr>
        <w:t>Report</w:t>
      </w:r>
      <w:r w:rsidR="003D3B63" w:rsidRPr="00FF6E12">
        <w:rPr>
          <w:i/>
          <w:iCs/>
        </w:rPr>
        <w:t xml:space="preserve"> to the Criminology Research Advisory Council Grant: CRG 17/21</w:t>
      </w:r>
      <w:r w:rsidR="002A10A1" w:rsidRPr="00FF6E12">
        <w:rPr>
          <w:i/>
          <w:iCs/>
        </w:rPr>
        <w:t>–</w:t>
      </w:r>
      <w:r w:rsidR="003D3B63" w:rsidRPr="00FF6E12">
        <w:rPr>
          <w:i/>
          <w:iCs/>
        </w:rPr>
        <w:t>22</w:t>
      </w:r>
      <w:r w:rsidR="003D3B63" w:rsidRPr="00FF6E12">
        <w:t xml:space="preserve"> (</w:t>
      </w:r>
      <w:r w:rsidR="002A10A1" w:rsidRPr="00FF6E12">
        <w:t xml:space="preserve">Australian Institute of Criminology, </w:t>
      </w:r>
      <w:r w:rsidR="003D3B63" w:rsidRPr="00FF6E12">
        <w:t>2025)</w:t>
      </w:r>
      <w:r w:rsidRPr="00FF6E12">
        <w:t>.</w:t>
      </w:r>
    </w:p>
  </w:footnote>
  <w:footnote w:id="17">
    <w:p w14:paraId="7EB9B0B3" w14:textId="3E2A093C" w:rsidR="003E2E87" w:rsidRPr="00FF6E12" w:rsidRDefault="003E2E87" w:rsidP="00D817F8">
      <w:pPr>
        <w:pStyle w:val="FootnoteText"/>
        <w:rPr>
          <w:highlight w:val="yellow"/>
        </w:rPr>
      </w:pPr>
      <w:r w:rsidRPr="00FF6E12">
        <w:rPr>
          <w:rStyle w:val="FootnoteReference"/>
        </w:rPr>
        <w:footnoteRef/>
      </w:r>
      <w:r w:rsidRPr="00FF6E12">
        <w:t xml:space="preserve"> </w:t>
      </w:r>
      <w:r w:rsidR="00EC7218" w:rsidRPr="00FF6E12">
        <w:t xml:space="preserve">Tasmanian Commission of Inquiry </w:t>
      </w:r>
      <w:r w:rsidR="009255B0" w:rsidRPr="00A920EC">
        <w:t xml:space="preserve">(n </w:t>
      </w:r>
      <w:r w:rsidR="009255B0" w:rsidRPr="00FF6E12">
        <w:fldChar w:fldCharType="begin"/>
      </w:r>
      <w:r w:rsidR="009255B0" w:rsidRPr="00FF6E12">
        <w:instrText xml:space="preserve"> NOTEREF _Ref217902008 \h </w:instrText>
      </w:r>
      <w:r w:rsidR="009255B0" w:rsidRPr="00FF6E12">
        <w:fldChar w:fldCharType="separate"/>
      </w:r>
      <w:r w:rsidR="007D7830">
        <w:t>9</w:t>
      </w:r>
      <w:r w:rsidR="009255B0" w:rsidRPr="00FF6E12">
        <w:fldChar w:fldCharType="end"/>
      </w:r>
      <w:r w:rsidR="009255B0" w:rsidRPr="00A920EC">
        <w:t>).</w:t>
      </w:r>
    </w:p>
  </w:footnote>
  <w:footnote w:id="18">
    <w:p w14:paraId="34BCB944" w14:textId="1AB0834A" w:rsidR="003E2E87" w:rsidRPr="00FF6E12" w:rsidRDefault="003E2E87" w:rsidP="00D817F8">
      <w:pPr>
        <w:pStyle w:val="FootnoteText"/>
      </w:pPr>
      <w:r w:rsidRPr="00FF6E12">
        <w:rPr>
          <w:rStyle w:val="FootnoteReference"/>
        </w:rPr>
        <w:footnoteRef/>
      </w:r>
      <w:r w:rsidRPr="00FF6E12">
        <w:t xml:space="preserve"> </w:t>
      </w:r>
      <w:r w:rsidR="00EC7218" w:rsidRPr="00A920EC">
        <w:t>Ibid</w:t>
      </w:r>
      <w:r w:rsidR="002A676F" w:rsidRPr="00FF6E12">
        <w:rPr>
          <w:i/>
          <w:iCs/>
        </w:rPr>
        <w:t xml:space="preserve"> </w:t>
      </w:r>
      <w:r w:rsidR="002A676F" w:rsidRPr="00FF6E12">
        <w:t>vol</w:t>
      </w:r>
      <w:r w:rsidRPr="00FF6E12">
        <w:t xml:space="preserve"> 3 </w:t>
      </w:r>
      <w:r w:rsidR="002A676F" w:rsidRPr="00FF6E12">
        <w:t xml:space="preserve">ch </w:t>
      </w:r>
      <w:r w:rsidRPr="00FF6E12">
        <w:t xml:space="preserve">6, </w:t>
      </w:r>
      <w:r w:rsidR="002A676F" w:rsidRPr="00FF6E12">
        <w:t xml:space="preserve">vol </w:t>
      </w:r>
      <w:r w:rsidRPr="00FF6E12">
        <w:t xml:space="preserve">4 </w:t>
      </w:r>
      <w:r w:rsidR="002A676F" w:rsidRPr="00FF6E12">
        <w:t xml:space="preserve">ch </w:t>
      </w:r>
      <w:r w:rsidRPr="00FF6E12">
        <w:t xml:space="preserve">9, </w:t>
      </w:r>
      <w:r w:rsidR="002A676F" w:rsidRPr="00FF6E12">
        <w:t xml:space="preserve">vol </w:t>
      </w:r>
      <w:r w:rsidRPr="00FF6E12">
        <w:t xml:space="preserve">5 </w:t>
      </w:r>
      <w:r w:rsidR="002A676F" w:rsidRPr="00FF6E12">
        <w:t>(</w:t>
      </w:r>
      <w:r w:rsidR="00A17AE9" w:rsidRPr="00FF6E12">
        <w:t>bk</w:t>
      </w:r>
      <w:r w:rsidR="002A676F" w:rsidRPr="00FF6E12">
        <w:t xml:space="preserve"> </w:t>
      </w:r>
      <w:r w:rsidRPr="00FF6E12">
        <w:t>5</w:t>
      </w:r>
      <w:r w:rsidR="002A676F" w:rsidRPr="00FF6E12">
        <w:t>)</w:t>
      </w:r>
      <w:r w:rsidRPr="00FF6E12">
        <w:t xml:space="preserve"> </w:t>
      </w:r>
      <w:r w:rsidR="002A676F" w:rsidRPr="00FF6E12">
        <w:t xml:space="preserve">ch </w:t>
      </w:r>
      <w:r w:rsidRPr="00FF6E12">
        <w:t xml:space="preserve">12, </w:t>
      </w:r>
      <w:r w:rsidR="002A676F" w:rsidRPr="00FF6E12">
        <w:t xml:space="preserve">vol </w:t>
      </w:r>
      <w:r w:rsidRPr="00FF6E12">
        <w:t>6 (</w:t>
      </w:r>
      <w:r w:rsidR="00A17AE9" w:rsidRPr="00FF6E12">
        <w:t>bk</w:t>
      </w:r>
      <w:r w:rsidRPr="00FF6E12">
        <w:t xml:space="preserve"> 2) </w:t>
      </w:r>
      <w:r w:rsidR="002A676F" w:rsidRPr="00FF6E12">
        <w:t xml:space="preserve">ch </w:t>
      </w:r>
      <w:r w:rsidRPr="00FF6E12">
        <w:t xml:space="preserve">15, </w:t>
      </w:r>
      <w:r w:rsidR="002A676F" w:rsidRPr="00FF6E12">
        <w:t xml:space="preserve">vol </w:t>
      </w:r>
      <w:r w:rsidRPr="00FF6E12">
        <w:t xml:space="preserve">7 </w:t>
      </w:r>
      <w:r w:rsidR="002A676F" w:rsidRPr="00FF6E12">
        <w:t xml:space="preserve">ch </w:t>
      </w:r>
      <w:r w:rsidRPr="00FF6E12">
        <w:t xml:space="preserve">16, </w:t>
      </w:r>
      <w:r w:rsidR="002A676F" w:rsidRPr="00FF6E12">
        <w:t xml:space="preserve">vol </w:t>
      </w:r>
      <w:r w:rsidRPr="00FF6E12">
        <w:t xml:space="preserve">8 </w:t>
      </w:r>
      <w:r w:rsidR="002A676F" w:rsidRPr="00FF6E12">
        <w:t xml:space="preserve">ch </w:t>
      </w:r>
      <w:r w:rsidRPr="00FF6E12">
        <w:t>22.</w:t>
      </w:r>
      <w:r w:rsidR="00937DCC" w:rsidRPr="00FF6E12">
        <w:t xml:space="preserve"> It is noted that an </w:t>
      </w:r>
      <w:r w:rsidR="00AB4F49" w:rsidRPr="00FF6E12">
        <w:t xml:space="preserve">Independent Inquiry into the Tasmanian Department of Education’s Response to Child Sexual Abuse </w:t>
      </w:r>
      <w:r w:rsidR="008B65C6" w:rsidRPr="00FF6E12">
        <w:t xml:space="preserve">was </w:t>
      </w:r>
      <w:r w:rsidR="00391A54" w:rsidRPr="00FF6E12">
        <w:t>conducted</w:t>
      </w:r>
      <w:r w:rsidR="008B65C6" w:rsidRPr="00FF6E12">
        <w:t xml:space="preserve"> by Professor Smallbone and Professor M</w:t>
      </w:r>
      <w:r w:rsidR="00391A54" w:rsidRPr="00FF6E12">
        <w:t>cCormack</w:t>
      </w:r>
      <w:r w:rsidR="00005524" w:rsidRPr="00FF6E12">
        <w:t xml:space="preserve"> and released in 2021</w:t>
      </w:r>
      <w:r w:rsidR="00A17AE9" w:rsidRPr="00FF6E12">
        <w:t>:</w:t>
      </w:r>
      <w:r w:rsidR="008A1412" w:rsidRPr="00FF6E12">
        <w:t xml:space="preserve"> S</w:t>
      </w:r>
      <w:r w:rsidR="002A676F" w:rsidRPr="00FF6E12">
        <w:t>tephen</w:t>
      </w:r>
      <w:r w:rsidR="008A1412" w:rsidRPr="00FF6E12">
        <w:t xml:space="preserve"> Smallbone and T</w:t>
      </w:r>
      <w:r w:rsidR="002A676F" w:rsidRPr="00FF6E12">
        <w:t>im</w:t>
      </w:r>
      <w:r w:rsidR="008A1412" w:rsidRPr="00FF6E12">
        <w:t xml:space="preserve"> McCormack, </w:t>
      </w:r>
      <w:r w:rsidR="004142D3" w:rsidRPr="00FF6E12">
        <w:rPr>
          <w:i/>
          <w:iCs/>
        </w:rPr>
        <w:t xml:space="preserve">Independent Inquiry into the Tasmanian Department of Educations’ Response to Child Sexual Abuse </w:t>
      </w:r>
      <w:r w:rsidR="004142D3" w:rsidRPr="00FF6E12">
        <w:t>(Final Report, 2021)</w:t>
      </w:r>
      <w:r w:rsidR="00103F02" w:rsidRPr="00FF6E12">
        <w:t xml:space="preserve"> </w:t>
      </w:r>
      <w:r w:rsidR="008A1412" w:rsidRPr="00FF6E12">
        <w:t>&lt;</w:t>
      </w:r>
      <w:r w:rsidR="002A676F" w:rsidRPr="00A920EC">
        <w:t>https://publicdocumentcentre.education.tas.gov.au/library/Shared</w:t>
      </w:r>
      <w:r w:rsidR="00871348" w:rsidRPr="00FF6E12">
        <w:t>%20</w:t>
      </w:r>
      <w:r w:rsidR="002A676F" w:rsidRPr="00A920EC">
        <w:t>Documents/DoE-Inquiry-Final-Report-Main-Findings-and-Recommendations-2021.PDF</w:t>
      </w:r>
      <w:r w:rsidR="008A1412" w:rsidRPr="00FF6E12">
        <w:t>&gt;</w:t>
      </w:r>
      <w:r w:rsidR="00005524" w:rsidRPr="00FF6E12">
        <w:t xml:space="preserve">. </w:t>
      </w:r>
    </w:p>
  </w:footnote>
  <w:footnote w:id="19">
    <w:p w14:paraId="7D739EBD" w14:textId="3F200553" w:rsidR="00842DE6" w:rsidRPr="00FF6E12" w:rsidRDefault="00842DE6" w:rsidP="00D817F8">
      <w:pPr>
        <w:pStyle w:val="FootnoteText"/>
      </w:pPr>
      <w:r w:rsidRPr="00FF6E12">
        <w:rPr>
          <w:rStyle w:val="FootnoteReference"/>
        </w:rPr>
        <w:footnoteRef/>
      </w:r>
      <w:r w:rsidRPr="00FF6E12">
        <w:t xml:space="preserve"> See </w:t>
      </w:r>
      <w:r w:rsidR="00A17AE9" w:rsidRPr="00FF6E12">
        <w:t xml:space="preserve">Royal Commission into Institutional Responses to Child Sexual Abuse (n </w:t>
      </w:r>
      <w:r w:rsidR="00A17AE9" w:rsidRPr="00FF6E12">
        <w:fldChar w:fldCharType="begin"/>
      </w:r>
      <w:r w:rsidR="00A17AE9" w:rsidRPr="00FF6E12">
        <w:instrText xml:space="preserve"> NOTEREF _Ref217902398 \h </w:instrText>
      </w:r>
      <w:r w:rsidR="00A17AE9" w:rsidRPr="00FF6E12">
        <w:fldChar w:fldCharType="separate"/>
      </w:r>
      <w:r w:rsidR="007D7830">
        <w:t>13</w:t>
      </w:r>
      <w:r w:rsidR="00A17AE9" w:rsidRPr="00FF6E12">
        <w:fldChar w:fldCharType="end"/>
      </w:r>
      <w:r w:rsidR="00A17AE9" w:rsidRPr="00FF6E12">
        <w:t xml:space="preserve">) </w:t>
      </w:r>
      <w:r w:rsidR="002A676F" w:rsidRPr="00FF6E12">
        <w:t xml:space="preserve">vol </w:t>
      </w:r>
      <w:r w:rsidRPr="00FF6E12">
        <w:t>10.</w:t>
      </w:r>
    </w:p>
  </w:footnote>
  <w:footnote w:id="20">
    <w:p w14:paraId="11504D15" w14:textId="64C9DCE5" w:rsidR="00216E2C" w:rsidRPr="00FF6E12" w:rsidRDefault="00216E2C" w:rsidP="00D817F8">
      <w:pPr>
        <w:pStyle w:val="FootnoteText"/>
      </w:pPr>
      <w:r w:rsidRPr="00FF6E12">
        <w:rPr>
          <w:rStyle w:val="FootnoteReference"/>
        </w:rPr>
        <w:footnoteRef/>
      </w:r>
      <w:r w:rsidRPr="00FF6E12">
        <w:t xml:space="preserve"> </w:t>
      </w:r>
      <w:r w:rsidR="0098653D">
        <w:t>Ibid</w:t>
      </w:r>
      <w:r w:rsidR="00F11685" w:rsidRPr="00FF6E12">
        <w:t xml:space="preserve"> </w:t>
      </w:r>
      <w:r w:rsidR="003C7B96" w:rsidRPr="00FF6E12">
        <w:t xml:space="preserve">vols </w:t>
      </w:r>
      <w:r w:rsidR="00F20673" w:rsidRPr="00FF6E12">
        <w:t>2</w:t>
      </w:r>
      <w:r w:rsidR="004A201D" w:rsidRPr="00FF6E12">
        <w:t>,</w:t>
      </w:r>
      <w:r w:rsidR="00F20673" w:rsidRPr="00FF6E12">
        <w:t xml:space="preserve"> </w:t>
      </w:r>
      <w:r w:rsidR="002B08C3" w:rsidRPr="00FF6E12">
        <w:t>10.</w:t>
      </w:r>
    </w:p>
  </w:footnote>
  <w:footnote w:id="21">
    <w:p w14:paraId="1BD91CDB" w14:textId="4045C4BA" w:rsidR="00175682" w:rsidRPr="00FF6E12" w:rsidRDefault="00175682" w:rsidP="00D817F8">
      <w:pPr>
        <w:pStyle w:val="FootnoteText"/>
      </w:pPr>
      <w:r w:rsidRPr="00FF6E12">
        <w:rPr>
          <w:rStyle w:val="FootnoteReference"/>
        </w:rPr>
        <w:footnoteRef/>
      </w:r>
      <w:r w:rsidRPr="00FF6E12">
        <w:t xml:space="preserve"> </w:t>
      </w:r>
      <w:r w:rsidR="0098653D">
        <w:t>Ibid</w:t>
      </w:r>
      <w:r w:rsidR="00FC4BFC" w:rsidRPr="00FF6E12">
        <w:t xml:space="preserve"> vol 10.</w:t>
      </w:r>
    </w:p>
  </w:footnote>
  <w:footnote w:id="22">
    <w:p w14:paraId="5CA754CB" w14:textId="0CB862EA" w:rsidR="008A7C56" w:rsidRPr="00FF6E12" w:rsidRDefault="008A7C56" w:rsidP="00D817F8">
      <w:pPr>
        <w:pStyle w:val="FootnoteText"/>
      </w:pPr>
      <w:r w:rsidRPr="00FF6E12">
        <w:rPr>
          <w:rStyle w:val="FootnoteReference"/>
        </w:rPr>
        <w:footnoteRef/>
      </w:r>
      <w:r w:rsidRPr="00FF6E12">
        <w:t xml:space="preserve"> </w:t>
      </w:r>
      <w:r w:rsidR="0098653D">
        <w:t>Ibid</w:t>
      </w:r>
      <w:r w:rsidR="0045772D" w:rsidRPr="00FF6E12">
        <w:t xml:space="preserve"> </w:t>
      </w:r>
      <w:r w:rsidR="003C7B96" w:rsidRPr="00FF6E12">
        <w:t>vol 1,</w:t>
      </w:r>
      <w:r w:rsidR="0045772D" w:rsidRPr="00FF6E12">
        <w:t xml:space="preserve"> </w:t>
      </w:r>
      <w:r w:rsidRPr="00FF6E12">
        <w:t>Recommendation 2.1.</w:t>
      </w:r>
    </w:p>
  </w:footnote>
  <w:footnote w:id="23">
    <w:p w14:paraId="330C88A6" w14:textId="252F7B60" w:rsidR="008A7C56" w:rsidRPr="00FF6E12" w:rsidRDefault="008A7C56" w:rsidP="00D817F8">
      <w:pPr>
        <w:pStyle w:val="FootnoteText"/>
      </w:pPr>
      <w:r w:rsidRPr="00FF6E12">
        <w:rPr>
          <w:rStyle w:val="FootnoteReference"/>
        </w:rPr>
        <w:footnoteRef/>
      </w:r>
      <w:r w:rsidRPr="00FF6E12">
        <w:t xml:space="preserve"> See Haslam </w:t>
      </w:r>
      <w:r w:rsidR="00927BFA" w:rsidRPr="00FF6E12">
        <w:t>et al</w:t>
      </w:r>
      <w:r w:rsidRPr="00FF6E12">
        <w:t xml:space="preserve"> </w:t>
      </w:r>
      <w:r w:rsidR="00F23A09" w:rsidRPr="00FF6E12">
        <w:t>(</w:t>
      </w:r>
      <w:r w:rsidR="003C7B96" w:rsidRPr="00FF6E12">
        <w:t xml:space="preserve">n </w:t>
      </w:r>
      <w:r w:rsidR="003C7B96" w:rsidRPr="00FF6E12">
        <w:fldChar w:fldCharType="begin"/>
      </w:r>
      <w:r w:rsidR="003C7B96" w:rsidRPr="00FF6E12">
        <w:instrText xml:space="preserve"> NOTEREF _Ref217902685 \h </w:instrText>
      </w:r>
      <w:r w:rsidR="003C7B96" w:rsidRPr="00FF6E12">
        <w:fldChar w:fldCharType="separate"/>
      </w:r>
      <w:r w:rsidR="007D7830">
        <w:t>12</w:t>
      </w:r>
      <w:r w:rsidR="003C7B96" w:rsidRPr="00FF6E12">
        <w:fldChar w:fldCharType="end"/>
      </w:r>
      <w:r w:rsidR="003C7B96" w:rsidRPr="00FF6E12">
        <w:t>)</w:t>
      </w:r>
      <w:r w:rsidRPr="00FF6E12">
        <w:t>.</w:t>
      </w:r>
    </w:p>
  </w:footnote>
  <w:footnote w:id="24">
    <w:p w14:paraId="02E31AF4" w14:textId="14F33017" w:rsidR="008A7C56" w:rsidRPr="00FF6E12" w:rsidRDefault="008A7C56" w:rsidP="00D817F8">
      <w:pPr>
        <w:pStyle w:val="FootnoteText"/>
      </w:pPr>
      <w:r w:rsidRPr="00FF6E12">
        <w:rPr>
          <w:rStyle w:val="FootnoteReference"/>
        </w:rPr>
        <w:footnoteRef/>
      </w:r>
      <w:r w:rsidRPr="00FF6E12">
        <w:t xml:space="preserve"> </w:t>
      </w:r>
      <w:r w:rsidR="003C7B96" w:rsidRPr="00FF6E12">
        <w:t>Ibid</w:t>
      </w:r>
      <w:r w:rsidRPr="00FF6E12">
        <w:t xml:space="preserve"> 14. Sexual abuse was defined to include ‘any sexual act inflicted on a child by any adult or other person, including contact and non-contact acts, for the purposes of sexual gratification, where true consent by the child is not present. True consent will not be present where the child either lacks capacity to give consent, or has capacity but does not give full, free and voluntary consent. Operationally, acts of sexual abuse include forced intercourse; attempted forced intercourse; other acts of contact sexual abuse (eg touching, fondling); and non-contact sexual acts (eg voyeurism, exhibitionism</w:t>
      </w:r>
      <w:r w:rsidR="00110EF1" w:rsidRPr="00FF6E12">
        <w:t>)</w:t>
      </w:r>
      <w:r w:rsidRPr="00FF6E12">
        <w:t>’</w:t>
      </w:r>
      <w:r w:rsidR="003C7B96" w:rsidRPr="00FF6E12">
        <w:t>:</w:t>
      </w:r>
      <w:r w:rsidRPr="00FF6E12">
        <w:t xml:space="preserve"> </w:t>
      </w:r>
      <w:r w:rsidR="00110EF1" w:rsidRPr="00FF6E12">
        <w:t>i</w:t>
      </w:r>
      <w:r w:rsidR="003C7B96" w:rsidRPr="00FF6E12">
        <w:t xml:space="preserve">bid </w:t>
      </w:r>
      <w:r w:rsidRPr="00FF6E12">
        <w:t>6.</w:t>
      </w:r>
    </w:p>
  </w:footnote>
  <w:footnote w:id="25">
    <w:p w14:paraId="10AEE230" w14:textId="3360A6C6" w:rsidR="002D4BCD" w:rsidRPr="00FF6E12" w:rsidRDefault="002D4BCD" w:rsidP="00D817F8">
      <w:pPr>
        <w:pStyle w:val="FootnoteText"/>
      </w:pPr>
      <w:r w:rsidRPr="00FF6E12">
        <w:rPr>
          <w:rStyle w:val="FootnoteReference"/>
        </w:rPr>
        <w:footnoteRef/>
      </w:r>
      <w:r w:rsidRPr="00FF6E12">
        <w:t xml:space="preserve"> </w:t>
      </w:r>
      <w:r w:rsidR="007D1F96" w:rsidRPr="00FF6E12">
        <w:t xml:space="preserve">Kerryann Walsh et al, ‘Prevalence and characteristics of online child sexual victimisation: Findings from the Australian Child Maltreatment Study’ (2025) 160 </w:t>
      </w:r>
      <w:r w:rsidR="007D1F96" w:rsidRPr="00FF6E12">
        <w:rPr>
          <w:i/>
          <w:iCs/>
        </w:rPr>
        <w:t xml:space="preserve">Child Abuse and Neglect </w:t>
      </w:r>
      <w:r w:rsidR="007D1F96" w:rsidRPr="00FF6E12">
        <w:t>107186, 6. &lt;https://doi.org/10.1016/j.chiabu.2024.107186&gt;</w:t>
      </w:r>
      <w:r w:rsidR="00110EF1" w:rsidRPr="00FF6E12">
        <w:t>.</w:t>
      </w:r>
    </w:p>
  </w:footnote>
  <w:footnote w:id="26">
    <w:p w14:paraId="5D8DC387" w14:textId="019EB917" w:rsidR="008A7C56" w:rsidRPr="00FF6E12" w:rsidRDefault="008A7C56" w:rsidP="00D817F8">
      <w:pPr>
        <w:pStyle w:val="FootnoteText"/>
      </w:pPr>
      <w:r w:rsidRPr="00FF6E12">
        <w:rPr>
          <w:rStyle w:val="FootnoteReference"/>
        </w:rPr>
        <w:footnoteRef/>
      </w:r>
      <w:r w:rsidRPr="00FF6E12">
        <w:t xml:space="preserve"> </w:t>
      </w:r>
      <w:r w:rsidR="003C7B96" w:rsidRPr="00FF6E12">
        <w:t xml:space="preserve">Haslam et al (n </w:t>
      </w:r>
      <w:r w:rsidR="003C7B96" w:rsidRPr="00FF6E12">
        <w:fldChar w:fldCharType="begin"/>
      </w:r>
      <w:r w:rsidR="003C7B96" w:rsidRPr="00FF6E12">
        <w:instrText xml:space="preserve"> NOTEREF _Ref217902685 \h </w:instrText>
      </w:r>
      <w:r w:rsidR="003C7B96" w:rsidRPr="00FF6E12">
        <w:fldChar w:fldCharType="separate"/>
      </w:r>
      <w:r w:rsidR="007D7830">
        <w:t>12</w:t>
      </w:r>
      <w:r w:rsidR="003C7B96" w:rsidRPr="00FF6E12">
        <w:fldChar w:fldCharType="end"/>
      </w:r>
      <w:r w:rsidR="003C7B96" w:rsidRPr="00FF6E12">
        <w:t>).</w:t>
      </w:r>
    </w:p>
  </w:footnote>
  <w:footnote w:id="27">
    <w:p w14:paraId="2292F76D" w14:textId="51D62261" w:rsidR="008A7C56" w:rsidRPr="00FF6E12" w:rsidRDefault="008A7C56" w:rsidP="00D817F8">
      <w:pPr>
        <w:pStyle w:val="FootnoteText"/>
        <w:rPr>
          <w:i/>
          <w:iCs/>
        </w:rPr>
      </w:pPr>
      <w:r w:rsidRPr="00FF6E12">
        <w:rPr>
          <w:rStyle w:val="FootnoteReference"/>
        </w:rPr>
        <w:footnoteRef/>
      </w:r>
      <w:r w:rsidRPr="00FF6E12">
        <w:t xml:space="preserve"> </w:t>
      </w:r>
      <w:r w:rsidR="007D7EDF" w:rsidRPr="00FF6E12">
        <w:t xml:space="preserve">Mathews et al (n </w:t>
      </w:r>
      <w:r w:rsidR="007D7EDF" w:rsidRPr="00FF6E12">
        <w:fldChar w:fldCharType="begin"/>
      </w:r>
      <w:r w:rsidR="007D7EDF" w:rsidRPr="00FF6E12">
        <w:instrText xml:space="preserve"> NOTEREF _Ref217901142 \h </w:instrText>
      </w:r>
      <w:r w:rsidR="007D7EDF" w:rsidRPr="00FF6E12">
        <w:fldChar w:fldCharType="separate"/>
      </w:r>
      <w:r w:rsidR="007D7830">
        <w:t>2</w:t>
      </w:r>
      <w:r w:rsidR="007D7EDF" w:rsidRPr="00FF6E12">
        <w:fldChar w:fldCharType="end"/>
      </w:r>
      <w:r w:rsidR="007D7EDF" w:rsidRPr="00FF6E12">
        <w:t>)</w:t>
      </w:r>
      <w:r w:rsidRPr="00FF6E12">
        <w:t xml:space="preserve"> 2.</w:t>
      </w:r>
    </w:p>
  </w:footnote>
  <w:footnote w:id="28">
    <w:p w14:paraId="7B2AD1DB" w14:textId="29A07532" w:rsidR="008A7C56" w:rsidRPr="00FF6E12" w:rsidRDefault="008A7C56" w:rsidP="00D817F8">
      <w:pPr>
        <w:pStyle w:val="FootnoteText"/>
      </w:pPr>
      <w:r w:rsidRPr="00FF6E12">
        <w:rPr>
          <w:rStyle w:val="FootnoteReference"/>
        </w:rPr>
        <w:footnoteRef/>
      </w:r>
      <w:r w:rsidRPr="00FF6E12">
        <w:t xml:space="preserve"> </w:t>
      </w:r>
      <w:r w:rsidR="007D7EDF" w:rsidRPr="00FF6E12">
        <w:t>Ibid</w:t>
      </w:r>
      <w:r w:rsidRPr="00FF6E12">
        <w:t xml:space="preserve"> 11.</w:t>
      </w:r>
    </w:p>
  </w:footnote>
  <w:footnote w:id="29">
    <w:p w14:paraId="34C1C6C7" w14:textId="398DE9D8" w:rsidR="008A7C56" w:rsidRPr="00FF6E12" w:rsidRDefault="008A7C56" w:rsidP="00D817F8">
      <w:pPr>
        <w:pStyle w:val="FootnoteText"/>
      </w:pPr>
      <w:r w:rsidRPr="00FF6E12">
        <w:rPr>
          <w:rStyle w:val="FootnoteReference"/>
        </w:rPr>
        <w:footnoteRef/>
      </w:r>
      <w:r w:rsidR="0082269A" w:rsidRPr="00FF6E12">
        <w:t xml:space="preserve"> </w:t>
      </w:r>
      <w:r w:rsidR="007D7EDF" w:rsidRPr="00FF6E12">
        <w:t xml:space="preserve">Haslam et al (n </w:t>
      </w:r>
      <w:r w:rsidR="007D7EDF" w:rsidRPr="00FF6E12">
        <w:fldChar w:fldCharType="begin"/>
      </w:r>
      <w:r w:rsidR="007D7EDF" w:rsidRPr="00FF6E12">
        <w:instrText xml:space="preserve"> NOTEREF _Ref217902685 \h </w:instrText>
      </w:r>
      <w:r w:rsidR="007D7EDF" w:rsidRPr="00FF6E12">
        <w:fldChar w:fldCharType="separate"/>
      </w:r>
      <w:r w:rsidR="007D7830">
        <w:t>12</w:t>
      </w:r>
      <w:r w:rsidR="007D7EDF" w:rsidRPr="00FF6E12">
        <w:fldChar w:fldCharType="end"/>
      </w:r>
      <w:r w:rsidR="007D7EDF" w:rsidRPr="00FF6E12">
        <w:t>)</w:t>
      </w:r>
      <w:r w:rsidRPr="00FF6E12">
        <w:t>.</w:t>
      </w:r>
    </w:p>
  </w:footnote>
  <w:footnote w:id="30">
    <w:p w14:paraId="08F3A2D4" w14:textId="7E6F040C" w:rsidR="008A7C56" w:rsidRPr="00FF6E12" w:rsidRDefault="008A7C56" w:rsidP="00D817F8">
      <w:pPr>
        <w:pStyle w:val="FootnoteText"/>
      </w:pPr>
      <w:r w:rsidRPr="00FF6E12">
        <w:rPr>
          <w:rStyle w:val="FootnoteReference"/>
        </w:rPr>
        <w:footnoteRef/>
      </w:r>
      <w:r w:rsidRPr="00FF6E12">
        <w:t xml:space="preserve"> </w:t>
      </w:r>
      <w:r w:rsidR="007D7EDF" w:rsidRPr="00FF6E12">
        <w:t xml:space="preserve">Mathews et al (n </w:t>
      </w:r>
      <w:r w:rsidR="007D7EDF" w:rsidRPr="00FF6E12">
        <w:fldChar w:fldCharType="begin"/>
      </w:r>
      <w:r w:rsidR="007D7EDF" w:rsidRPr="00FF6E12">
        <w:instrText xml:space="preserve"> NOTEREF _Ref217901142 \h </w:instrText>
      </w:r>
      <w:r w:rsidR="007D7EDF" w:rsidRPr="00FF6E12">
        <w:fldChar w:fldCharType="separate"/>
      </w:r>
      <w:r w:rsidR="007D7830">
        <w:t>2</w:t>
      </w:r>
      <w:r w:rsidR="007D7EDF" w:rsidRPr="00FF6E12">
        <w:fldChar w:fldCharType="end"/>
      </w:r>
      <w:r w:rsidR="007D7EDF" w:rsidRPr="00FF6E12">
        <w:t xml:space="preserve">) </w:t>
      </w:r>
      <w:r w:rsidR="00743F69" w:rsidRPr="00FF6E12">
        <w:t>11</w:t>
      </w:r>
      <w:r w:rsidRPr="00FF6E12">
        <w:t>.</w:t>
      </w:r>
    </w:p>
  </w:footnote>
  <w:footnote w:id="31">
    <w:p w14:paraId="120BE1C5" w14:textId="58788B07" w:rsidR="001119C1" w:rsidRPr="00FF6E12" w:rsidRDefault="001119C1" w:rsidP="00D817F8">
      <w:pPr>
        <w:pStyle w:val="FootnoteText"/>
      </w:pPr>
      <w:r w:rsidRPr="00FF6E12">
        <w:rPr>
          <w:rStyle w:val="FootnoteReference"/>
        </w:rPr>
        <w:footnoteRef/>
      </w:r>
      <w:r w:rsidRPr="00FF6E12">
        <w:t xml:space="preserve"> </w:t>
      </w:r>
      <w:r w:rsidR="00087730" w:rsidRPr="00FF6E12">
        <w:t>Walsh</w:t>
      </w:r>
      <w:r w:rsidR="00BB0290" w:rsidRPr="00FF6E12">
        <w:t xml:space="preserve"> et al</w:t>
      </w:r>
      <w:r w:rsidR="007D1F96" w:rsidRPr="00FF6E12">
        <w:t xml:space="preserve"> (n </w:t>
      </w:r>
      <w:r w:rsidR="007D1F96" w:rsidRPr="00FF6E12">
        <w:fldChar w:fldCharType="begin"/>
      </w:r>
      <w:r w:rsidR="007D1F96" w:rsidRPr="00FF6E12">
        <w:instrText xml:space="preserve"> NOTEREF _Ref217903522 \h </w:instrText>
      </w:r>
      <w:r w:rsidR="007D1F96" w:rsidRPr="00FF6E12">
        <w:fldChar w:fldCharType="separate"/>
      </w:r>
      <w:r w:rsidR="007D7830">
        <w:t>24</w:t>
      </w:r>
      <w:r w:rsidR="007D1F96" w:rsidRPr="00FF6E12">
        <w:fldChar w:fldCharType="end"/>
      </w:r>
      <w:r w:rsidR="007D1F96" w:rsidRPr="00FF6E12">
        <w:t>).</w:t>
      </w:r>
    </w:p>
  </w:footnote>
  <w:footnote w:id="32">
    <w:p w14:paraId="5AF2D88C" w14:textId="2EBCC46B" w:rsidR="009F5620" w:rsidRPr="00FF6E12" w:rsidRDefault="009F5620" w:rsidP="00D817F8">
      <w:pPr>
        <w:pStyle w:val="FootnoteText"/>
      </w:pPr>
      <w:r w:rsidRPr="00FF6E12">
        <w:rPr>
          <w:rStyle w:val="FootnoteReference"/>
        </w:rPr>
        <w:footnoteRef/>
      </w:r>
      <w:r w:rsidRPr="00FF6E12">
        <w:t xml:space="preserve"> </w:t>
      </w:r>
      <w:r w:rsidR="00935BF5" w:rsidRPr="00FF6E12">
        <w:t xml:space="preserve">Tasmanian Government, </w:t>
      </w:r>
      <w:r w:rsidR="00D175AA" w:rsidRPr="00FF6E12">
        <w:rPr>
          <w:i/>
          <w:iCs/>
        </w:rPr>
        <w:t>Tasmania’s Third Family and Sexual Violence Action Plan 2022–2027: Survivors at the Centre</w:t>
      </w:r>
      <w:r w:rsidR="00D175AA" w:rsidRPr="00FF6E12">
        <w:t xml:space="preserve"> </w:t>
      </w:r>
      <w:r w:rsidR="00852CFE" w:rsidRPr="00FF6E12">
        <w:t>(2022)</w:t>
      </w:r>
      <w:r w:rsidR="003F1138" w:rsidRPr="00FF6E12">
        <w:t xml:space="preserve"> &lt; https://www.safefromviolence.tas.gov.au/__data/assets/pdf_file/0025/254734/220157-DoC-Family-Sexual-Violence-Action-Plan-2022-27_wcag.pdf&gt;</w:t>
      </w:r>
      <w:r w:rsidR="00852CFE" w:rsidRPr="00FF6E12">
        <w:t>.</w:t>
      </w:r>
    </w:p>
  </w:footnote>
  <w:footnote w:id="33">
    <w:p w14:paraId="0F773812" w14:textId="5CB36E74" w:rsidR="00465C2E" w:rsidRPr="00FF6E12" w:rsidRDefault="00465C2E" w:rsidP="00D817F8">
      <w:pPr>
        <w:pStyle w:val="FootnoteText"/>
      </w:pPr>
      <w:r w:rsidRPr="00FF6E12">
        <w:rPr>
          <w:rStyle w:val="FootnoteReference"/>
        </w:rPr>
        <w:footnoteRef/>
      </w:r>
      <w:r w:rsidRPr="00FF6E12">
        <w:t xml:space="preserve"> </w:t>
      </w:r>
      <w:r w:rsidR="007D1F96" w:rsidRPr="00FF6E12">
        <w:t>Ibid</w:t>
      </w:r>
      <w:r w:rsidRPr="00FF6E12">
        <w:t xml:space="preserve"> 19.</w:t>
      </w:r>
    </w:p>
  </w:footnote>
  <w:footnote w:id="34">
    <w:p w14:paraId="18665247" w14:textId="358B3008" w:rsidR="007333BF" w:rsidRPr="00FF6E12" w:rsidRDefault="007333BF" w:rsidP="00A920EC">
      <w:pPr>
        <w:pStyle w:val="FootnoteText"/>
        <w:jc w:val="left"/>
      </w:pPr>
      <w:r w:rsidRPr="00FF6E12">
        <w:rPr>
          <w:rStyle w:val="FootnoteReference"/>
        </w:rPr>
        <w:footnoteRef/>
      </w:r>
      <w:r w:rsidRPr="00FF6E12">
        <w:t xml:space="preserve"> </w:t>
      </w:r>
      <w:r w:rsidR="00871348" w:rsidRPr="00FF6E12">
        <w:t>Department for Education, Children and Young People (DECYP)</w:t>
      </w:r>
      <w:r w:rsidR="00B16EBE" w:rsidRPr="00FF6E12">
        <w:t xml:space="preserve">, </w:t>
      </w:r>
      <w:r w:rsidR="00B16EBE" w:rsidRPr="00FF6E12">
        <w:rPr>
          <w:i/>
          <w:iCs/>
        </w:rPr>
        <w:t>Safe. Secure. Supported. Our Safeguarding Framework</w:t>
      </w:r>
      <w:r w:rsidR="00B16EBE" w:rsidRPr="00FF6E12">
        <w:t xml:space="preserve"> (2023)</w:t>
      </w:r>
      <w:r w:rsidR="00636364" w:rsidRPr="00FF6E12">
        <w:t xml:space="preserve"> &lt;https://publicdocumentcentre.education.tas.gov.au/library/Shared%20Documents/Safeguarding-Framework.pdf&gt;</w:t>
      </w:r>
      <w:r w:rsidR="00A4127E" w:rsidRPr="00FF6E12">
        <w:t>.</w:t>
      </w:r>
    </w:p>
  </w:footnote>
  <w:footnote w:id="35">
    <w:p w14:paraId="4F7DEEAA" w14:textId="1AAF87C9" w:rsidR="003B78F6" w:rsidRPr="00FF6E12" w:rsidRDefault="003B78F6" w:rsidP="00D817F8">
      <w:pPr>
        <w:pStyle w:val="FootnoteText"/>
      </w:pPr>
      <w:r w:rsidRPr="00FF6E12">
        <w:rPr>
          <w:rStyle w:val="FootnoteReference"/>
        </w:rPr>
        <w:footnoteRef/>
      </w:r>
      <w:r w:rsidRPr="00FF6E12">
        <w:t xml:space="preserve"> </w:t>
      </w:r>
      <w:r w:rsidR="007D1F96" w:rsidRPr="00FF6E12">
        <w:t>Ibid</w:t>
      </w:r>
      <w:r w:rsidR="000F7367" w:rsidRPr="00FF6E12">
        <w:t xml:space="preserve"> 38, </w:t>
      </w:r>
      <w:r w:rsidR="00734734" w:rsidRPr="00FF6E12">
        <w:t>42, 45.</w:t>
      </w:r>
    </w:p>
  </w:footnote>
  <w:footnote w:id="36">
    <w:p w14:paraId="5A39C8C9" w14:textId="76A1E152" w:rsidR="003E4F99" w:rsidRPr="00FF6E12" w:rsidRDefault="003E4F99" w:rsidP="00A920EC">
      <w:pPr>
        <w:pStyle w:val="FootnoteText"/>
        <w:jc w:val="left"/>
      </w:pPr>
      <w:r w:rsidRPr="00FF6E12">
        <w:rPr>
          <w:rStyle w:val="FootnoteReference"/>
        </w:rPr>
        <w:footnoteRef/>
      </w:r>
      <w:r w:rsidRPr="00FF6E12">
        <w:t xml:space="preserve"> </w:t>
      </w:r>
      <w:r w:rsidR="00A72511" w:rsidRPr="00FF6E12">
        <w:t>DEC</w:t>
      </w:r>
      <w:r w:rsidR="00B653B9" w:rsidRPr="00FF6E12">
        <w:t xml:space="preserve">YP, </w:t>
      </w:r>
      <w:r w:rsidR="005E4A94" w:rsidRPr="00FF6E12">
        <w:rPr>
          <w:i/>
          <w:iCs/>
        </w:rPr>
        <w:t>Youth</w:t>
      </w:r>
      <w:r w:rsidR="00B653B9" w:rsidRPr="00FF6E12">
        <w:rPr>
          <w:i/>
          <w:iCs/>
        </w:rPr>
        <w:t xml:space="preserve"> Justice Blueprint</w:t>
      </w:r>
      <w:r w:rsidR="005E4A94" w:rsidRPr="00FF6E12">
        <w:rPr>
          <w:i/>
          <w:iCs/>
        </w:rPr>
        <w:t xml:space="preserve"> 2024</w:t>
      </w:r>
      <w:r w:rsidR="00A20EBC" w:rsidRPr="00FF6E12">
        <w:rPr>
          <w:i/>
          <w:iCs/>
        </w:rPr>
        <w:t>–</w:t>
      </w:r>
      <w:r w:rsidR="005E4A94" w:rsidRPr="00FF6E12">
        <w:rPr>
          <w:i/>
          <w:iCs/>
        </w:rPr>
        <w:t>2034</w:t>
      </w:r>
      <w:r w:rsidR="00A20EBC" w:rsidRPr="00FF6E12">
        <w:rPr>
          <w:i/>
          <w:iCs/>
        </w:rPr>
        <w:t xml:space="preserve"> </w:t>
      </w:r>
      <w:r w:rsidR="00A20EBC" w:rsidRPr="00FF6E12">
        <w:t>(2024) &lt;</w:t>
      </w:r>
      <w:r w:rsidR="00BD6141" w:rsidRPr="00FF6E12">
        <w:t>https://publicdocumentcentre.education.tas.gov.au/library/Shared%20Documents/Youth-Justice-Blueprint.pdf&gt;.</w:t>
      </w:r>
    </w:p>
  </w:footnote>
  <w:footnote w:id="37">
    <w:p w14:paraId="43C0372B" w14:textId="3CC9B5C6" w:rsidR="00814B11" w:rsidRPr="00FF6E12" w:rsidRDefault="00814B11" w:rsidP="00D817F8">
      <w:pPr>
        <w:pStyle w:val="FootnoteText"/>
      </w:pPr>
      <w:r w:rsidRPr="00FF6E12">
        <w:rPr>
          <w:rStyle w:val="FootnoteReference"/>
        </w:rPr>
        <w:footnoteRef/>
      </w:r>
      <w:r w:rsidRPr="00FF6E12">
        <w:t xml:space="preserve"> </w:t>
      </w:r>
      <w:r w:rsidR="007D1F96" w:rsidRPr="00FF6E12">
        <w:t>Ibid see</w:t>
      </w:r>
      <w:r w:rsidR="00C32C25" w:rsidRPr="00FF6E12">
        <w:t xml:space="preserve"> </w:t>
      </w:r>
      <w:r w:rsidRPr="00FF6E12">
        <w:t>Strategy 3.</w:t>
      </w:r>
    </w:p>
  </w:footnote>
  <w:footnote w:id="38">
    <w:p w14:paraId="1F253B03" w14:textId="131109DA" w:rsidR="006C244C" w:rsidRPr="00FF6E12" w:rsidRDefault="006C244C" w:rsidP="00A920EC">
      <w:pPr>
        <w:pStyle w:val="FootnoteText"/>
        <w:jc w:val="left"/>
      </w:pPr>
      <w:r w:rsidRPr="00FF6E12">
        <w:rPr>
          <w:rStyle w:val="FootnoteReference"/>
        </w:rPr>
        <w:footnoteRef/>
      </w:r>
      <w:r w:rsidR="007D1F96" w:rsidRPr="00FF6E12">
        <w:t xml:space="preserve"> </w:t>
      </w:r>
      <w:r w:rsidR="007C69B5" w:rsidRPr="00FF6E12">
        <w:t>Youth Justice Reform Taskforce, Department of Premier and Cabinet</w:t>
      </w:r>
      <w:r w:rsidR="00A17AE9" w:rsidRPr="00FF6E12">
        <w:t xml:space="preserve"> (‘</w:t>
      </w:r>
      <w:r w:rsidR="00A219A1" w:rsidRPr="00FF6E12">
        <w:t>YJRT</w:t>
      </w:r>
      <w:r w:rsidR="00A17AE9" w:rsidRPr="00FF6E12">
        <w:t>’)</w:t>
      </w:r>
      <w:r w:rsidR="007C69B5" w:rsidRPr="00FF6E12">
        <w:t xml:space="preserve">, </w:t>
      </w:r>
      <w:r w:rsidR="00C84FDC" w:rsidRPr="00FF6E12">
        <w:rPr>
          <w:i/>
          <w:iCs/>
        </w:rPr>
        <w:t xml:space="preserve">Youth Justice </w:t>
      </w:r>
      <w:r w:rsidR="00ED45F2" w:rsidRPr="00FF6E12">
        <w:rPr>
          <w:i/>
          <w:iCs/>
        </w:rPr>
        <w:t>Diversionary</w:t>
      </w:r>
      <w:r w:rsidR="00C84FDC" w:rsidRPr="00FF6E12">
        <w:rPr>
          <w:i/>
          <w:iCs/>
        </w:rPr>
        <w:t xml:space="preserve"> Services </w:t>
      </w:r>
      <w:r w:rsidR="007C69B5" w:rsidRPr="00FF6E12">
        <w:rPr>
          <w:i/>
          <w:iCs/>
        </w:rPr>
        <w:t xml:space="preserve">Framework: Ensuring Diversion from the Justice System is Early and Lasting </w:t>
      </w:r>
      <w:r w:rsidR="00ED45F2" w:rsidRPr="00FF6E12">
        <w:t>(2025)</w:t>
      </w:r>
      <w:r w:rsidR="00247827" w:rsidRPr="00FF6E12">
        <w:t xml:space="preserve"> </w:t>
      </w:r>
      <w:r w:rsidR="00247827" w:rsidRPr="00FF6E12">
        <w:rPr>
          <w:i/>
          <w:iCs/>
        </w:rPr>
        <w:t xml:space="preserve">(‘Framework’) </w:t>
      </w:r>
      <w:r w:rsidR="002135A7" w:rsidRPr="00FF6E12">
        <w:t xml:space="preserve">&lt;https://assets.keepingchildrensafe.tas.gov.au/media/documents/Youth_Justice_Diversionary_Services_Framework_accessible.pdf&gt; </w:t>
      </w:r>
      <w:r w:rsidRPr="00FF6E12">
        <w:t>30</w:t>
      </w:r>
      <w:r w:rsidR="00CF7D4E" w:rsidRPr="00FF6E12">
        <w:t>;</w:t>
      </w:r>
      <w:r w:rsidR="00A17AE9" w:rsidRPr="00FF6E12">
        <w:t xml:space="preserve"> </w:t>
      </w:r>
      <w:r w:rsidR="00DE35CE" w:rsidRPr="00FF6E12">
        <w:t>YJRT</w:t>
      </w:r>
      <w:r w:rsidR="00A17AE9" w:rsidRPr="00FF6E12">
        <w:t xml:space="preserve">, </w:t>
      </w:r>
      <w:r w:rsidR="00886C5B" w:rsidRPr="00FF6E12">
        <w:rPr>
          <w:i/>
          <w:iCs/>
        </w:rPr>
        <w:t xml:space="preserve">Youth Justice </w:t>
      </w:r>
      <w:r w:rsidR="006C57BB" w:rsidRPr="00FF6E12">
        <w:rPr>
          <w:i/>
          <w:iCs/>
        </w:rPr>
        <w:t>Diversionary</w:t>
      </w:r>
      <w:r w:rsidR="00886C5B" w:rsidRPr="00FF6E12">
        <w:rPr>
          <w:i/>
          <w:iCs/>
        </w:rPr>
        <w:t xml:space="preserve"> Services </w:t>
      </w:r>
      <w:r w:rsidR="006C57BB" w:rsidRPr="00FF6E12">
        <w:rPr>
          <w:i/>
          <w:iCs/>
        </w:rPr>
        <w:t>Framework</w:t>
      </w:r>
      <w:r w:rsidR="00886C5B" w:rsidRPr="00FF6E12">
        <w:rPr>
          <w:i/>
          <w:iCs/>
        </w:rPr>
        <w:t xml:space="preserve"> </w:t>
      </w:r>
      <w:r w:rsidR="009F0117" w:rsidRPr="00FF6E12">
        <w:rPr>
          <w:i/>
          <w:iCs/>
        </w:rPr>
        <w:t>Implementation</w:t>
      </w:r>
      <w:r w:rsidR="00886C5B" w:rsidRPr="00FF6E12">
        <w:rPr>
          <w:i/>
          <w:iCs/>
        </w:rPr>
        <w:t xml:space="preserve"> Plan 2025</w:t>
      </w:r>
      <w:r w:rsidR="0076490C" w:rsidRPr="00FF6E12">
        <w:rPr>
          <w:i/>
          <w:iCs/>
        </w:rPr>
        <w:t>–</w:t>
      </w:r>
      <w:r w:rsidR="00886C5B" w:rsidRPr="00FF6E12">
        <w:rPr>
          <w:i/>
          <w:iCs/>
        </w:rPr>
        <w:t xml:space="preserve">2027 </w:t>
      </w:r>
      <w:r w:rsidR="00886C5B" w:rsidRPr="00FF6E12">
        <w:t>(202</w:t>
      </w:r>
      <w:r w:rsidR="006C57BB" w:rsidRPr="00FF6E12">
        <w:t xml:space="preserve">5) </w:t>
      </w:r>
      <w:r w:rsidR="00247827" w:rsidRPr="00FF6E12">
        <w:t>(‘</w:t>
      </w:r>
      <w:r w:rsidR="00247827" w:rsidRPr="00A920EC">
        <w:rPr>
          <w:i/>
          <w:iCs/>
        </w:rPr>
        <w:t>Implementation Plan 2025–2027</w:t>
      </w:r>
      <w:r w:rsidR="00247827" w:rsidRPr="00FF6E12">
        <w:t>’)</w:t>
      </w:r>
      <w:r w:rsidR="00A52A61">
        <w:t>.</w:t>
      </w:r>
      <w:r w:rsidR="00247827" w:rsidRPr="00FF6E12">
        <w:t xml:space="preserve"> </w:t>
      </w:r>
      <w:r w:rsidR="006C57BB" w:rsidRPr="00FF6E12">
        <w:t>&lt;</w:t>
      </w:r>
      <w:r w:rsidR="00C969F6" w:rsidRPr="00FF6E12">
        <w:t>https://assets.keepingchildrensafe.tas.gov.au/media/documents/Diversionary_Services_Framework_Implementation_Plan_accessible.pdf&gt;.</w:t>
      </w:r>
    </w:p>
  </w:footnote>
  <w:footnote w:id="39">
    <w:p w14:paraId="0142FE4B" w14:textId="2A95C682" w:rsidR="00C84FDC" w:rsidRPr="00FF6E12" w:rsidRDefault="00C84FDC" w:rsidP="00A920EC">
      <w:pPr>
        <w:pStyle w:val="FootnoteText"/>
        <w:jc w:val="left"/>
      </w:pPr>
      <w:r w:rsidRPr="00FF6E12">
        <w:rPr>
          <w:rStyle w:val="FootnoteReference"/>
        </w:rPr>
        <w:footnoteRef/>
      </w:r>
      <w:r w:rsidRPr="00FF6E12">
        <w:t xml:space="preserve"> </w:t>
      </w:r>
      <w:r w:rsidR="00481B93" w:rsidRPr="00FF6E12">
        <w:t xml:space="preserve">See </w:t>
      </w:r>
      <w:r w:rsidR="00DE35CE" w:rsidRPr="00FF6E12">
        <w:t>YJRT</w:t>
      </w:r>
      <w:r w:rsidR="00247827" w:rsidRPr="00FF6E12">
        <w:t xml:space="preserve"> </w:t>
      </w:r>
      <w:r w:rsidR="00247827" w:rsidRPr="00A920EC">
        <w:rPr>
          <w:i/>
          <w:iCs/>
        </w:rPr>
        <w:t>Framework</w:t>
      </w:r>
      <w:r w:rsidR="00DE35CE" w:rsidRPr="00FF6E12">
        <w:t xml:space="preserve"> </w:t>
      </w:r>
      <w:r w:rsidR="0076490C" w:rsidRPr="00FF6E12">
        <w:t xml:space="preserve">(n </w:t>
      </w:r>
      <w:r w:rsidR="0076490C" w:rsidRPr="00FF6E12">
        <w:fldChar w:fldCharType="begin"/>
      </w:r>
      <w:r w:rsidR="0076490C" w:rsidRPr="00FF6E12">
        <w:instrText xml:space="preserve"> NOTEREF _Ref217903737 \h </w:instrText>
      </w:r>
      <w:r w:rsidR="0076490C" w:rsidRPr="00FF6E12">
        <w:fldChar w:fldCharType="separate"/>
      </w:r>
      <w:r w:rsidR="007D7830">
        <w:t>37</w:t>
      </w:r>
      <w:r w:rsidR="0076490C" w:rsidRPr="00FF6E12">
        <w:fldChar w:fldCharType="end"/>
      </w:r>
      <w:r w:rsidR="0076490C" w:rsidRPr="00FF6E12">
        <w:t xml:space="preserve">) </w:t>
      </w:r>
      <w:r w:rsidRPr="00FF6E12">
        <w:t>45.</w:t>
      </w:r>
      <w:r w:rsidR="003473E0" w:rsidRPr="00FF6E12">
        <w:t xml:space="preserve"> See also</w:t>
      </w:r>
      <w:r w:rsidR="003B1B9D" w:rsidRPr="00FF6E12">
        <w:t xml:space="preserve"> </w:t>
      </w:r>
      <w:r w:rsidR="00DE35CE" w:rsidRPr="00FF6E12">
        <w:t>YJRT</w:t>
      </w:r>
      <w:r w:rsidR="003B1B9D" w:rsidRPr="00FF6E12">
        <w:t xml:space="preserve">, </w:t>
      </w:r>
      <w:r w:rsidR="001F4E3D" w:rsidRPr="00FF6E12">
        <w:rPr>
          <w:i/>
          <w:iCs/>
        </w:rPr>
        <w:t>Youth Justice Reform Taskforce Action Plan Report 2024</w:t>
      </w:r>
      <w:r w:rsidR="0076490C" w:rsidRPr="00FF6E12">
        <w:rPr>
          <w:i/>
          <w:iCs/>
        </w:rPr>
        <w:t>–</w:t>
      </w:r>
      <w:r w:rsidR="001F4E3D" w:rsidRPr="00FF6E12">
        <w:rPr>
          <w:i/>
          <w:iCs/>
        </w:rPr>
        <w:t xml:space="preserve">25 </w:t>
      </w:r>
      <w:r w:rsidR="00247827" w:rsidRPr="00FF6E12">
        <w:rPr>
          <w:i/>
          <w:iCs/>
        </w:rPr>
        <w:t xml:space="preserve"> </w:t>
      </w:r>
      <w:r w:rsidR="001F4E3D" w:rsidRPr="00FF6E12">
        <w:t xml:space="preserve">(2025) </w:t>
      </w:r>
      <w:r w:rsidR="00247827" w:rsidRPr="00FF6E12">
        <w:rPr>
          <w:i/>
          <w:iCs/>
        </w:rPr>
        <w:t xml:space="preserve">(‘Action Plan Report 2024–25’) </w:t>
      </w:r>
      <w:r w:rsidR="0076490C" w:rsidRPr="00FF6E12">
        <w:t>&lt;</w:t>
      </w:r>
      <w:r w:rsidR="0076490C" w:rsidRPr="00A920EC">
        <w:t>https://assets.keepingchildrensafe.tas.gov.au/media/documents/Youth_Justice_Reform_Taskforce_Action_Plan_2024-25_Report.PDF</w:t>
      </w:r>
      <w:r w:rsidR="0076490C" w:rsidRPr="00FF6E12">
        <w:t>&gt;</w:t>
      </w:r>
      <w:r w:rsidR="00EB5724" w:rsidRPr="00FF6E12">
        <w:t xml:space="preserve">; </w:t>
      </w:r>
      <w:r w:rsidR="00DE35CE" w:rsidRPr="00FF6E12">
        <w:t>YJRT</w:t>
      </w:r>
      <w:r w:rsidR="00EB5724" w:rsidRPr="00FF6E12">
        <w:t xml:space="preserve">, </w:t>
      </w:r>
      <w:r w:rsidR="00EB5724" w:rsidRPr="00FF6E12">
        <w:rPr>
          <w:i/>
          <w:iCs/>
        </w:rPr>
        <w:t xml:space="preserve">Youth Justice Model of Care </w:t>
      </w:r>
      <w:r w:rsidR="00EB5724" w:rsidRPr="00FF6E12">
        <w:t>(2024)</w:t>
      </w:r>
      <w:r w:rsidR="00247827" w:rsidRPr="00FF6E12">
        <w:t xml:space="preserve"> (‘</w:t>
      </w:r>
      <w:r w:rsidR="00247827" w:rsidRPr="00A920EC">
        <w:rPr>
          <w:i/>
          <w:iCs/>
        </w:rPr>
        <w:t>Model of Care</w:t>
      </w:r>
      <w:r w:rsidR="00247827" w:rsidRPr="00FF6E12">
        <w:t>’)</w:t>
      </w:r>
      <w:r w:rsidR="00EB5724" w:rsidRPr="00FF6E12">
        <w:t xml:space="preserve"> &lt;</w:t>
      </w:r>
      <w:r w:rsidR="0076490C" w:rsidRPr="00A920EC">
        <w:t>https://assets.keepingchildrensafe.tas.gov.au/media/documents/Youth_Justice_Model_of_Care.pdf</w:t>
      </w:r>
      <w:r w:rsidR="00EB5724" w:rsidRPr="00FF6E12">
        <w:t>&gt;.</w:t>
      </w:r>
    </w:p>
  </w:footnote>
  <w:footnote w:id="40">
    <w:p w14:paraId="11048CEB" w14:textId="7AAC48F6" w:rsidR="00DF0CDF" w:rsidRPr="00FF6E12" w:rsidRDefault="00DF0CDF" w:rsidP="00D817F8">
      <w:pPr>
        <w:pStyle w:val="FootnoteText"/>
      </w:pPr>
      <w:r w:rsidRPr="00FF6E12">
        <w:rPr>
          <w:rStyle w:val="FootnoteReference"/>
        </w:rPr>
        <w:footnoteRef/>
      </w:r>
      <w:r w:rsidRPr="00FF6E12">
        <w:t xml:space="preserve"> </w:t>
      </w:r>
      <w:r w:rsidR="001F09F5" w:rsidRPr="00FF6E12">
        <w:t xml:space="preserve">Commonwealth of </w:t>
      </w:r>
      <w:r w:rsidR="0091119D" w:rsidRPr="00FF6E12">
        <w:t>Australia</w:t>
      </w:r>
      <w:r w:rsidR="00945737" w:rsidRPr="00FF6E12">
        <w:t xml:space="preserve"> (n </w:t>
      </w:r>
      <w:r w:rsidR="00945737" w:rsidRPr="00FF6E12">
        <w:fldChar w:fldCharType="begin"/>
      </w:r>
      <w:r w:rsidR="00945737" w:rsidRPr="00FF6E12">
        <w:instrText xml:space="preserve"> NOTEREF _Ref217905183 \h </w:instrText>
      </w:r>
      <w:r w:rsidR="00945737" w:rsidRPr="00FF6E12">
        <w:fldChar w:fldCharType="separate"/>
      </w:r>
      <w:r w:rsidR="007D7830">
        <w:t>11</w:t>
      </w:r>
      <w:r w:rsidR="00945737" w:rsidRPr="00FF6E12">
        <w:fldChar w:fldCharType="end"/>
      </w:r>
      <w:r w:rsidR="00945737" w:rsidRPr="00FF6E12">
        <w:t>)</w:t>
      </w:r>
      <w:r w:rsidR="00DE702C" w:rsidRPr="00FF6E12">
        <w:t>.</w:t>
      </w:r>
    </w:p>
  </w:footnote>
  <w:footnote w:id="41">
    <w:p w14:paraId="193CA71F" w14:textId="7663083A" w:rsidR="00F35B9B" w:rsidRPr="00FF6E12" w:rsidRDefault="00F35B9B" w:rsidP="00D817F8">
      <w:pPr>
        <w:pStyle w:val="FootnoteText"/>
      </w:pPr>
      <w:r w:rsidRPr="00FF6E12">
        <w:rPr>
          <w:rStyle w:val="FootnoteReference"/>
        </w:rPr>
        <w:footnoteRef/>
      </w:r>
      <w:r w:rsidRPr="00FF6E12">
        <w:t xml:space="preserve"> </w:t>
      </w:r>
      <w:r w:rsidR="00DE35CE" w:rsidRPr="00FF6E12">
        <w:t>YJRT</w:t>
      </w:r>
      <w:r w:rsidR="003B1B9D" w:rsidRPr="00FF6E12">
        <w:t xml:space="preserve"> </w:t>
      </w:r>
      <w:r w:rsidR="00247827" w:rsidRPr="00FF6E12">
        <w:rPr>
          <w:i/>
          <w:iCs/>
        </w:rPr>
        <w:t>Framework</w:t>
      </w:r>
      <w:r w:rsidR="00247827" w:rsidRPr="00FF6E12">
        <w:t xml:space="preserve"> </w:t>
      </w:r>
      <w:r w:rsidR="00945737" w:rsidRPr="00FF6E12">
        <w:t xml:space="preserve">(n </w:t>
      </w:r>
      <w:r w:rsidR="00945737" w:rsidRPr="00FF6E12">
        <w:fldChar w:fldCharType="begin"/>
      </w:r>
      <w:r w:rsidR="00945737" w:rsidRPr="00FF6E12">
        <w:instrText xml:space="preserve"> NOTEREF _Ref217903737 \h </w:instrText>
      </w:r>
      <w:r w:rsidR="00945737" w:rsidRPr="00FF6E12">
        <w:fldChar w:fldCharType="separate"/>
      </w:r>
      <w:r w:rsidR="007D7830">
        <w:t>37</w:t>
      </w:r>
      <w:r w:rsidR="00945737" w:rsidRPr="00FF6E12">
        <w:fldChar w:fldCharType="end"/>
      </w:r>
      <w:r w:rsidR="00945737" w:rsidRPr="00FF6E12">
        <w:t xml:space="preserve">) </w:t>
      </w:r>
      <w:r w:rsidR="003324B7" w:rsidRPr="00FF6E12">
        <w:t>35</w:t>
      </w:r>
      <w:r w:rsidR="00DE702C" w:rsidRPr="00FF6E12">
        <w:t>, 43–45.</w:t>
      </w:r>
      <w:r w:rsidR="00EB5724" w:rsidRPr="00FF6E12">
        <w:t xml:space="preserve"> See also </w:t>
      </w:r>
      <w:r w:rsidR="00DE35CE" w:rsidRPr="00FF6E12">
        <w:t>YJRT</w:t>
      </w:r>
      <w:r w:rsidR="00EB5724" w:rsidRPr="00FF6E12">
        <w:rPr>
          <w:i/>
          <w:iCs/>
        </w:rPr>
        <w:t xml:space="preserve"> </w:t>
      </w:r>
      <w:r w:rsidR="00247827" w:rsidRPr="00FF6E12">
        <w:rPr>
          <w:i/>
          <w:iCs/>
        </w:rPr>
        <w:t xml:space="preserve">Model of Care </w:t>
      </w:r>
      <w:r w:rsidR="00EB5724" w:rsidRPr="00FF6E12">
        <w:t>(</w:t>
      </w:r>
      <w:r w:rsidR="00945737" w:rsidRPr="00FF6E12">
        <w:t xml:space="preserve">n </w:t>
      </w:r>
      <w:r w:rsidR="00945737" w:rsidRPr="00FF6E12">
        <w:fldChar w:fldCharType="begin"/>
      </w:r>
      <w:r w:rsidR="00945737" w:rsidRPr="00FF6E12">
        <w:instrText xml:space="preserve"> NOTEREF _Ref217905264 \h </w:instrText>
      </w:r>
      <w:r w:rsidR="00945737" w:rsidRPr="00FF6E12">
        <w:fldChar w:fldCharType="separate"/>
      </w:r>
      <w:r w:rsidR="007D7830">
        <w:t>38</w:t>
      </w:r>
      <w:r w:rsidR="00945737" w:rsidRPr="00FF6E12">
        <w:fldChar w:fldCharType="end"/>
      </w:r>
      <w:r w:rsidR="00945737" w:rsidRPr="00FF6E12">
        <w:t>).</w:t>
      </w:r>
    </w:p>
  </w:footnote>
  <w:footnote w:id="42">
    <w:p w14:paraId="620CA800" w14:textId="126BC8B3" w:rsidR="009D212C" w:rsidRPr="00FF6E12" w:rsidRDefault="009D212C" w:rsidP="00D817F8">
      <w:pPr>
        <w:pStyle w:val="FootnoteText"/>
      </w:pPr>
      <w:r w:rsidRPr="00FF6E12">
        <w:rPr>
          <w:rStyle w:val="FootnoteReference"/>
        </w:rPr>
        <w:footnoteRef/>
      </w:r>
      <w:r w:rsidRPr="00FF6E12">
        <w:t xml:space="preserve"> </w:t>
      </w:r>
      <w:r w:rsidR="00DE35CE" w:rsidRPr="00FF6E12">
        <w:t>YJRT</w:t>
      </w:r>
      <w:r w:rsidR="00247827" w:rsidRPr="00FF6E12">
        <w:t xml:space="preserve"> </w:t>
      </w:r>
      <w:r w:rsidR="00247827" w:rsidRPr="00FF6E12">
        <w:rPr>
          <w:i/>
          <w:iCs/>
        </w:rPr>
        <w:t>Framework</w:t>
      </w:r>
      <w:r w:rsidR="003B1B9D" w:rsidRPr="00FF6E12">
        <w:rPr>
          <w:i/>
          <w:iCs/>
        </w:rPr>
        <w:t xml:space="preserve"> </w:t>
      </w:r>
      <w:r w:rsidR="00945737" w:rsidRPr="00FF6E12">
        <w:t xml:space="preserve">(n </w:t>
      </w:r>
      <w:r w:rsidR="00945737" w:rsidRPr="00FF6E12">
        <w:fldChar w:fldCharType="begin"/>
      </w:r>
      <w:r w:rsidR="00945737" w:rsidRPr="00FF6E12">
        <w:instrText xml:space="preserve"> NOTEREF _Ref217903737 \h </w:instrText>
      </w:r>
      <w:r w:rsidR="00945737" w:rsidRPr="00FF6E12">
        <w:fldChar w:fldCharType="separate"/>
      </w:r>
      <w:r w:rsidR="007D7830">
        <w:t>37</w:t>
      </w:r>
      <w:r w:rsidR="00945737" w:rsidRPr="00FF6E12">
        <w:fldChar w:fldCharType="end"/>
      </w:r>
      <w:r w:rsidR="00945737" w:rsidRPr="00FF6E12">
        <w:t xml:space="preserve">) </w:t>
      </w:r>
      <w:r w:rsidRPr="00FF6E12">
        <w:t>43.</w:t>
      </w:r>
      <w:r w:rsidR="00EB5724" w:rsidRPr="00FF6E12">
        <w:t xml:space="preserve"> See also </w:t>
      </w:r>
      <w:r w:rsidR="00DE35CE" w:rsidRPr="00FF6E12">
        <w:t>YJRT</w:t>
      </w:r>
      <w:r w:rsidR="00945737" w:rsidRPr="00FF6E12">
        <w:rPr>
          <w:i/>
          <w:iCs/>
        </w:rPr>
        <w:t xml:space="preserve"> </w:t>
      </w:r>
      <w:r w:rsidR="00247827" w:rsidRPr="00FF6E12">
        <w:rPr>
          <w:i/>
          <w:iCs/>
        </w:rPr>
        <w:t xml:space="preserve">Model of Care </w:t>
      </w:r>
      <w:r w:rsidR="00945737" w:rsidRPr="00FF6E12">
        <w:t xml:space="preserve">(n </w:t>
      </w:r>
      <w:r w:rsidR="00945737" w:rsidRPr="00FF6E12">
        <w:fldChar w:fldCharType="begin"/>
      </w:r>
      <w:r w:rsidR="00945737" w:rsidRPr="00FF6E12">
        <w:instrText xml:space="preserve"> NOTEREF _Ref217905264 \h </w:instrText>
      </w:r>
      <w:r w:rsidR="00945737" w:rsidRPr="00FF6E12">
        <w:fldChar w:fldCharType="separate"/>
      </w:r>
      <w:r w:rsidR="007D7830">
        <w:t>38</w:t>
      </w:r>
      <w:r w:rsidR="00945737" w:rsidRPr="00FF6E12">
        <w:fldChar w:fldCharType="end"/>
      </w:r>
      <w:r w:rsidR="00945737" w:rsidRPr="00FF6E12">
        <w:t>)</w:t>
      </w:r>
      <w:r w:rsidR="00EB5724" w:rsidRPr="00FF6E12">
        <w:t>.</w:t>
      </w:r>
    </w:p>
  </w:footnote>
  <w:footnote w:id="43">
    <w:p w14:paraId="3EFED6A2" w14:textId="174EC08C" w:rsidR="00995451" w:rsidRPr="00FF6E12" w:rsidRDefault="00995451" w:rsidP="00D817F8">
      <w:pPr>
        <w:pStyle w:val="FootnoteText"/>
      </w:pPr>
      <w:r w:rsidRPr="00FF6E12">
        <w:rPr>
          <w:rStyle w:val="FootnoteReference"/>
        </w:rPr>
        <w:footnoteRef/>
      </w:r>
      <w:r w:rsidRPr="00FF6E12">
        <w:t xml:space="preserve"> </w:t>
      </w:r>
      <w:r w:rsidR="00945737" w:rsidRPr="00FF6E12">
        <w:t xml:space="preserve">Tasmanian Government (n </w:t>
      </w:r>
      <w:r w:rsidR="00945737" w:rsidRPr="00FF6E12">
        <w:fldChar w:fldCharType="begin"/>
      </w:r>
      <w:r w:rsidR="00945737" w:rsidRPr="00FF6E12">
        <w:instrText xml:space="preserve"> NOTEREF _Ref217905183 \h </w:instrText>
      </w:r>
      <w:r w:rsidR="00945737" w:rsidRPr="00FF6E12">
        <w:fldChar w:fldCharType="separate"/>
      </w:r>
      <w:r w:rsidR="007D7830">
        <w:t>11</w:t>
      </w:r>
      <w:r w:rsidR="00945737" w:rsidRPr="00FF6E12">
        <w:fldChar w:fldCharType="end"/>
      </w:r>
      <w:r w:rsidR="00945737" w:rsidRPr="00FF6E12">
        <w:t>).</w:t>
      </w:r>
      <w:r w:rsidRPr="00FF6E12">
        <w:t xml:space="preserve"> </w:t>
      </w:r>
      <w:r w:rsidR="00C74CC2" w:rsidRPr="00FF6E12">
        <w:t xml:space="preserve">See also </w:t>
      </w:r>
      <w:r w:rsidR="009433D3" w:rsidRPr="00FF6E12">
        <w:t>Department</w:t>
      </w:r>
      <w:r w:rsidR="0009464E" w:rsidRPr="00FF6E12">
        <w:t xml:space="preserve"> of </w:t>
      </w:r>
      <w:r w:rsidR="009433D3" w:rsidRPr="00FF6E12">
        <w:t>Communities</w:t>
      </w:r>
      <w:r w:rsidR="0009464E" w:rsidRPr="00FF6E12">
        <w:t xml:space="preserve">, </w:t>
      </w:r>
      <w:r w:rsidR="0009464E" w:rsidRPr="00FF6E12">
        <w:rPr>
          <w:i/>
          <w:iCs/>
        </w:rPr>
        <w:t xml:space="preserve">Reforming Tasmania’s Youth Justice System </w:t>
      </w:r>
      <w:r w:rsidR="009433D3" w:rsidRPr="00FF6E12">
        <w:rPr>
          <w:i/>
          <w:iCs/>
        </w:rPr>
        <w:t>Discussion</w:t>
      </w:r>
      <w:r w:rsidR="0009464E" w:rsidRPr="00FF6E12">
        <w:rPr>
          <w:i/>
          <w:iCs/>
        </w:rPr>
        <w:t xml:space="preserve"> </w:t>
      </w:r>
      <w:r w:rsidR="009433D3" w:rsidRPr="00FF6E12">
        <w:rPr>
          <w:i/>
          <w:iCs/>
        </w:rPr>
        <w:t>Paper</w:t>
      </w:r>
      <w:r w:rsidR="0009464E" w:rsidRPr="00FF6E12">
        <w:rPr>
          <w:i/>
          <w:iCs/>
        </w:rPr>
        <w:t xml:space="preserve"> </w:t>
      </w:r>
      <w:r w:rsidR="009433D3" w:rsidRPr="00FF6E12">
        <w:t>(2021).</w:t>
      </w:r>
    </w:p>
  </w:footnote>
  <w:footnote w:id="44">
    <w:p w14:paraId="0F12FBA2" w14:textId="4BFF95F9" w:rsidR="00593E9E" w:rsidRPr="00FF6E12" w:rsidRDefault="00593E9E" w:rsidP="00D817F8">
      <w:pPr>
        <w:pStyle w:val="FootnoteText"/>
      </w:pPr>
      <w:r w:rsidRPr="00FF6E12">
        <w:rPr>
          <w:rStyle w:val="FootnoteReference"/>
        </w:rPr>
        <w:footnoteRef/>
      </w:r>
      <w:r w:rsidRPr="00FF6E12">
        <w:t xml:space="preserve"> </w:t>
      </w:r>
      <w:r w:rsidR="00CE3C75" w:rsidRPr="00FF6E12">
        <w:t xml:space="preserve">National Centre for Action on Child Abuse, </w:t>
      </w:r>
      <w:r w:rsidR="00CE3C75" w:rsidRPr="00FF6E12">
        <w:rPr>
          <w:i/>
          <w:iCs/>
        </w:rPr>
        <w:t xml:space="preserve">The Child Sexual Abuse Language Guide: Terms and Definitions preferred by </w:t>
      </w:r>
      <w:r w:rsidR="003C2332" w:rsidRPr="00FF6E12">
        <w:rPr>
          <w:i/>
          <w:iCs/>
        </w:rPr>
        <w:t>victim-survivors</w:t>
      </w:r>
      <w:r w:rsidR="00CE3C75" w:rsidRPr="00FF6E12">
        <w:rPr>
          <w:i/>
          <w:iCs/>
        </w:rPr>
        <w:t xml:space="preserve"> of child sexual abuse </w:t>
      </w:r>
      <w:r w:rsidR="00CE3C75" w:rsidRPr="00FF6E12">
        <w:t>(2025)</w:t>
      </w:r>
      <w:r w:rsidR="006612D3" w:rsidRPr="00FF6E12">
        <w:t>.</w:t>
      </w:r>
      <w:r w:rsidR="00CE3C75" w:rsidRPr="00FF6E12">
        <w:rPr>
          <w:i/>
          <w:iCs/>
        </w:rPr>
        <w:t xml:space="preserve"> </w:t>
      </w:r>
      <w:r w:rsidRPr="00FF6E12">
        <w:t xml:space="preserve">It is </w:t>
      </w:r>
      <w:r w:rsidR="00380964" w:rsidRPr="00FF6E12">
        <w:t xml:space="preserve">acknowledged </w:t>
      </w:r>
      <w:r w:rsidRPr="00FF6E12">
        <w:t xml:space="preserve">that </w:t>
      </w:r>
      <w:r w:rsidR="00F3682A" w:rsidRPr="00FF6E12">
        <w:t>people</w:t>
      </w:r>
      <w:r w:rsidRPr="00FF6E12">
        <w:t xml:space="preserve"> who have sexually abused </w:t>
      </w:r>
      <w:r w:rsidR="00CE64A5" w:rsidRPr="00FF6E12">
        <w:t>will have a preference as to how they are referred to</w:t>
      </w:r>
      <w:r w:rsidR="00945737" w:rsidRPr="00FF6E12">
        <w:t>,</w:t>
      </w:r>
      <w:r w:rsidR="00380964" w:rsidRPr="00FF6E12">
        <w:t xml:space="preserve"> including </w:t>
      </w:r>
      <w:r w:rsidR="006D5E6E" w:rsidRPr="00FF6E12">
        <w:t xml:space="preserve">as </w:t>
      </w:r>
      <w:r w:rsidR="00495460" w:rsidRPr="00FF6E12">
        <w:t>victim</w:t>
      </w:r>
      <w:r w:rsidR="006D5E6E" w:rsidRPr="00FF6E12">
        <w:t xml:space="preserve"> or a victim-</w:t>
      </w:r>
      <w:r w:rsidR="00495460" w:rsidRPr="00FF6E12">
        <w:t>survivor</w:t>
      </w:r>
      <w:r w:rsidR="006D5E6E" w:rsidRPr="00FF6E12">
        <w:t xml:space="preserve">. </w:t>
      </w:r>
      <w:r w:rsidR="003A56BB" w:rsidRPr="00FF6E12">
        <w:t xml:space="preserve">In </w:t>
      </w:r>
      <w:r w:rsidR="00495460" w:rsidRPr="00FF6E12">
        <w:t>recognition</w:t>
      </w:r>
      <w:r w:rsidR="003A56BB" w:rsidRPr="00FF6E12">
        <w:t xml:space="preserve"> of this, </w:t>
      </w:r>
      <w:r w:rsidR="00EB0850" w:rsidRPr="00FF6E12">
        <w:t>the term ‘</w:t>
      </w:r>
      <w:r w:rsidR="00311FEE" w:rsidRPr="00FF6E12">
        <w:t xml:space="preserve">victims and </w:t>
      </w:r>
      <w:r w:rsidR="003C2332" w:rsidRPr="00FF6E12">
        <w:t>survivors</w:t>
      </w:r>
      <w:r w:rsidR="00EB0850" w:rsidRPr="00FF6E12">
        <w:t xml:space="preserve">’ has been </w:t>
      </w:r>
      <w:r w:rsidR="00425DFD" w:rsidRPr="00FF6E12">
        <w:t xml:space="preserve">proposed </w:t>
      </w:r>
      <w:r w:rsidR="00495460" w:rsidRPr="00FF6E12">
        <w:t>to recognise these different preferences</w:t>
      </w:r>
      <w:r w:rsidR="0090420B" w:rsidRPr="00FF6E12">
        <w:t xml:space="preserve">, see </w:t>
      </w:r>
      <w:r w:rsidR="002D5857" w:rsidRPr="00FF6E12">
        <w:t>&lt;</w:t>
      </w:r>
      <w:r w:rsidR="00110EF1" w:rsidRPr="00A920EC">
        <w:t>https://nationalcentre.org.au/wp-content/uploads/2025/08/1.-NC-Language-Guide_FINAL.pdf</w:t>
      </w:r>
      <w:r w:rsidR="002D5857" w:rsidRPr="00FF6E12">
        <w:t>&gt;</w:t>
      </w:r>
      <w:r w:rsidR="003D5C08" w:rsidRPr="00FF6E12">
        <w:t xml:space="preserve"> </w:t>
      </w:r>
      <w:r w:rsidR="00952A69" w:rsidRPr="00FF6E12">
        <w:t>19.</w:t>
      </w:r>
    </w:p>
  </w:footnote>
  <w:footnote w:id="45">
    <w:p w14:paraId="7AC3B145" w14:textId="370CA455" w:rsidR="00BF19E2" w:rsidRPr="00FF6E12" w:rsidRDefault="00BF19E2" w:rsidP="00D817F8">
      <w:pPr>
        <w:pStyle w:val="FootnoteText"/>
      </w:pPr>
      <w:r w:rsidRPr="00FF6E12">
        <w:rPr>
          <w:rStyle w:val="FootnoteReference"/>
        </w:rPr>
        <w:footnoteRef/>
      </w:r>
      <w:r w:rsidRPr="00FF6E12">
        <w:t xml:space="preserve"> See</w:t>
      </w:r>
      <w:r w:rsidR="00945737" w:rsidRPr="00FF6E12">
        <w:t>,</w:t>
      </w:r>
      <w:r w:rsidRPr="00FF6E12">
        <w:t xml:space="preserve"> for example, Commonwealth of Australia</w:t>
      </w:r>
      <w:r w:rsidR="00945737" w:rsidRPr="00FF6E12">
        <w:t xml:space="preserve"> (n </w:t>
      </w:r>
      <w:r w:rsidR="00945737" w:rsidRPr="00FF6E12">
        <w:fldChar w:fldCharType="begin"/>
      </w:r>
      <w:r w:rsidR="00945737" w:rsidRPr="00FF6E12">
        <w:instrText xml:space="preserve"> NOTEREF _Ref217905183 \h </w:instrText>
      </w:r>
      <w:r w:rsidR="00945737" w:rsidRPr="00FF6E12">
        <w:fldChar w:fldCharType="separate"/>
      </w:r>
      <w:r w:rsidR="007D7830">
        <w:t>11</w:t>
      </w:r>
      <w:r w:rsidR="00945737" w:rsidRPr="00FF6E12">
        <w:fldChar w:fldCharType="end"/>
      </w:r>
      <w:r w:rsidR="00945737" w:rsidRPr="00FF6E12">
        <w:t>)</w:t>
      </w:r>
      <w:r w:rsidRPr="00FF6E12">
        <w:t xml:space="preserve"> 19, which also includes quaternary prevention of evaluation of tertiary interventions, 43. See also </w:t>
      </w:r>
      <w:r w:rsidR="00945737" w:rsidRPr="00FF6E12">
        <w:t>DECYP</w:t>
      </w:r>
      <w:r w:rsidR="00110EF1" w:rsidRPr="00FF6E12">
        <w:t xml:space="preserve"> (n </w:t>
      </w:r>
      <w:r w:rsidR="00110EF1" w:rsidRPr="00FF6E12">
        <w:fldChar w:fldCharType="begin"/>
      </w:r>
      <w:r w:rsidR="00110EF1" w:rsidRPr="00FF6E12">
        <w:instrText xml:space="preserve"> NOTEREF _Ref217907385 \h </w:instrText>
      </w:r>
      <w:r w:rsidR="00110EF1" w:rsidRPr="00FF6E12">
        <w:fldChar w:fldCharType="separate"/>
      </w:r>
      <w:r w:rsidR="007D7830">
        <w:t>35</w:t>
      </w:r>
      <w:r w:rsidR="00110EF1" w:rsidRPr="00FF6E12">
        <w:fldChar w:fldCharType="end"/>
      </w:r>
      <w:r w:rsidR="00110EF1" w:rsidRPr="00FF6E12">
        <w:t>).</w:t>
      </w:r>
    </w:p>
  </w:footnote>
  <w:footnote w:id="46">
    <w:p w14:paraId="7A1421A0" w14:textId="2BD169E4" w:rsidR="008D0545" w:rsidRPr="00FF6E12" w:rsidRDefault="008D0545" w:rsidP="00D817F8">
      <w:pPr>
        <w:pStyle w:val="FootnoteText"/>
      </w:pPr>
      <w:r w:rsidRPr="00FF6E12">
        <w:rPr>
          <w:rStyle w:val="FootnoteReference"/>
        </w:rPr>
        <w:footnoteRef/>
      </w:r>
      <w:r w:rsidRPr="00FF6E12">
        <w:t xml:space="preserve"> D</w:t>
      </w:r>
      <w:r w:rsidR="00945737" w:rsidRPr="00FF6E12">
        <w:t>anielle</w:t>
      </w:r>
      <w:r w:rsidRPr="00FF6E12">
        <w:t xml:space="preserve"> Harris et al, ‘First, do no harm: Critically </w:t>
      </w:r>
      <w:r w:rsidR="00727335" w:rsidRPr="00FF6E12">
        <w:t>r</w:t>
      </w:r>
      <w:r w:rsidRPr="00FF6E12">
        <w:t xml:space="preserve">evising </w:t>
      </w:r>
      <w:r w:rsidR="00727335" w:rsidRPr="00FF6E12">
        <w:t>c</w:t>
      </w:r>
      <w:r w:rsidRPr="00FF6E12">
        <w:t xml:space="preserve">ontemporary </w:t>
      </w:r>
      <w:r w:rsidR="00727335" w:rsidRPr="00FF6E12">
        <w:t>a</w:t>
      </w:r>
      <w:r w:rsidRPr="00FF6E12">
        <w:t xml:space="preserve">pproaches to </w:t>
      </w:r>
      <w:r w:rsidR="00727335" w:rsidRPr="00FF6E12">
        <w:t>c</w:t>
      </w:r>
      <w:r w:rsidRPr="00FF6E12">
        <w:t xml:space="preserve">hild </w:t>
      </w:r>
      <w:r w:rsidR="00727335" w:rsidRPr="00FF6E12">
        <w:t>s</w:t>
      </w:r>
      <w:r w:rsidRPr="00FF6E12">
        <w:t xml:space="preserve">exual </w:t>
      </w:r>
      <w:r w:rsidR="00727335" w:rsidRPr="00FF6E12">
        <w:t>a</w:t>
      </w:r>
      <w:r w:rsidRPr="00FF6E12">
        <w:t xml:space="preserve">buse </w:t>
      </w:r>
      <w:r w:rsidR="00727335" w:rsidRPr="00FF6E12">
        <w:t>p</w:t>
      </w:r>
      <w:r w:rsidRPr="00FF6E12">
        <w:t xml:space="preserve">revention’ (2024) 153 </w:t>
      </w:r>
      <w:r w:rsidRPr="00FF6E12">
        <w:rPr>
          <w:i/>
          <w:iCs/>
        </w:rPr>
        <w:t xml:space="preserve">Child Abuse and Neglect, </w:t>
      </w:r>
      <w:r w:rsidR="00727335" w:rsidRPr="00A920EC">
        <w:t xml:space="preserve">153, 106859 </w:t>
      </w:r>
      <w:r w:rsidR="00727335" w:rsidRPr="00FF6E12">
        <w:t>&lt;</w:t>
      </w:r>
      <w:r w:rsidR="00727335" w:rsidRPr="00A920EC">
        <w:t>https://doi.org/10.1016/j.chiabu.2024.106859</w:t>
      </w:r>
      <w:r w:rsidRPr="00FF6E12">
        <w:t>2</w:t>
      </w:r>
      <w:r w:rsidR="00727335" w:rsidRPr="00FF6E12">
        <w:t>&gt;</w:t>
      </w:r>
      <w:r w:rsidRPr="00FF6E12">
        <w:t>.</w:t>
      </w:r>
    </w:p>
  </w:footnote>
  <w:footnote w:id="47">
    <w:p w14:paraId="6161A1A0" w14:textId="27D2DC60" w:rsidR="00005B70" w:rsidRPr="00FF6E12" w:rsidRDefault="00005B70" w:rsidP="00D817F8">
      <w:pPr>
        <w:pStyle w:val="FootnoteText"/>
      </w:pPr>
      <w:r w:rsidRPr="00FF6E12">
        <w:rPr>
          <w:rStyle w:val="FootnoteReference"/>
        </w:rPr>
        <w:footnoteRef/>
      </w:r>
      <w:r w:rsidRPr="00FF6E12">
        <w:t xml:space="preserve"> See Tasmania</w:t>
      </w:r>
      <w:r w:rsidR="00945737" w:rsidRPr="00FF6E12">
        <w:t>n</w:t>
      </w:r>
      <w:r w:rsidRPr="00FF6E12">
        <w:t xml:space="preserve"> Government</w:t>
      </w:r>
      <w:r w:rsidR="00945737" w:rsidRPr="00FF6E12">
        <w:t xml:space="preserve"> (n </w:t>
      </w:r>
      <w:r w:rsidR="00945737" w:rsidRPr="00FF6E12">
        <w:fldChar w:fldCharType="begin"/>
      </w:r>
      <w:r w:rsidR="00945737" w:rsidRPr="00FF6E12">
        <w:instrText xml:space="preserve"> NOTEREF _Ref217905183 \h </w:instrText>
      </w:r>
      <w:r w:rsidR="00945737" w:rsidRPr="00FF6E12">
        <w:fldChar w:fldCharType="separate"/>
      </w:r>
      <w:r w:rsidR="007D7830">
        <w:t>11</w:t>
      </w:r>
      <w:r w:rsidR="00945737" w:rsidRPr="00FF6E12">
        <w:fldChar w:fldCharType="end"/>
      </w:r>
      <w:r w:rsidR="00945737" w:rsidRPr="00FF6E12">
        <w:t>).</w:t>
      </w:r>
    </w:p>
  </w:footnote>
  <w:footnote w:id="48">
    <w:p w14:paraId="304FAE6E" w14:textId="77F65169" w:rsidR="00A63048" w:rsidRPr="00FF6E12" w:rsidRDefault="00A63048" w:rsidP="00D817F8">
      <w:pPr>
        <w:pStyle w:val="FootnoteText"/>
      </w:pPr>
      <w:r w:rsidRPr="00FF6E12">
        <w:rPr>
          <w:rStyle w:val="FootnoteReference"/>
        </w:rPr>
        <w:footnoteRef/>
      </w:r>
      <w:r w:rsidRPr="00FF6E12">
        <w:t xml:space="preserve"> For detail in relation to </w:t>
      </w:r>
      <w:r w:rsidR="00D36F0B" w:rsidRPr="00FF6E12">
        <w:t>these restrictions, see</w:t>
      </w:r>
      <w:r w:rsidR="00945737" w:rsidRPr="00FF6E12">
        <w:t>,</w:t>
      </w:r>
      <w:r w:rsidR="00D36F0B" w:rsidRPr="00FF6E12">
        <w:t xml:space="preserve"> for example</w:t>
      </w:r>
      <w:r w:rsidR="00945737" w:rsidRPr="00FF6E12">
        <w:t>,</w:t>
      </w:r>
      <w:r w:rsidR="00D36F0B" w:rsidRPr="00FF6E12">
        <w:t xml:space="preserve"> eSa</w:t>
      </w:r>
      <w:r w:rsidR="00BE6845" w:rsidRPr="00FF6E12">
        <w:t>fety</w:t>
      </w:r>
      <w:r w:rsidR="0034430E" w:rsidRPr="00FF6E12">
        <w:t xml:space="preserve"> </w:t>
      </w:r>
      <w:r w:rsidR="00BE6845" w:rsidRPr="00FF6E12">
        <w:t xml:space="preserve">Commissioner, </w:t>
      </w:r>
      <w:r w:rsidR="00727335" w:rsidRPr="00FF6E12">
        <w:t>‘</w:t>
      </w:r>
      <w:r w:rsidR="00BE6845" w:rsidRPr="00FF6E12">
        <w:rPr>
          <w:i/>
          <w:iCs/>
        </w:rPr>
        <w:t xml:space="preserve">Social Media Age </w:t>
      </w:r>
      <w:r w:rsidR="0034430E" w:rsidRPr="00FF6E12">
        <w:rPr>
          <w:i/>
          <w:iCs/>
        </w:rPr>
        <w:t>Restrictions</w:t>
      </w:r>
      <w:r w:rsidR="00BE6845" w:rsidRPr="00FF6E12">
        <w:rPr>
          <w:i/>
          <w:iCs/>
        </w:rPr>
        <w:t xml:space="preserve"> and Your Family</w:t>
      </w:r>
      <w:r w:rsidR="00727335" w:rsidRPr="00FF6E12">
        <w:rPr>
          <w:i/>
          <w:iCs/>
        </w:rPr>
        <w:t>’</w:t>
      </w:r>
      <w:r w:rsidR="00BE6845" w:rsidRPr="00FF6E12">
        <w:rPr>
          <w:i/>
          <w:iCs/>
        </w:rPr>
        <w:t xml:space="preserve"> </w:t>
      </w:r>
      <w:r w:rsidR="00727335" w:rsidRPr="00A920EC">
        <w:t>(Web page, 2025)</w:t>
      </w:r>
      <w:r w:rsidR="00727335" w:rsidRPr="00FF6E12">
        <w:rPr>
          <w:i/>
          <w:iCs/>
        </w:rPr>
        <w:t xml:space="preserve"> </w:t>
      </w:r>
      <w:r w:rsidR="0034430E" w:rsidRPr="00FF6E12">
        <w:t>&lt;https://www.esafety.gov.au/parents/social-media-age-restrictions&gt;.</w:t>
      </w:r>
    </w:p>
  </w:footnote>
  <w:footnote w:id="49">
    <w:p w14:paraId="27ACAB7A" w14:textId="0F04BECD" w:rsidR="009021BB" w:rsidRPr="00FF6E12" w:rsidRDefault="009021BB" w:rsidP="001777C5">
      <w:pPr>
        <w:pStyle w:val="FootnoteText"/>
      </w:pPr>
      <w:r w:rsidRPr="00FF6E12">
        <w:rPr>
          <w:rStyle w:val="FootnoteReference"/>
        </w:rPr>
        <w:footnoteRef/>
      </w:r>
      <w:r w:rsidRPr="00FF6E12">
        <w:t xml:space="preserve"> </w:t>
      </w:r>
      <w:r w:rsidR="00727335" w:rsidRPr="00FF6E12">
        <w:t xml:space="preserve">Royal Commission into Institutional Responses to Child Sexual Abuse (n </w:t>
      </w:r>
      <w:r w:rsidR="00727335" w:rsidRPr="00FF6E12">
        <w:fldChar w:fldCharType="begin"/>
      </w:r>
      <w:r w:rsidR="00727335" w:rsidRPr="00FF6E12">
        <w:instrText xml:space="preserve"> NOTEREF _Ref217902398 \h </w:instrText>
      </w:r>
      <w:r w:rsidR="00727335" w:rsidRPr="00FF6E12">
        <w:fldChar w:fldCharType="separate"/>
      </w:r>
      <w:r w:rsidR="007D7830">
        <w:t>13</w:t>
      </w:r>
      <w:r w:rsidR="00727335" w:rsidRPr="00FF6E12">
        <w:fldChar w:fldCharType="end"/>
      </w:r>
      <w:r w:rsidR="00727335" w:rsidRPr="00FF6E12">
        <w:t>) vol 10</w:t>
      </w:r>
      <w:r w:rsidRPr="00FF6E12">
        <w:t xml:space="preserve"> [4.1].</w:t>
      </w:r>
    </w:p>
  </w:footnote>
  <w:footnote w:id="50">
    <w:p w14:paraId="7EAD1DD3" w14:textId="717BEB07" w:rsidR="002B7C83" w:rsidRPr="00FF6E12" w:rsidRDefault="002B7C83" w:rsidP="00D817F8">
      <w:pPr>
        <w:pStyle w:val="FootnoteText"/>
      </w:pPr>
      <w:r w:rsidRPr="00FF6E12">
        <w:rPr>
          <w:rStyle w:val="FootnoteReference"/>
        </w:rPr>
        <w:footnoteRef/>
      </w:r>
      <w:r w:rsidRPr="00FF6E12">
        <w:t xml:space="preserve"> </w:t>
      </w:r>
      <w:r w:rsidRPr="00A920EC">
        <w:rPr>
          <w:i/>
          <w:iCs/>
        </w:rPr>
        <w:t>Criminal Code</w:t>
      </w:r>
      <w:r w:rsidR="00E23C48" w:rsidRPr="00FF6E12">
        <w:t xml:space="preserve"> (Tas)</w:t>
      </w:r>
      <w:r w:rsidRPr="00FF6E12">
        <w:t xml:space="preserve"> s 1.</w:t>
      </w:r>
    </w:p>
  </w:footnote>
  <w:footnote w:id="51">
    <w:p w14:paraId="549CCA21" w14:textId="1E8998C5" w:rsidR="00695636" w:rsidRPr="00FF6E12" w:rsidRDefault="00695636" w:rsidP="00D817F8">
      <w:pPr>
        <w:pStyle w:val="FootnoteText"/>
      </w:pPr>
      <w:r w:rsidRPr="00FF6E12">
        <w:rPr>
          <w:rStyle w:val="FootnoteReference"/>
        </w:rPr>
        <w:footnoteRef/>
      </w:r>
      <w:r w:rsidRPr="00FF6E12">
        <w:t xml:space="preserve"> </w:t>
      </w:r>
      <w:r w:rsidR="00DE7230" w:rsidRPr="00FF6E12">
        <w:t xml:space="preserve">Simon </w:t>
      </w:r>
      <w:r w:rsidRPr="00FF6E12">
        <w:t>Hackett</w:t>
      </w:r>
      <w:r w:rsidR="00AA63CF">
        <w:t>, ‘</w:t>
      </w:r>
      <w:r w:rsidR="006D18D2">
        <w:t>Children</w:t>
      </w:r>
      <w:r w:rsidR="00057707">
        <w:t xml:space="preserve"> and Young People with Harmful Sexual Behaviours</w:t>
      </w:r>
      <w:r w:rsidR="006D18D2">
        <w:t>’</w:t>
      </w:r>
      <w:r w:rsidR="00DA5DCC">
        <w:t xml:space="preserve"> in </w:t>
      </w:r>
      <w:r w:rsidR="003B53FA">
        <w:t>Christine Barter and David Berridge (eds</w:t>
      </w:r>
      <w:r w:rsidR="00CE51DE">
        <w:t>)</w:t>
      </w:r>
      <w:r w:rsidR="003B53FA">
        <w:t xml:space="preserve">, </w:t>
      </w:r>
      <w:r w:rsidR="003B53FA">
        <w:rPr>
          <w:i/>
          <w:iCs/>
        </w:rPr>
        <w:t xml:space="preserve">Children Behaving Badly?: Peer Violence between </w:t>
      </w:r>
      <w:r w:rsidR="00CE51DE">
        <w:rPr>
          <w:i/>
          <w:iCs/>
        </w:rPr>
        <w:t>Children</w:t>
      </w:r>
      <w:r w:rsidR="003B53FA">
        <w:rPr>
          <w:i/>
          <w:iCs/>
        </w:rPr>
        <w:t xml:space="preserve"> and Young People</w:t>
      </w:r>
      <w:r w:rsidRPr="00FF6E12">
        <w:t xml:space="preserve"> (</w:t>
      </w:r>
      <w:r w:rsidR="00CF7E86">
        <w:t>John Wiley</w:t>
      </w:r>
      <w:r w:rsidR="00A84A8E">
        <w:t xml:space="preserve"> &amp; Sons, </w:t>
      </w:r>
      <w:r w:rsidRPr="00FF6E12">
        <w:t>20</w:t>
      </w:r>
      <w:r w:rsidR="00A51CA3">
        <w:t>10</w:t>
      </w:r>
      <w:r w:rsidRPr="00FF6E12">
        <w:t>),</w:t>
      </w:r>
      <w:r w:rsidR="00A84A8E">
        <w:t xml:space="preserve"> 121</w:t>
      </w:r>
      <w:r w:rsidR="003E7A6A">
        <w:t xml:space="preserve"> </w:t>
      </w:r>
      <w:r w:rsidRPr="00FF6E12">
        <w:t>and</w:t>
      </w:r>
      <w:r w:rsidR="00914E77" w:rsidRPr="00FF6E12">
        <w:t xml:space="preserve"> </w:t>
      </w:r>
      <w:r w:rsidR="00DE7230" w:rsidRPr="00FF6E12">
        <w:t xml:space="preserve">Simon </w:t>
      </w:r>
      <w:r w:rsidR="00914E77" w:rsidRPr="00FF6E12">
        <w:t>Hackett</w:t>
      </w:r>
      <w:r w:rsidR="00DE7230" w:rsidRPr="00FF6E12">
        <w:t xml:space="preserve"> et al</w:t>
      </w:r>
      <w:r w:rsidR="00914E77" w:rsidRPr="00FF6E12">
        <w:t xml:space="preserve"> </w:t>
      </w:r>
      <w:r w:rsidR="00914E77" w:rsidRPr="00A920EC">
        <w:rPr>
          <w:i/>
          <w:iCs/>
        </w:rPr>
        <w:t>Harmful sexual behaviour framework:</w:t>
      </w:r>
      <w:r w:rsidR="00384076" w:rsidRPr="00A920EC">
        <w:rPr>
          <w:i/>
          <w:iCs/>
        </w:rPr>
        <w:t xml:space="preserve"> </w:t>
      </w:r>
      <w:r w:rsidR="00DE7230" w:rsidRPr="00FF6E12">
        <w:rPr>
          <w:i/>
          <w:iCs/>
        </w:rPr>
        <w:t>An e</w:t>
      </w:r>
      <w:r w:rsidR="00914E77" w:rsidRPr="00A920EC">
        <w:rPr>
          <w:i/>
          <w:iCs/>
        </w:rPr>
        <w:t>vidence</w:t>
      </w:r>
      <w:r w:rsidR="00DE7230" w:rsidRPr="00FF6E12">
        <w:rPr>
          <w:i/>
          <w:iCs/>
        </w:rPr>
        <w:t>-</w:t>
      </w:r>
      <w:r w:rsidR="00914E77" w:rsidRPr="00A920EC">
        <w:rPr>
          <w:i/>
          <w:iCs/>
        </w:rPr>
        <w:t xml:space="preserve">informed operational framework for children and young people displaying harmful sexual </w:t>
      </w:r>
      <w:r w:rsidR="004976D4" w:rsidRPr="00A920EC">
        <w:rPr>
          <w:i/>
          <w:iCs/>
        </w:rPr>
        <w:t>behaviour</w:t>
      </w:r>
      <w:r w:rsidR="004976D4" w:rsidRPr="00FF6E12">
        <w:t>s</w:t>
      </w:r>
      <w:r w:rsidRPr="00FF6E12">
        <w:t xml:space="preserve"> </w:t>
      </w:r>
      <w:r w:rsidR="00DE7230" w:rsidRPr="00FF6E12">
        <w:t>(Project Report, National Society for the Prevention of Cruelty to Children</w:t>
      </w:r>
      <w:r w:rsidR="008E714A" w:rsidRPr="00FF6E12">
        <w:t>,</w:t>
      </w:r>
      <w:r w:rsidR="00DE7230" w:rsidRPr="00FF6E12">
        <w:t xml:space="preserve"> 2016). </w:t>
      </w:r>
      <w:r w:rsidRPr="00FF6E12">
        <w:t>Note: within this paper the term ‘typical’ has been used to replace ‘normal’ as used in the original model proposed by Hackett (201</w:t>
      </w:r>
      <w:r w:rsidR="00A51CA3">
        <w:t>0</w:t>
      </w:r>
      <w:r w:rsidRPr="00FF6E12">
        <w:t xml:space="preserve">) and </w:t>
      </w:r>
      <w:r w:rsidR="00914E77" w:rsidRPr="00FF6E12">
        <w:t>Hackett</w:t>
      </w:r>
      <w:r w:rsidR="00DE7230" w:rsidRPr="00FF6E12">
        <w:t xml:space="preserve"> et al</w:t>
      </w:r>
      <w:r w:rsidR="00914E77" w:rsidRPr="00FF6E12">
        <w:t xml:space="preserve"> (2016).</w:t>
      </w:r>
    </w:p>
  </w:footnote>
  <w:footnote w:id="52">
    <w:p w14:paraId="2BC39273" w14:textId="7911C65C" w:rsidR="00121BCE" w:rsidRPr="00FF6E12" w:rsidRDefault="00121BCE" w:rsidP="00A920EC">
      <w:pPr>
        <w:pStyle w:val="FootnoteText"/>
      </w:pPr>
      <w:r w:rsidRPr="00FF6E12">
        <w:rPr>
          <w:rStyle w:val="FootnoteReference"/>
        </w:rPr>
        <w:footnoteRef/>
      </w:r>
      <w:r w:rsidRPr="00FF6E12">
        <w:t xml:space="preserve"> </w:t>
      </w:r>
      <w:r w:rsidRPr="00A920EC">
        <w:t xml:space="preserve">Hackett </w:t>
      </w:r>
      <w:r w:rsidR="00FD2645" w:rsidRPr="00FF6E12">
        <w:t>and</w:t>
      </w:r>
      <w:r w:rsidRPr="00A920EC">
        <w:t xml:space="preserve"> </w:t>
      </w:r>
      <w:r w:rsidR="0027275A" w:rsidRPr="00A920EC">
        <w:t>Hackett</w:t>
      </w:r>
      <w:r w:rsidR="00FD2645" w:rsidRPr="00FF6E12">
        <w:t xml:space="preserve"> et al (n </w:t>
      </w:r>
      <w:r w:rsidR="00FD2645" w:rsidRPr="00FF6E12">
        <w:fldChar w:fldCharType="begin"/>
      </w:r>
      <w:r w:rsidR="00FD2645" w:rsidRPr="00FF6E12">
        <w:instrText xml:space="preserve"> NOTEREF _Ref217907533 \h </w:instrText>
      </w:r>
      <w:r w:rsidR="00FD2645" w:rsidRPr="00FF6E12">
        <w:fldChar w:fldCharType="separate"/>
      </w:r>
      <w:r w:rsidR="007D7830">
        <w:t>50</w:t>
      </w:r>
      <w:r w:rsidR="00FD2645" w:rsidRPr="00FF6E12">
        <w:fldChar w:fldCharType="end"/>
      </w:r>
      <w:r w:rsidR="00FD2645" w:rsidRPr="00FF6E12">
        <w:t>)</w:t>
      </w:r>
      <w:r w:rsidR="0027275A" w:rsidRPr="00FF6E12">
        <w:t>.</w:t>
      </w:r>
    </w:p>
  </w:footnote>
  <w:footnote w:id="53">
    <w:p w14:paraId="7E2F6B16" w14:textId="54EC917A" w:rsidR="00695636" w:rsidRPr="00FF6E12" w:rsidRDefault="00695636" w:rsidP="00D817F8">
      <w:pPr>
        <w:pStyle w:val="FootnoteText"/>
        <w:rPr>
          <w:i/>
          <w:iCs/>
        </w:rPr>
      </w:pPr>
      <w:r w:rsidRPr="00FF6E12">
        <w:rPr>
          <w:rStyle w:val="FootnoteReference"/>
        </w:rPr>
        <w:footnoteRef/>
      </w:r>
      <w:r w:rsidRPr="00FF6E12">
        <w:t xml:space="preserve"> </w:t>
      </w:r>
      <w:r w:rsidR="007B6644" w:rsidRPr="00FF6E12">
        <w:t>See</w:t>
      </w:r>
      <w:r w:rsidRPr="00FF6E12">
        <w:t xml:space="preserve"> </w:t>
      </w:r>
      <w:r w:rsidR="00FD2645" w:rsidRPr="00FF6E12">
        <w:t xml:space="preserve">McKibbin (n </w:t>
      </w:r>
      <w:r w:rsidR="00FD2645" w:rsidRPr="00FF6E12">
        <w:fldChar w:fldCharType="begin"/>
      </w:r>
      <w:r w:rsidR="00FD2645" w:rsidRPr="00FF6E12">
        <w:instrText xml:space="preserve"> NOTEREF _Ref217901178 \h </w:instrText>
      </w:r>
      <w:r w:rsidR="00FD2645" w:rsidRPr="00FF6E12">
        <w:fldChar w:fldCharType="separate"/>
      </w:r>
      <w:r w:rsidR="007D7830">
        <w:t>10</w:t>
      </w:r>
      <w:r w:rsidR="00FD2645" w:rsidRPr="00FF6E12">
        <w:fldChar w:fldCharType="end"/>
      </w:r>
      <w:r w:rsidR="00FD2645" w:rsidRPr="00FF6E12">
        <w:t>)</w:t>
      </w:r>
      <w:r w:rsidRPr="00FF6E12">
        <w:t xml:space="preserve">; </w:t>
      </w:r>
      <w:r w:rsidR="00536DA5" w:rsidRPr="00FF6E12">
        <w:t>J</w:t>
      </w:r>
      <w:r w:rsidR="00FC4BFC" w:rsidRPr="00FF6E12">
        <w:t>enna</w:t>
      </w:r>
      <w:r w:rsidR="00536DA5" w:rsidRPr="00FF6E12">
        <w:t xml:space="preserve"> Meiksans et al, </w:t>
      </w:r>
      <w:r w:rsidR="00536DA5" w:rsidRPr="00FF6E12">
        <w:rPr>
          <w:i/>
          <w:iCs/>
        </w:rPr>
        <w:t xml:space="preserve">A Continuum of Responses for Harmful Sexual Behaviours </w:t>
      </w:r>
      <w:r w:rsidR="00536DA5" w:rsidRPr="00FF6E12">
        <w:t>(</w:t>
      </w:r>
      <w:r w:rsidR="00FC4BFC" w:rsidRPr="00FF6E12">
        <w:t xml:space="preserve">Issues Paper, Commissioner for Children and Young People Western Australia, December </w:t>
      </w:r>
      <w:r w:rsidR="00536DA5" w:rsidRPr="00FF6E12">
        <w:t>2017) &lt;</w:t>
      </w:r>
      <w:r w:rsidR="00FC4BFC" w:rsidRPr="00A920EC">
        <w:t>https://www.ccyp.wa.gov.au/media/owjevy3o/a-continuum-of-responses-for-harmful-sexual-behaviours-australian-centre-for-child-protection-april-2018.pdf</w:t>
      </w:r>
      <w:r w:rsidR="00536DA5" w:rsidRPr="00FF6E12">
        <w:t>&gt;</w:t>
      </w:r>
      <w:r w:rsidR="00CE4136" w:rsidRPr="00FF6E12">
        <w:t>;</w:t>
      </w:r>
      <w:r w:rsidR="0087244A" w:rsidRPr="00FF6E12">
        <w:t xml:space="preserve"> National Centre for Action on Child Sexual Abuse, </w:t>
      </w:r>
      <w:r w:rsidR="0087244A" w:rsidRPr="00FF6E12">
        <w:rPr>
          <w:i/>
          <w:iCs/>
        </w:rPr>
        <w:t xml:space="preserve">The Child Sexual Abuse Language Guide: Terms and </w:t>
      </w:r>
      <w:r w:rsidR="00FC4BFC" w:rsidRPr="00FF6E12">
        <w:rPr>
          <w:i/>
          <w:iCs/>
        </w:rPr>
        <w:t>d</w:t>
      </w:r>
      <w:r w:rsidR="0087244A" w:rsidRPr="00FF6E12">
        <w:rPr>
          <w:i/>
          <w:iCs/>
        </w:rPr>
        <w:t xml:space="preserve">efinitions </w:t>
      </w:r>
      <w:r w:rsidR="00FC4BFC" w:rsidRPr="00FF6E12">
        <w:rPr>
          <w:i/>
          <w:iCs/>
        </w:rPr>
        <w:t>p</w:t>
      </w:r>
      <w:r w:rsidR="0087244A" w:rsidRPr="00FF6E12">
        <w:rPr>
          <w:i/>
          <w:iCs/>
        </w:rPr>
        <w:t xml:space="preserve">referred by </w:t>
      </w:r>
      <w:r w:rsidR="00FC4BFC" w:rsidRPr="00FF6E12">
        <w:rPr>
          <w:i/>
          <w:iCs/>
        </w:rPr>
        <w:t>v</w:t>
      </w:r>
      <w:r w:rsidR="00DA4FA3" w:rsidRPr="00FF6E12">
        <w:rPr>
          <w:i/>
          <w:iCs/>
        </w:rPr>
        <w:t>ictims</w:t>
      </w:r>
      <w:r w:rsidR="00993CF0" w:rsidRPr="00FF6E12">
        <w:rPr>
          <w:i/>
          <w:iCs/>
        </w:rPr>
        <w:t xml:space="preserve"> and </w:t>
      </w:r>
      <w:r w:rsidR="00FC4BFC" w:rsidRPr="00FF6E12">
        <w:rPr>
          <w:i/>
          <w:iCs/>
        </w:rPr>
        <w:t>s</w:t>
      </w:r>
      <w:r w:rsidR="00993CF0" w:rsidRPr="00FF6E12">
        <w:rPr>
          <w:i/>
          <w:iCs/>
        </w:rPr>
        <w:t xml:space="preserve">urvivors of </w:t>
      </w:r>
      <w:r w:rsidR="00FC4BFC" w:rsidRPr="00FF6E12">
        <w:rPr>
          <w:i/>
          <w:iCs/>
        </w:rPr>
        <w:t>c</w:t>
      </w:r>
      <w:r w:rsidR="00993CF0" w:rsidRPr="00FF6E12">
        <w:rPr>
          <w:i/>
          <w:iCs/>
        </w:rPr>
        <w:t xml:space="preserve">hild </w:t>
      </w:r>
      <w:r w:rsidR="00FC4BFC" w:rsidRPr="00FF6E12">
        <w:rPr>
          <w:i/>
          <w:iCs/>
        </w:rPr>
        <w:t>s</w:t>
      </w:r>
      <w:r w:rsidR="00993CF0" w:rsidRPr="00FF6E12">
        <w:rPr>
          <w:i/>
          <w:iCs/>
        </w:rPr>
        <w:t xml:space="preserve">exual </w:t>
      </w:r>
      <w:r w:rsidR="00FC4BFC" w:rsidRPr="00FF6E12">
        <w:rPr>
          <w:i/>
          <w:iCs/>
        </w:rPr>
        <w:t>a</w:t>
      </w:r>
      <w:r w:rsidR="00993CF0" w:rsidRPr="00FF6E12">
        <w:rPr>
          <w:i/>
          <w:iCs/>
        </w:rPr>
        <w:t xml:space="preserve">buse </w:t>
      </w:r>
      <w:r w:rsidR="00993CF0" w:rsidRPr="00FF6E12">
        <w:t>(2025) &lt;</w:t>
      </w:r>
      <w:r w:rsidR="00FC4BFC" w:rsidRPr="00A920EC">
        <w:t>https://nationalcentre.org.au/wp-content/uploads/2025/08/1.-NC-Language-Guide_FINAL.pdf</w:t>
      </w:r>
      <w:r w:rsidR="00993CF0" w:rsidRPr="00FF6E12">
        <w:t xml:space="preserve">&gt; </w:t>
      </w:r>
      <w:r w:rsidR="00FF5C2D" w:rsidRPr="00FF6E12">
        <w:t>12</w:t>
      </w:r>
      <w:r w:rsidR="006612D3" w:rsidRPr="00FF6E12">
        <w:t>–</w:t>
      </w:r>
      <w:r w:rsidR="00FF5C2D" w:rsidRPr="00FF6E12">
        <w:t>13</w:t>
      </w:r>
      <w:r w:rsidR="006612D3" w:rsidRPr="00FF6E12">
        <w:t>.</w:t>
      </w:r>
    </w:p>
  </w:footnote>
  <w:footnote w:id="54">
    <w:p w14:paraId="7C2C1B62" w14:textId="4C00C597" w:rsidR="00695636" w:rsidRPr="00FF6E12" w:rsidRDefault="00695636" w:rsidP="00D817F8">
      <w:pPr>
        <w:pStyle w:val="FootnoteText"/>
      </w:pPr>
      <w:r w:rsidRPr="00FF6E12">
        <w:rPr>
          <w:rStyle w:val="FootnoteReference"/>
        </w:rPr>
        <w:footnoteRef/>
      </w:r>
      <w:r w:rsidRPr="00FF6E12">
        <w:t xml:space="preserve"> </w:t>
      </w:r>
      <w:r w:rsidR="008A2681" w:rsidRPr="00FF6E12">
        <w:t xml:space="preserve">Australian Institute of Family Studies, </w:t>
      </w:r>
      <w:r w:rsidR="008A2681" w:rsidRPr="00FF6E12">
        <w:rPr>
          <w:i/>
          <w:iCs/>
        </w:rPr>
        <w:t xml:space="preserve">Understanding Adult Sexual Assault Matters: Insights from Research and Practice An Educational Resource for the Justice Sector </w:t>
      </w:r>
      <w:r w:rsidR="008A2681" w:rsidRPr="00FF6E12">
        <w:t>(</w:t>
      </w:r>
      <w:r w:rsidR="00FC4BFC" w:rsidRPr="00FF6E12">
        <w:t xml:space="preserve">Practice Guide, </w:t>
      </w:r>
      <w:r w:rsidR="008A2681" w:rsidRPr="00FF6E12">
        <w:t>2024) &lt;</w:t>
      </w:r>
      <w:r w:rsidR="00FC4BFC" w:rsidRPr="00FF6E12">
        <w:t>https://aifs.gov.au/resources/practice-guides/understanding-adult-sexual-assault-matters-insights-research-and-practice&gt;</w:t>
      </w:r>
      <w:r w:rsidRPr="00FF6E12">
        <w:t xml:space="preserve"> 3.</w:t>
      </w:r>
    </w:p>
  </w:footnote>
  <w:footnote w:id="55">
    <w:p w14:paraId="43236A20" w14:textId="18198AFE" w:rsidR="00695636" w:rsidRPr="00FF6E12" w:rsidRDefault="00695636" w:rsidP="00D817F8">
      <w:pPr>
        <w:pStyle w:val="FootnoteText"/>
        <w:rPr>
          <w:highlight w:val="yellow"/>
        </w:rPr>
      </w:pPr>
      <w:r w:rsidRPr="00FF6E12">
        <w:rPr>
          <w:rStyle w:val="FootnoteReference"/>
        </w:rPr>
        <w:footnoteRef/>
      </w:r>
      <w:r w:rsidRPr="00FF6E12">
        <w:t xml:space="preserve"> </w:t>
      </w:r>
      <w:r w:rsidR="00FC4BFC" w:rsidRPr="00FF6E12">
        <w:t>Hackett et al</w:t>
      </w:r>
      <w:r w:rsidR="00B46278" w:rsidRPr="00FF6E12">
        <w:t xml:space="preserve"> (n </w:t>
      </w:r>
      <w:r w:rsidR="00B46278" w:rsidRPr="00FF6E12">
        <w:fldChar w:fldCharType="begin"/>
      </w:r>
      <w:r w:rsidR="00B46278" w:rsidRPr="00FF6E12">
        <w:instrText xml:space="preserve"> NOTEREF _Ref217977090 \h </w:instrText>
      </w:r>
      <w:r w:rsidR="00B46278" w:rsidRPr="00FF6E12">
        <w:fldChar w:fldCharType="separate"/>
      </w:r>
      <w:r w:rsidR="007D7830">
        <w:t>5</w:t>
      </w:r>
      <w:r w:rsidR="00B46278" w:rsidRPr="00FF6E12">
        <w:fldChar w:fldCharType="end"/>
      </w:r>
      <w:r w:rsidR="00B46278" w:rsidRPr="00FF6E12">
        <w:t>)</w:t>
      </w:r>
      <w:r w:rsidR="00FC4BFC" w:rsidRPr="00FF6E12">
        <w:t xml:space="preserve">. </w:t>
      </w:r>
      <w:r w:rsidR="006251AE" w:rsidRPr="00FF6E12">
        <w:t xml:space="preserve">However, </w:t>
      </w:r>
      <w:r w:rsidR="00FD21BF" w:rsidRPr="00FF6E12">
        <w:t>as discussed in Part 8, matters determined in Tasmanian Courts have been more commonly in relation to adult victim-survivors.</w:t>
      </w:r>
    </w:p>
  </w:footnote>
  <w:footnote w:id="56">
    <w:p w14:paraId="40AB1A47" w14:textId="30A7F9FE" w:rsidR="00695636" w:rsidRPr="00FF6E12" w:rsidRDefault="00695636" w:rsidP="00D817F8">
      <w:pPr>
        <w:pStyle w:val="FootnoteText"/>
      </w:pPr>
      <w:r w:rsidRPr="00FF6E12">
        <w:rPr>
          <w:rStyle w:val="FootnoteReference"/>
        </w:rPr>
        <w:footnoteRef/>
      </w:r>
      <w:r w:rsidRPr="00FF6E12">
        <w:t xml:space="preserve"> </w:t>
      </w:r>
      <w:r w:rsidR="00FC4BFC" w:rsidRPr="00FF6E12">
        <w:t xml:space="preserve">Royal Commission into Institutional Responses to Child Sexual Abuse (n </w:t>
      </w:r>
      <w:r w:rsidR="00FC4BFC" w:rsidRPr="00FF6E12">
        <w:fldChar w:fldCharType="begin"/>
      </w:r>
      <w:r w:rsidR="00FC4BFC" w:rsidRPr="00FF6E12">
        <w:instrText xml:space="preserve"> NOTEREF _Ref217902398 \h </w:instrText>
      </w:r>
      <w:r w:rsidR="00FC4BFC" w:rsidRPr="00FF6E12">
        <w:fldChar w:fldCharType="separate"/>
      </w:r>
      <w:r w:rsidR="007D7830">
        <w:t>13</w:t>
      </w:r>
      <w:r w:rsidR="00FC4BFC" w:rsidRPr="00FF6E12">
        <w:fldChar w:fldCharType="end"/>
      </w:r>
      <w:r w:rsidR="00FC4BFC" w:rsidRPr="00FF6E12">
        <w:t xml:space="preserve">) vol 1 </w:t>
      </w:r>
      <w:r w:rsidRPr="00FF6E12">
        <w:t xml:space="preserve">71. See Sexual Assault Support Service (SASS), </w:t>
      </w:r>
      <w:r w:rsidRPr="00A920EC">
        <w:rPr>
          <w:i/>
          <w:iCs/>
        </w:rPr>
        <w:t xml:space="preserve">Responding to </w:t>
      </w:r>
      <w:r w:rsidR="006612D3" w:rsidRPr="00A920EC">
        <w:rPr>
          <w:i/>
          <w:iCs/>
        </w:rPr>
        <w:t>P</w:t>
      </w:r>
      <w:r w:rsidRPr="00A920EC">
        <w:rPr>
          <w:i/>
          <w:iCs/>
        </w:rPr>
        <w:t>roblem Sexual Behaviour and Sexually Abusive Behaviour in Tasmania</w:t>
      </w:r>
      <w:r w:rsidRPr="00FF6E12">
        <w:t xml:space="preserve"> (Position Paper</w:t>
      </w:r>
      <w:r w:rsidR="00FC4BFC" w:rsidRPr="00FF6E12">
        <w:t xml:space="preserve">, </w:t>
      </w:r>
      <w:r w:rsidRPr="00FF6E12">
        <w:t>2015); E</w:t>
      </w:r>
      <w:r w:rsidR="00F117D2" w:rsidRPr="00FF6E12">
        <w:t>lspeth</w:t>
      </w:r>
      <w:r w:rsidRPr="00FF6E12">
        <w:t xml:space="preserve"> McInnes et al, </w:t>
      </w:r>
      <w:r w:rsidRPr="00A920EC">
        <w:rPr>
          <w:i/>
          <w:iCs/>
        </w:rPr>
        <w:t>Responding to Harmful Sexual Behaviour In Tasmania: Review Report on the Tasmanian Prevention Assessment Support Treatment [PAST] Program</w:t>
      </w:r>
      <w:r w:rsidRPr="00FF6E12">
        <w:t xml:space="preserve"> </w:t>
      </w:r>
      <w:r w:rsidR="00F117D2" w:rsidRPr="00FF6E12">
        <w:t>(</w:t>
      </w:r>
      <w:r w:rsidRPr="00FF6E12">
        <w:t>Final Report</w:t>
      </w:r>
      <w:r w:rsidR="00F117D2" w:rsidRPr="00FF6E12">
        <w:t xml:space="preserve">, </w:t>
      </w:r>
      <w:r w:rsidRPr="00FF6E12">
        <w:t>2023). Hacket</w:t>
      </w:r>
      <w:r w:rsidR="006612D3" w:rsidRPr="00FF6E12">
        <w:t>t et</w:t>
      </w:r>
      <w:r w:rsidRPr="00FF6E12">
        <w:t xml:space="preserve"> al, defined HSB as ‘sexual behaviour expressed by children and adolescents under the age of 18 that is developmentally inappropriate, may be harmful towards the child themselves or others, or may be abusive to another child, adolescent, or adult’</w:t>
      </w:r>
      <w:r w:rsidR="00F117D2" w:rsidRPr="00FF6E12">
        <w:t xml:space="preserve">: </w:t>
      </w:r>
      <w:r w:rsidR="0027275A" w:rsidRPr="00FF6E12">
        <w:t>Hackett</w:t>
      </w:r>
      <w:r w:rsidR="00F117D2" w:rsidRPr="00FF6E12">
        <w:t xml:space="preserve"> et al (</w:t>
      </w:r>
      <w:r w:rsidR="006A3D7B" w:rsidRPr="00FF6E12">
        <w:t xml:space="preserve">n </w:t>
      </w:r>
      <w:r w:rsidR="00F117D2" w:rsidRPr="00FF6E12">
        <w:fldChar w:fldCharType="begin"/>
      </w:r>
      <w:r w:rsidR="00F117D2" w:rsidRPr="00FF6E12">
        <w:instrText xml:space="preserve"> NOTEREF _Ref217907533 \h </w:instrText>
      </w:r>
      <w:r w:rsidR="00F117D2" w:rsidRPr="00FF6E12">
        <w:fldChar w:fldCharType="separate"/>
      </w:r>
      <w:r w:rsidR="007D7830">
        <w:t>50</w:t>
      </w:r>
      <w:r w:rsidR="00F117D2" w:rsidRPr="00FF6E12">
        <w:fldChar w:fldCharType="end"/>
      </w:r>
      <w:r w:rsidR="00F117D2" w:rsidRPr="00FF6E12">
        <w:t>)</w:t>
      </w:r>
      <w:r w:rsidRPr="00FF6E12">
        <w:t xml:space="preserve"> 3.</w:t>
      </w:r>
    </w:p>
  </w:footnote>
  <w:footnote w:id="57">
    <w:p w14:paraId="7F1BE8A9" w14:textId="06FB649E" w:rsidR="00695636" w:rsidRPr="00FF6E12" w:rsidRDefault="00695636" w:rsidP="00D817F8">
      <w:pPr>
        <w:pStyle w:val="FootnoteText"/>
      </w:pPr>
      <w:r w:rsidRPr="00FF6E12">
        <w:rPr>
          <w:rStyle w:val="FootnoteReference"/>
        </w:rPr>
        <w:footnoteRef/>
      </w:r>
      <w:r w:rsidRPr="00FF6E12">
        <w:t xml:space="preserve"> </w:t>
      </w:r>
      <w:r w:rsidR="00225396" w:rsidRPr="00FF6E12">
        <w:t xml:space="preserve">Royal Commission into Institutional Responses to Child Sexual Abuse (n </w:t>
      </w:r>
      <w:r w:rsidR="00225396" w:rsidRPr="00FF6E12">
        <w:fldChar w:fldCharType="begin"/>
      </w:r>
      <w:r w:rsidR="00225396" w:rsidRPr="00FF6E12">
        <w:instrText xml:space="preserve"> NOTEREF _Ref217902398 \h </w:instrText>
      </w:r>
      <w:r w:rsidR="00225396" w:rsidRPr="00FF6E12">
        <w:fldChar w:fldCharType="separate"/>
      </w:r>
      <w:r w:rsidR="007D7830">
        <w:t>13</w:t>
      </w:r>
      <w:r w:rsidR="00225396" w:rsidRPr="00FF6E12">
        <w:fldChar w:fldCharType="end"/>
      </w:r>
      <w:r w:rsidR="00225396" w:rsidRPr="00FF6E12">
        <w:t xml:space="preserve">) vol 1 </w:t>
      </w:r>
      <w:r w:rsidRPr="00FF6E12">
        <w:t>72.</w:t>
      </w:r>
    </w:p>
  </w:footnote>
  <w:footnote w:id="58">
    <w:p w14:paraId="6CB9978C" w14:textId="10560A78" w:rsidR="00695636" w:rsidRPr="00FF6E12" w:rsidRDefault="00695636" w:rsidP="00D817F8">
      <w:pPr>
        <w:pStyle w:val="FootnoteText"/>
      </w:pPr>
      <w:r w:rsidRPr="00FF6E12">
        <w:rPr>
          <w:rStyle w:val="FootnoteReference"/>
        </w:rPr>
        <w:footnoteRef/>
      </w:r>
      <w:r w:rsidRPr="00FF6E12">
        <w:t xml:space="preserve"> At the time of writing</w:t>
      </w:r>
      <w:r w:rsidR="00225396" w:rsidRPr="00FF6E12">
        <w:t>,</w:t>
      </w:r>
      <w:r w:rsidRPr="00FF6E12">
        <w:t xml:space="preserve"> the minimum age of criminal responsibility </w:t>
      </w:r>
      <w:r w:rsidRPr="001A1100">
        <w:t>is 10 years in Tasmania</w:t>
      </w:r>
      <w:r w:rsidRPr="00FF6E12">
        <w:t xml:space="preserve"> and most other Australian jurisdictions. See further </w:t>
      </w:r>
      <w:r w:rsidR="00A63259" w:rsidRPr="00FF6E12">
        <w:t>[</w:t>
      </w:r>
      <w:r w:rsidR="00BE3979">
        <w:fldChar w:fldCharType="begin"/>
      </w:r>
      <w:r w:rsidR="00BE3979">
        <w:instrText xml:space="preserve"> REF _Ref218251906 \r \h </w:instrText>
      </w:r>
      <w:r w:rsidR="00BE3979">
        <w:fldChar w:fldCharType="separate"/>
      </w:r>
      <w:r w:rsidR="007D7830">
        <w:t>4.2</w:t>
      </w:r>
      <w:r w:rsidR="00BE3979">
        <w:fldChar w:fldCharType="end"/>
      </w:r>
      <w:r w:rsidR="00A63259" w:rsidRPr="00FF6E12">
        <w:t>]</w:t>
      </w:r>
      <w:r w:rsidRPr="00FF6E12">
        <w:t>.</w:t>
      </w:r>
    </w:p>
  </w:footnote>
  <w:footnote w:id="59">
    <w:p w14:paraId="26F7D550" w14:textId="54CEFAE8" w:rsidR="00695636" w:rsidRPr="00FF6E12" w:rsidRDefault="00695636" w:rsidP="00D817F8">
      <w:pPr>
        <w:pStyle w:val="FootnoteText"/>
      </w:pPr>
      <w:r w:rsidRPr="00FF6E12">
        <w:rPr>
          <w:rStyle w:val="FootnoteReference"/>
        </w:rPr>
        <w:footnoteRef/>
      </w:r>
      <w:r w:rsidRPr="00FF6E12">
        <w:t xml:space="preserve"> </w:t>
      </w:r>
      <w:r w:rsidR="00225396" w:rsidRPr="00FF6E12">
        <w:t xml:space="preserve">Royal Commission into Institutional Responses to Child Sexual Abuse (n </w:t>
      </w:r>
      <w:r w:rsidR="00225396" w:rsidRPr="00FF6E12">
        <w:fldChar w:fldCharType="begin"/>
      </w:r>
      <w:r w:rsidR="00225396" w:rsidRPr="00FF6E12">
        <w:instrText xml:space="preserve"> NOTEREF _Ref217902398 \h </w:instrText>
      </w:r>
      <w:r w:rsidR="00225396" w:rsidRPr="00FF6E12">
        <w:fldChar w:fldCharType="separate"/>
      </w:r>
      <w:r w:rsidR="007D7830">
        <w:t>13</w:t>
      </w:r>
      <w:r w:rsidR="00225396" w:rsidRPr="00FF6E12">
        <w:fldChar w:fldCharType="end"/>
      </w:r>
      <w:r w:rsidR="00225396" w:rsidRPr="00FF6E12">
        <w:t xml:space="preserve">) vol 1 </w:t>
      </w:r>
      <w:r w:rsidRPr="00FF6E12">
        <w:t xml:space="preserve">72. It is noted that there have been reforms to increase the age of criminal responsibility in some Australian jurisdictions, see </w:t>
      </w:r>
      <w:r w:rsidR="00A63259" w:rsidRPr="00FF6E12">
        <w:t>[</w:t>
      </w:r>
      <w:r w:rsidR="00BE3979">
        <w:fldChar w:fldCharType="begin"/>
      </w:r>
      <w:r w:rsidR="00BE3979">
        <w:instrText xml:space="preserve"> REF _Ref218251906 \r \h </w:instrText>
      </w:r>
      <w:r w:rsidR="00BE3979">
        <w:fldChar w:fldCharType="separate"/>
      </w:r>
      <w:r w:rsidR="007D7830">
        <w:t>4.2</w:t>
      </w:r>
      <w:r w:rsidR="00BE3979">
        <w:fldChar w:fldCharType="end"/>
      </w:r>
      <w:r w:rsidR="00A63259" w:rsidRPr="00FF6E12">
        <w:t>]</w:t>
      </w:r>
      <w:r w:rsidRPr="00FF6E12">
        <w:t>.</w:t>
      </w:r>
    </w:p>
  </w:footnote>
  <w:footnote w:id="60">
    <w:p w14:paraId="0CBF36DB" w14:textId="30929FEE" w:rsidR="00695636" w:rsidRPr="00FF6E12" w:rsidRDefault="00695636" w:rsidP="00D817F8">
      <w:pPr>
        <w:pStyle w:val="FootnoteText"/>
      </w:pPr>
      <w:r w:rsidRPr="00FF6E12">
        <w:rPr>
          <w:rStyle w:val="FootnoteReference"/>
        </w:rPr>
        <w:footnoteRef/>
      </w:r>
      <w:r w:rsidRPr="00FF6E12">
        <w:t xml:space="preserve"> </w:t>
      </w:r>
      <w:r w:rsidR="0090274C" w:rsidRPr="00FF6E12">
        <w:t xml:space="preserve">Rob White, ‘Shaming and Reintegrative Strategies: Individuals, State Power and Social Interests’ in C. Alder </w:t>
      </w:r>
      <w:r w:rsidR="00ED4AA7" w:rsidRPr="00FF6E12">
        <w:t>and</w:t>
      </w:r>
      <w:r w:rsidR="0090274C" w:rsidRPr="00FF6E12">
        <w:t xml:space="preserve"> J. Wundersitz (Eds.), </w:t>
      </w:r>
      <w:r w:rsidR="0090274C" w:rsidRPr="00FF6E12">
        <w:rPr>
          <w:i/>
          <w:iCs/>
        </w:rPr>
        <w:t>Family Conferencing and Juvenile Justice</w:t>
      </w:r>
      <w:r w:rsidR="0090274C" w:rsidRPr="00FF6E12">
        <w:t xml:space="preserve"> (Australian Institute of Criminology, 1994) 19</w:t>
      </w:r>
      <w:r w:rsidR="00442647" w:rsidRPr="00FF6E12">
        <w:t>4.</w:t>
      </w:r>
    </w:p>
  </w:footnote>
  <w:footnote w:id="61">
    <w:p w14:paraId="1EA82C67" w14:textId="7739AEB1" w:rsidR="00695636" w:rsidRPr="00FF6E12" w:rsidRDefault="00695636" w:rsidP="00D817F8">
      <w:pPr>
        <w:pStyle w:val="FootnoteText"/>
      </w:pPr>
      <w:r w:rsidRPr="00FF6E12">
        <w:rPr>
          <w:rStyle w:val="FootnoteReference"/>
        </w:rPr>
        <w:footnoteRef/>
      </w:r>
      <w:r w:rsidRPr="00FF6E12">
        <w:t xml:space="preserve"> See </w:t>
      </w:r>
      <w:r w:rsidR="00225396" w:rsidRPr="00FF6E12">
        <w:t xml:space="preserve">Commonwealth of Australia (n </w:t>
      </w:r>
      <w:r w:rsidR="00225396" w:rsidRPr="00FF6E12">
        <w:fldChar w:fldCharType="begin"/>
      </w:r>
      <w:r w:rsidR="00225396" w:rsidRPr="00FF6E12">
        <w:instrText xml:space="preserve"> NOTEREF _Ref217905183 \h </w:instrText>
      </w:r>
      <w:r w:rsidR="00225396" w:rsidRPr="00FF6E12">
        <w:fldChar w:fldCharType="separate"/>
      </w:r>
      <w:r w:rsidR="007D7830">
        <w:t>11</w:t>
      </w:r>
      <w:r w:rsidR="00225396" w:rsidRPr="00FF6E12">
        <w:fldChar w:fldCharType="end"/>
      </w:r>
      <w:r w:rsidR="00225396" w:rsidRPr="00FF6E12">
        <w:t>)</w:t>
      </w:r>
      <w:r w:rsidRPr="00FF6E12">
        <w:t xml:space="preserve">; Simon Rice et al, ‘Unwet Mental Health and Criminogenic Needs among Justice-involved Young people: A Role for Clinicians in the Community (2023) 27(2) </w:t>
      </w:r>
      <w:r w:rsidRPr="00FF6E12">
        <w:rPr>
          <w:i/>
          <w:iCs/>
        </w:rPr>
        <w:t xml:space="preserve">Clinical Psychologist </w:t>
      </w:r>
      <w:r w:rsidRPr="00FF6E12">
        <w:t>259; C</w:t>
      </w:r>
      <w:r w:rsidR="008C09FC">
        <w:t>arla</w:t>
      </w:r>
      <w:r w:rsidRPr="00FF6E12">
        <w:t xml:space="preserve"> Meurk et al, </w:t>
      </w:r>
      <w:r w:rsidRPr="00FF6E12">
        <w:rPr>
          <w:i/>
          <w:iCs/>
        </w:rPr>
        <w:t xml:space="preserve">Changing Direction: Mental Health Needs of Justice-Involved Young People in Australia </w:t>
      </w:r>
      <w:r w:rsidRPr="00FF6E12">
        <w:t>(</w:t>
      </w:r>
      <w:r w:rsidR="00225396" w:rsidRPr="00FF6E12">
        <w:t xml:space="preserve">UNSW Kirby Institute, </w:t>
      </w:r>
      <w:r w:rsidRPr="00FF6E12">
        <w:t>2019) &lt;https://www.kirby.unsw.edu.au/sites/default/files/documents/MEH-JOSH_Report.pdf&gt;. Another contested term is ‘child-on-child sexual abuse’, which is said to potentially be rejected by a professional responding to the child who has harmed another, but used favourably by those who are responding to the victim; G</w:t>
      </w:r>
      <w:r w:rsidR="00225396" w:rsidRPr="00FF6E12">
        <w:t>emma</w:t>
      </w:r>
      <w:r w:rsidRPr="00FF6E12">
        <w:t xml:space="preserve"> McKibben et al, ‘</w:t>
      </w:r>
      <w:r w:rsidR="00225396" w:rsidRPr="00FF6E12">
        <w:t>“</w:t>
      </w:r>
      <w:r w:rsidRPr="00FF6E12">
        <w:t>The Victims Become the Scapegoats” – Victim-Survivors</w:t>
      </w:r>
      <w:r w:rsidR="00225396" w:rsidRPr="00FF6E12">
        <w:t>’</w:t>
      </w:r>
      <w:r w:rsidRPr="00FF6E12">
        <w:t xml:space="preserve"> Experiences of Children’s Harmful Sexual Behaviour’ (2025) </w:t>
      </w:r>
      <w:r w:rsidRPr="00FF6E12">
        <w:rPr>
          <w:i/>
          <w:iCs/>
        </w:rPr>
        <w:t xml:space="preserve">Victims </w:t>
      </w:r>
      <w:r w:rsidR="00225396" w:rsidRPr="00FF6E12">
        <w:rPr>
          <w:i/>
          <w:iCs/>
        </w:rPr>
        <w:t xml:space="preserve">&amp; </w:t>
      </w:r>
      <w:r w:rsidRPr="00FF6E12">
        <w:rPr>
          <w:i/>
          <w:iCs/>
        </w:rPr>
        <w:t>Offenders</w:t>
      </w:r>
      <w:r w:rsidRPr="00A920EC">
        <w:t xml:space="preserve"> 10.1080</w:t>
      </w:r>
      <w:r w:rsidR="00225396" w:rsidRPr="00FF6E12">
        <w:t xml:space="preserve">, 1–22, </w:t>
      </w:r>
      <w:r w:rsidR="00225396" w:rsidRPr="00FF6E12">
        <w:rPr>
          <w:rStyle w:val="Hyperlink"/>
        </w:rPr>
        <w:t>&lt;</w:t>
      </w:r>
      <w:r w:rsidR="00225396" w:rsidRPr="00A920EC">
        <w:t>https://doi.org/10.1080/15564886.2025.2560430</w:t>
      </w:r>
      <w:r w:rsidR="00225396" w:rsidRPr="00FF6E12">
        <w:t>&gt;.</w:t>
      </w:r>
    </w:p>
  </w:footnote>
  <w:footnote w:id="62">
    <w:p w14:paraId="34BC31C7" w14:textId="56DDD81D" w:rsidR="00695636" w:rsidRPr="00FF6E12" w:rsidRDefault="00695636" w:rsidP="00D817F8">
      <w:pPr>
        <w:pStyle w:val="FootnoteText"/>
        <w:rPr>
          <w:highlight w:val="yellow"/>
        </w:rPr>
      </w:pPr>
      <w:r w:rsidRPr="00FF6E12">
        <w:rPr>
          <w:rStyle w:val="FootnoteReference"/>
        </w:rPr>
        <w:footnoteRef/>
      </w:r>
      <w:r w:rsidRPr="00FF6E12">
        <w:t xml:space="preserve"> </w:t>
      </w:r>
      <w:r w:rsidR="00241EDC" w:rsidRPr="00FF6E12">
        <w:t xml:space="preserve">Mathews et al (n </w:t>
      </w:r>
      <w:r w:rsidR="00241EDC" w:rsidRPr="00FF6E12">
        <w:fldChar w:fldCharType="begin"/>
      </w:r>
      <w:r w:rsidR="00241EDC" w:rsidRPr="00FF6E12">
        <w:instrText xml:space="preserve"> NOTEREF _Ref217901142 \h </w:instrText>
      </w:r>
      <w:r w:rsidR="00241EDC" w:rsidRPr="00FF6E12">
        <w:fldChar w:fldCharType="separate"/>
      </w:r>
      <w:r w:rsidR="007D7830">
        <w:t>2</w:t>
      </w:r>
      <w:r w:rsidR="00241EDC" w:rsidRPr="00FF6E12">
        <w:fldChar w:fldCharType="end"/>
      </w:r>
      <w:r w:rsidR="00241EDC" w:rsidRPr="00FF6E12">
        <w:t xml:space="preserve">) </w:t>
      </w:r>
      <w:r w:rsidRPr="00FF6E12">
        <w:t>12–13.</w:t>
      </w:r>
    </w:p>
  </w:footnote>
  <w:footnote w:id="63">
    <w:p w14:paraId="32CE6846" w14:textId="244A2115" w:rsidR="00695636" w:rsidRPr="00FF6E12" w:rsidRDefault="00695636" w:rsidP="00D817F8">
      <w:pPr>
        <w:pStyle w:val="FootnoteText"/>
      </w:pPr>
      <w:r w:rsidRPr="00FF6E12">
        <w:rPr>
          <w:rStyle w:val="FootnoteReference"/>
        </w:rPr>
        <w:footnoteRef/>
      </w:r>
      <w:r w:rsidRPr="00FF6E12">
        <w:t xml:space="preserve"> </w:t>
      </w:r>
      <w:r w:rsidR="001B1B42" w:rsidRPr="00FF6E12">
        <w:t xml:space="preserve">Royal Commission into Institutional Responses to Child Sexual Abuse (n </w:t>
      </w:r>
      <w:r w:rsidR="001B1B42" w:rsidRPr="00FF6E12">
        <w:fldChar w:fldCharType="begin"/>
      </w:r>
      <w:r w:rsidR="001B1B42" w:rsidRPr="00FF6E12">
        <w:instrText xml:space="preserve"> NOTEREF _Ref217902398 \h </w:instrText>
      </w:r>
      <w:r w:rsidR="001B1B42" w:rsidRPr="00FF6E12">
        <w:fldChar w:fldCharType="separate"/>
      </w:r>
      <w:r w:rsidR="007D7830">
        <w:t>13</w:t>
      </w:r>
      <w:r w:rsidR="001B1B42" w:rsidRPr="00FF6E12">
        <w:fldChar w:fldCharType="end"/>
      </w:r>
      <w:r w:rsidR="001B1B42" w:rsidRPr="00FF6E12">
        <w:t xml:space="preserve">) </w:t>
      </w:r>
      <w:r w:rsidRPr="00A920EC">
        <w:rPr>
          <w:i/>
          <w:iCs/>
        </w:rPr>
        <w:t>Criminal Justice Report</w:t>
      </w:r>
      <w:r w:rsidR="001B1B42" w:rsidRPr="00FF6E12">
        <w:t>, pts</w:t>
      </w:r>
      <w:r w:rsidRPr="00FF6E12">
        <w:t xml:space="preserve"> VII</w:t>
      </w:r>
      <w:r w:rsidR="001B1B42" w:rsidRPr="00FF6E12">
        <w:t>–</w:t>
      </w:r>
      <w:r w:rsidRPr="00FF6E12">
        <w:t>X</w:t>
      </w:r>
      <w:r w:rsidR="001B1B42" w:rsidRPr="00FF6E12">
        <w:t xml:space="preserve">, </w:t>
      </w:r>
      <w:r w:rsidR="001D7564" w:rsidRPr="00FF6E12">
        <w:t>apps</w:t>
      </w:r>
      <w:r w:rsidR="005370BD" w:rsidRPr="00FF6E12">
        <w:t xml:space="preserve">, </w:t>
      </w:r>
      <w:r w:rsidRPr="00FF6E12">
        <w:t>390.</w:t>
      </w:r>
    </w:p>
  </w:footnote>
  <w:footnote w:id="64">
    <w:p w14:paraId="33831C1F" w14:textId="227F9123" w:rsidR="00695636" w:rsidRPr="00FF6E12" w:rsidRDefault="00695636" w:rsidP="00D817F8">
      <w:pPr>
        <w:pStyle w:val="FootnoteText"/>
      </w:pPr>
      <w:r w:rsidRPr="00FF6E12">
        <w:rPr>
          <w:rStyle w:val="FootnoteReference"/>
        </w:rPr>
        <w:footnoteRef/>
      </w:r>
      <w:r w:rsidRPr="00FF6E12">
        <w:t xml:space="preserve"> </w:t>
      </w:r>
      <w:r w:rsidR="00241EDC" w:rsidRPr="00FF6E12">
        <w:t xml:space="preserve">Tasmanian Commission of Inquiry (n </w:t>
      </w:r>
      <w:r w:rsidR="00241EDC" w:rsidRPr="00FF6E12">
        <w:fldChar w:fldCharType="begin"/>
      </w:r>
      <w:r w:rsidR="00241EDC" w:rsidRPr="00FF6E12">
        <w:instrText xml:space="preserve"> NOTEREF _Ref217902008 \h </w:instrText>
      </w:r>
      <w:r w:rsidR="00241EDC" w:rsidRPr="00FF6E12">
        <w:fldChar w:fldCharType="separate"/>
      </w:r>
      <w:r w:rsidR="007D7830">
        <w:t>9</w:t>
      </w:r>
      <w:r w:rsidR="00241EDC" w:rsidRPr="00FF6E12">
        <w:fldChar w:fldCharType="end"/>
      </w:r>
      <w:r w:rsidR="00241EDC" w:rsidRPr="00FF6E12">
        <w:t>) v</w:t>
      </w:r>
      <w:r w:rsidRPr="00FF6E12">
        <w:t xml:space="preserve">ol 2 </w:t>
      </w:r>
      <w:r w:rsidR="00241EDC" w:rsidRPr="00FF6E12">
        <w:t>c</w:t>
      </w:r>
      <w:r w:rsidRPr="00FF6E12">
        <w:t>h 3 107 see fn</w:t>
      </w:r>
      <w:r w:rsidR="00241EDC" w:rsidRPr="00FF6E12">
        <w:t>s</w:t>
      </w:r>
      <w:r w:rsidRPr="00FF6E12">
        <w:t xml:space="preserve"> 38, 39. See also Tasmanian Government, </w:t>
      </w:r>
      <w:r w:rsidRPr="00FF6E12">
        <w:rPr>
          <w:i/>
          <w:iCs/>
        </w:rPr>
        <w:t xml:space="preserve">Keeping Children Safe: Understanding Child Sexual Abuse: Prevalence, Risk Factors and Drivers </w:t>
      </w:r>
      <w:r w:rsidRPr="00FF6E12">
        <w:t>(2025) 15–17.</w:t>
      </w:r>
    </w:p>
  </w:footnote>
  <w:footnote w:id="65">
    <w:p w14:paraId="47DAB12B" w14:textId="38728E6A" w:rsidR="00695636" w:rsidRPr="00FF6E12" w:rsidRDefault="00695636" w:rsidP="00D817F8">
      <w:pPr>
        <w:pStyle w:val="FootnoteText"/>
      </w:pPr>
      <w:r w:rsidRPr="00FF6E12">
        <w:rPr>
          <w:rStyle w:val="FootnoteReference"/>
        </w:rPr>
        <w:footnoteRef/>
      </w:r>
      <w:r w:rsidRPr="00FF6E12">
        <w:t xml:space="preserve"> Cf </w:t>
      </w:r>
      <w:r w:rsidRPr="00AE3542">
        <w:t xml:space="preserve">National Office for Child Safety, </w:t>
      </w:r>
      <w:r w:rsidR="00B408BF" w:rsidRPr="00AE3542">
        <w:rPr>
          <w:i/>
          <w:iCs/>
        </w:rPr>
        <w:t>Language and Ter</w:t>
      </w:r>
      <w:r w:rsidR="00C8214D" w:rsidRPr="00AE3542">
        <w:rPr>
          <w:i/>
          <w:iCs/>
        </w:rPr>
        <w:t>minology Guide</w:t>
      </w:r>
      <w:r w:rsidR="006B4AB1" w:rsidRPr="00AE3542">
        <w:rPr>
          <w:i/>
          <w:iCs/>
        </w:rPr>
        <w:t xml:space="preserve"> </w:t>
      </w:r>
      <w:r w:rsidR="00384A2A" w:rsidRPr="00AE3542">
        <w:t>(</w:t>
      </w:r>
      <w:r w:rsidRPr="00AE3542">
        <w:t>2024</w:t>
      </w:r>
      <w:r w:rsidR="00AE3542" w:rsidRPr="00AE3542">
        <w:t>)</w:t>
      </w:r>
      <w:r w:rsidR="00AE3542">
        <w:t xml:space="preserve"> &lt;</w:t>
      </w:r>
      <w:r w:rsidR="00AE3542" w:rsidRPr="00AE3542">
        <w:t>https://www.childsafety.gov.au/resources/language-and-terminology-guide</w:t>
      </w:r>
      <w:r w:rsidR="00AE3542">
        <w:t>&gt;</w:t>
      </w:r>
      <w:r w:rsidRPr="00FF6E12">
        <w:t xml:space="preserve">, which prefers ‘young person with harmful sexual behaviours’ to ‘offender’. Alternative terminology has been suggested by </w:t>
      </w:r>
      <w:r w:rsidR="00756F36" w:rsidRPr="007416A2">
        <w:t xml:space="preserve">Alissar </w:t>
      </w:r>
      <w:r w:rsidRPr="007416A2">
        <w:t xml:space="preserve">El-Murr, </w:t>
      </w:r>
      <w:r w:rsidR="00756F36" w:rsidRPr="007416A2">
        <w:rPr>
          <w:i/>
          <w:iCs/>
        </w:rPr>
        <w:t>Problem</w:t>
      </w:r>
      <w:r w:rsidR="00756F36">
        <w:rPr>
          <w:i/>
          <w:iCs/>
        </w:rPr>
        <w:t xml:space="preserve"> </w:t>
      </w:r>
      <w:r w:rsidR="005A1CE4">
        <w:rPr>
          <w:i/>
          <w:iCs/>
        </w:rPr>
        <w:t xml:space="preserve">Sexual Behaviours and Sexually Abusive Behaviours in Australian Children and Young People: A Review of Available Literature </w:t>
      </w:r>
      <w:r w:rsidR="009700C3">
        <w:t>(AIFS CFCA Paper No 4</w:t>
      </w:r>
      <w:r w:rsidR="007416A2">
        <w:t xml:space="preserve">6, 2017) </w:t>
      </w:r>
      <w:r w:rsidRPr="00FF6E12">
        <w:t>adopting the terms ‘Problem Sexual Behaviours’ for those children aged 0</w:t>
      </w:r>
      <w:r w:rsidR="001D7564" w:rsidRPr="00FF6E12">
        <w:t>–</w:t>
      </w:r>
      <w:r w:rsidRPr="00FF6E12">
        <w:t>9 years and ‘Sexually Abusive Behaviours’ for those aged 10</w:t>
      </w:r>
      <w:r w:rsidR="001D7564" w:rsidRPr="00FF6E12">
        <w:t>–</w:t>
      </w:r>
      <w:r w:rsidRPr="00FF6E12">
        <w:t>18 years.</w:t>
      </w:r>
    </w:p>
  </w:footnote>
  <w:footnote w:id="66">
    <w:p w14:paraId="2BCBABA5" w14:textId="057A3603" w:rsidR="00695636" w:rsidRPr="00FF6E12" w:rsidRDefault="00695636" w:rsidP="00D817F8">
      <w:pPr>
        <w:pStyle w:val="FootnoteText"/>
      </w:pPr>
      <w:r w:rsidRPr="00FF6E12">
        <w:rPr>
          <w:rStyle w:val="FootnoteReference"/>
        </w:rPr>
        <w:footnoteRef/>
      </w:r>
      <w:r w:rsidR="001D7564" w:rsidRPr="00FF6E12">
        <w:t>Australian Law Reform Commission (</w:t>
      </w:r>
      <w:r w:rsidR="004240F0" w:rsidRPr="00FF6E12">
        <w:t>‘</w:t>
      </w:r>
      <w:r w:rsidR="001D7564" w:rsidRPr="00FF6E12">
        <w:t>ALRC</w:t>
      </w:r>
      <w:r w:rsidR="004240F0" w:rsidRPr="00FF6E12">
        <w:t>’</w:t>
      </w:r>
      <w:r w:rsidR="001D7564" w:rsidRPr="00FF6E12">
        <w:t>)</w:t>
      </w:r>
      <w:r w:rsidR="00247382" w:rsidRPr="00FF6E12">
        <w:t xml:space="preserve">, </w:t>
      </w:r>
      <w:r w:rsidR="00247382" w:rsidRPr="00A920EC">
        <w:rPr>
          <w:i/>
          <w:iCs/>
        </w:rPr>
        <w:t>Safe, Informed,</w:t>
      </w:r>
      <w:r w:rsidR="00247382" w:rsidRPr="00FF6E12">
        <w:t xml:space="preserve"> </w:t>
      </w:r>
      <w:r w:rsidR="00247382" w:rsidRPr="00A920EC">
        <w:rPr>
          <w:i/>
          <w:iCs/>
        </w:rPr>
        <w:t>Supported: Reforming Justice Responses to Sexual Violence</w:t>
      </w:r>
      <w:r w:rsidR="00247382" w:rsidRPr="00FF6E12">
        <w:t xml:space="preserve"> </w:t>
      </w:r>
      <w:r w:rsidR="001D7564" w:rsidRPr="00FF6E12">
        <w:t>(</w:t>
      </w:r>
      <w:r w:rsidR="00247382" w:rsidRPr="00FF6E12">
        <w:t>ALRC Report 143</w:t>
      </w:r>
      <w:r w:rsidR="001D7564" w:rsidRPr="00FF6E12">
        <w:t xml:space="preserve">, </w:t>
      </w:r>
      <w:r w:rsidR="00247382" w:rsidRPr="00FF6E12">
        <w:t>2025)</w:t>
      </w:r>
      <w:r w:rsidRPr="00FF6E12">
        <w:t xml:space="preserve"> [1.40].</w:t>
      </w:r>
    </w:p>
  </w:footnote>
  <w:footnote w:id="67">
    <w:p w14:paraId="3F84976F" w14:textId="3ACD2D03" w:rsidR="00695636" w:rsidRPr="00FF6E12" w:rsidRDefault="00695636" w:rsidP="00D817F8">
      <w:pPr>
        <w:pStyle w:val="FootnoteText"/>
      </w:pPr>
      <w:r w:rsidRPr="00FF6E12">
        <w:rPr>
          <w:rStyle w:val="FootnoteReference"/>
        </w:rPr>
        <w:footnoteRef/>
      </w:r>
      <w:r w:rsidRPr="00FF6E12">
        <w:t xml:space="preserve"> KPMG </w:t>
      </w:r>
      <w:r w:rsidR="00674FC2" w:rsidRPr="00FF6E12">
        <w:t>an</w:t>
      </w:r>
      <w:r w:rsidRPr="00FF6E12">
        <w:t xml:space="preserve"> RMIT University Centre for Innovative Justice</w:t>
      </w:r>
      <w:r w:rsidR="00674FC2" w:rsidRPr="00FF6E12">
        <w:t>,</w:t>
      </w:r>
      <w:r w:rsidRPr="00FF6E12">
        <w:t xml:space="preserve"> </w:t>
      </w:r>
      <w:r w:rsidRPr="00A920EC">
        <w:rPr>
          <w:i/>
          <w:iCs/>
        </w:rPr>
        <w:t>‘This is my story. It’s your case but it’s my story’: Interview study: Exploring Justice System Experiences of Complainants in Sexual Offence Matters</w:t>
      </w:r>
      <w:r w:rsidRPr="00FF6E12">
        <w:t xml:space="preserve"> </w:t>
      </w:r>
      <w:r w:rsidR="001D7564" w:rsidRPr="00FF6E12">
        <w:t>(</w:t>
      </w:r>
      <w:r w:rsidRPr="00FF6E12">
        <w:t>N</w:t>
      </w:r>
      <w:r w:rsidR="004240F0" w:rsidRPr="00FF6E12">
        <w:t xml:space="preserve">ew </w:t>
      </w:r>
      <w:r w:rsidRPr="00FF6E12">
        <w:t>S</w:t>
      </w:r>
      <w:r w:rsidR="004240F0" w:rsidRPr="00FF6E12">
        <w:t xml:space="preserve">outh </w:t>
      </w:r>
      <w:r w:rsidRPr="00FF6E12">
        <w:t>W</w:t>
      </w:r>
      <w:r w:rsidR="004240F0" w:rsidRPr="00FF6E12">
        <w:t>ales</w:t>
      </w:r>
      <w:r w:rsidRPr="00FF6E12">
        <w:t xml:space="preserve"> Bureau of Crime Statistics and Research, 2023). It is noted that the study observed ‘several interview participants had prior experience of domestic and family violence or sexual violence during childhood, with a lack of appropriate police response contribution to their lack of confidence that police would respond any differently to their experience of sexual assault in adulthood</w:t>
      </w:r>
      <w:r w:rsidR="00FD4B5E" w:rsidRPr="00FF6E12">
        <w:t>:</w:t>
      </w:r>
      <w:r w:rsidRPr="00FF6E12">
        <w:t xml:space="preserve"> 24.</w:t>
      </w:r>
    </w:p>
  </w:footnote>
  <w:footnote w:id="68">
    <w:p w14:paraId="5CB24388" w14:textId="6C44AD6B" w:rsidR="00695636" w:rsidRPr="00FF6E12" w:rsidRDefault="00695636" w:rsidP="00D817F8">
      <w:pPr>
        <w:pStyle w:val="FootnoteText"/>
      </w:pPr>
      <w:r w:rsidRPr="00FF6E12">
        <w:rPr>
          <w:rStyle w:val="FootnoteReference"/>
        </w:rPr>
        <w:footnoteRef/>
      </w:r>
      <w:r w:rsidRPr="00FF6E12">
        <w:t xml:space="preserve"> National Centre for Action on Child Sexual Abuse, </w:t>
      </w:r>
      <w:r w:rsidRPr="00FF6E12">
        <w:rPr>
          <w:i/>
          <w:iCs/>
        </w:rPr>
        <w:t xml:space="preserve">Submission to the Inquiry into Australia’s Human Rights Framework by the Parliamentary Joint Committee on Human Rights </w:t>
      </w:r>
      <w:r w:rsidRPr="00FF6E12">
        <w:t>(June 30, 2023) &lt;https://nationalcentre.org.au/wp-content/uploads/2023/07/National-Centre_Submission_HR_Inquiry_FINAL.pdf&gt; 7.</w:t>
      </w:r>
    </w:p>
  </w:footnote>
  <w:footnote w:id="69">
    <w:p w14:paraId="3DD599D0" w14:textId="0FFF925A" w:rsidR="00695636" w:rsidRPr="00FF6E12" w:rsidRDefault="00695636" w:rsidP="00D817F8">
      <w:pPr>
        <w:pStyle w:val="FootnoteText"/>
      </w:pPr>
      <w:r w:rsidRPr="00FF6E12">
        <w:rPr>
          <w:rStyle w:val="FootnoteReference"/>
        </w:rPr>
        <w:footnoteRef/>
      </w:r>
      <w:r w:rsidRPr="00FF6E12">
        <w:t xml:space="preserve"> </w:t>
      </w:r>
      <w:r w:rsidR="001D7564" w:rsidRPr="00FF6E12">
        <w:t xml:space="preserve">Tasmanian Commission of Inquiry (n </w:t>
      </w:r>
      <w:r w:rsidR="001D7564" w:rsidRPr="00FF6E12">
        <w:fldChar w:fldCharType="begin"/>
      </w:r>
      <w:r w:rsidR="001D7564" w:rsidRPr="00FF6E12">
        <w:instrText xml:space="preserve"> NOTEREF _Ref217902008 \h </w:instrText>
      </w:r>
      <w:r w:rsidR="001D7564" w:rsidRPr="00FF6E12">
        <w:fldChar w:fldCharType="separate"/>
      </w:r>
      <w:r w:rsidR="007D7830">
        <w:t>9</w:t>
      </w:r>
      <w:r w:rsidR="001D7564" w:rsidRPr="00FF6E12">
        <w:fldChar w:fldCharType="end"/>
      </w:r>
      <w:r w:rsidR="001D7564" w:rsidRPr="00FF6E12">
        <w:t>) vol</w:t>
      </w:r>
      <w:r w:rsidRPr="00FF6E12">
        <w:t xml:space="preserve"> 2 </w:t>
      </w:r>
      <w:r w:rsidR="001D7564" w:rsidRPr="00FF6E12">
        <w:t xml:space="preserve">ch </w:t>
      </w:r>
      <w:r w:rsidRPr="00FF6E12">
        <w:t xml:space="preserve">3 </w:t>
      </w:r>
      <w:r w:rsidR="001A2212" w:rsidRPr="00FF6E12">
        <w:t>[</w:t>
      </w:r>
      <w:r w:rsidRPr="00FF6E12">
        <w:t>5.1</w:t>
      </w:r>
      <w:r w:rsidR="001A2212" w:rsidRPr="00FF6E12">
        <w:t>].</w:t>
      </w:r>
    </w:p>
  </w:footnote>
  <w:footnote w:id="70">
    <w:p w14:paraId="467A9F7F" w14:textId="23191C79" w:rsidR="00695636" w:rsidRPr="00FF6E12" w:rsidRDefault="00695636" w:rsidP="00D817F8">
      <w:pPr>
        <w:pStyle w:val="FootnoteText"/>
      </w:pPr>
      <w:r w:rsidRPr="00FF6E12">
        <w:rPr>
          <w:rStyle w:val="FootnoteReference"/>
        </w:rPr>
        <w:footnoteRef/>
      </w:r>
      <w:r w:rsidRPr="00FF6E12">
        <w:t xml:space="preserve"> </w:t>
      </w:r>
      <w:r w:rsidR="00247382" w:rsidRPr="00FF6E12">
        <w:t>ALRC</w:t>
      </w:r>
      <w:r w:rsidR="00FD4B5E" w:rsidRPr="00FF6E12">
        <w:t xml:space="preserve"> (n </w:t>
      </w:r>
      <w:r w:rsidR="00FD4B5E" w:rsidRPr="00FF6E12">
        <w:fldChar w:fldCharType="begin"/>
      </w:r>
      <w:r w:rsidR="00FD4B5E" w:rsidRPr="00FF6E12">
        <w:instrText xml:space="preserve"> NOTEREF _Ref217913617 \h </w:instrText>
      </w:r>
      <w:r w:rsidR="00FD4B5E" w:rsidRPr="00FF6E12">
        <w:fldChar w:fldCharType="separate"/>
      </w:r>
      <w:r w:rsidR="007D7830">
        <w:t>65</w:t>
      </w:r>
      <w:r w:rsidR="00FD4B5E" w:rsidRPr="00FF6E12">
        <w:fldChar w:fldCharType="end"/>
      </w:r>
      <w:r w:rsidR="00FD4B5E" w:rsidRPr="00FF6E12">
        <w:t>)</w:t>
      </w:r>
      <w:r w:rsidRPr="00FF6E12">
        <w:t xml:space="preserve"> [2.18]. See also Australian Institute of Family Studies</w:t>
      </w:r>
      <w:r w:rsidR="00FD4B5E" w:rsidRPr="00FF6E12">
        <w:t xml:space="preserve"> (n </w:t>
      </w:r>
      <w:r w:rsidR="00FD4B5E" w:rsidRPr="00FF6E12">
        <w:fldChar w:fldCharType="begin"/>
      </w:r>
      <w:r w:rsidR="00FD4B5E" w:rsidRPr="00FF6E12">
        <w:instrText xml:space="preserve"> NOTEREF _Ref217913688 \h </w:instrText>
      </w:r>
      <w:r w:rsidR="00FD4B5E" w:rsidRPr="00FF6E12">
        <w:fldChar w:fldCharType="separate"/>
      </w:r>
      <w:r w:rsidR="007D7830">
        <w:t>53</w:t>
      </w:r>
      <w:r w:rsidR="00FD4B5E" w:rsidRPr="00FF6E12">
        <w:fldChar w:fldCharType="end"/>
      </w:r>
      <w:r w:rsidR="00FD4B5E" w:rsidRPr="00FF6E12">
        <w:t>)</w:t>
      </w:r>
      <w:r w:rsidRPr="00FF6E12">
        <w:t xml:space="preserve"> 13</w:t>
      </w:r>
      <w:r w:rsidR="004E4B9A" w:rsidRPr="00FF6E12">
        <w:t>–</w:t>
      </w:r>
      <w:r w:rsidRPr="00FF6E12">
        <w:t>15</w:t>
      </w:r>
      <w:r w:rsidR="004E4B9A" w:rsidRPr="00FF6E12">
        <w:t>.</w:t>
      </w:r>
    </w:p>
  </w:footnote>
  <w:footnote w:id="71">
    <w:p w14:paraId="365CFC52" w14:textId="0596CDE5" w:rsidR="00E02DB3" w:rsidRPr="00FF6E12" w:rsidRDefault="00E02DB3" w:rsidP="00D817F8">
      <w:pPr>
        <w:pStyle w:val="FootnoteText"/>
        <w:rPr>
          <w:highlight w:val="yellow"/>
        </w:rPr>
      </w:pPr>
      <w:r w:rsidRPr="00FF6E12">
        <w:rPr>
          <w:rStyle w:val="FootnoteReference"/>
        </w:rPr>
        <w:footnoteRef/>
      </w:r>
      <w:r w:rsidRPr="00FF6E12">
        <w:t xml:space="preserve"> </w:t>
      </w:r>
      <w:r w:rsidR="00247382" w:rsidRPr="00FF6E12">
        <w:t>ALRC</w:t>
      </w:r>
      <w:r w:rsidR="00BF6F1C" w:rsidRPr="00FF6E12">
        <w:t xml:space="preserve"> </w:t>
      </w:r>
      <w:r w:rsidR="00FD4B5E" w:rsidRPr="00FF6E12">
        <w:t xml:space="preserve">(n </w:t>
      </w:r>
      <w:r w:rsidR="00FD4B5E" w:rsidRPr="00FF6E12">
        <w:fldChar w:fldCharType="begin"/>
      </w:r>
      <w:r w:rsidR="00FD4B5E" w:rsidRPr="00FF6E12">
        <w:instrText xml:space="preserve"> NOTEREF _Ref217913617 \h </w:instrText>
      </w:r>
      <w:r w:rsidR="00FD4B5E" w:rsidRPr="00FF6E12">
        <w:fldChar w:fldCharType="separate"/>
      </w:r>
      <w:r w:rsidR="007D7830">
        <w:t>65</w:t>
      </w:r>
      <w:r w:rsidR="00FD4B5E" w:rsidRPr="00FF6E12">
        <w:fldChar w:fldCharType="end"/>
      </w:r>
      <w:r w:rsidR="00FD4B5E" w:rsidRPr="00FF6E12">
        <w:t>).</w:t>
      </w:r>
    </w:p>
  </w:footnote>
  <w:footnote w:id="72">
    <w:p w14:paraId="6945AA4B" w14:textId="008E3CE5" w:rsidR="00695636" w:rsidRPr="00FF6E12" w:rsidRDefault="00695636" w:rsidP="00D817F8">
      <w:pPr>
        <w:pStyle w:val="FootnoteText"/>
      </w:pPr>
      <w:r w:rsidRPr="00FF6E12">
        <w:rPr>
          <w:rStyle w:val="FootnoteReference"/>
        </w:rPr>
        <w:footnoteRef/>
      </w:r>
      <w:r w:rsidRPr="00FF6E12">
        <w:t xml:space="preserve"> </w:t>
      </w:r>
      <w:r w:rsidR="00B87555" w:rsidRPr="00FF6E12">
        <w:t xml:space="preserve">See </w:t>
      </w:r>
      <w:r w:rsidR="00C51E0D" w:rsidRPr="00FF6E12">
        <w:t>Jeremy</w:t>
      </w:r>
      <w:r w:rsidR="00294EBF" w:rsidRPr="00FF6E12">
        <w:t xml:space="preserve"> Prichard</w:t>
      </w:r>
      <w:r w:rsidR="00C51E0D" w:rsidRPr="00FF6E12">
        <w:t>, Paul A Watters, and Caroline Spiranovic</w:t>
      </w:r>
      <w:r w:rsidR="00294EBF" w:rsidRPr="00FF6E12">
        <w:t>,</w:t>
      </w:r>
      <w:r w:rsidR="00C51E0D" w:rsidRPr="00FF6E12">
        <w:t xml:space="preserve"> </w:t>
      </w:r>
      <w:r w:rsidR="00294EBF" w:rsidRPr="00FF6E12">
        <w:t>‘</w:t>
      </w:r>
      <w:r w:rsidR="00C51E0D" w:rsidRPr="00FF6E12">
        <w:t>Internet subcultures and pathways to the use of child pornography</w:t>
      </w:r>
      <w:r w:rsidR="00294EBF" w:rsidRPr="00FF6E12">
        <w:t xml:space="preserve">’ (2011) 27(6) </w:t>
      </w:r>
      <w:r w:rsidR="00C51E0D" w:rsidRPr="00FF6E12">
        <w:rPr>
          <w:i/>
          <w:iCs/>
        </w:rPr>
        <w:t>Computer Law &amp; Security Review</w:t>
      </w:r>
      <w:r w:rsidR="00294EBF" w:rsidRPr="00FF6E12">
        <w:t xml:space="preserve"> </w:t>
      </w:r>
      <w:r w:rsidR="00541D95" w:rsidRPr="00FF6E12">
        <w:t>587.</w:t>
      </w:r>
    </w:p>
  </w:footnote>
  <w:footnote w:id="73">
    <w:p w14:paraId="30A2F350" w14:textId="63020517" w:rsidR="00695636" w:rsidRPr="00FF6E12" w:rsidRDefault="00695636" w:rsidP="00D817F8">
      <w:pPr>
        <w:pStyle w:val="FootnoteText"/>
      </w:pPr>
      <w:r w:rsidRPr="00FF6E12">
        <w:rPr>
          <w:rStyle w:val="FootnoteReference"/>
        </w:rPr>
        <w:footnoteRef/>
      </w:r>
      <w:r w:rsidRPr="00FF6E12">
        <w:t xml:space="preserve"> </w:t>
      </w:r>
      <w:r w:rsidR="00FD5077" w:rsidRPr="00FF6E12">
        <w:t>Ibid.</w:t>
      </w:r>
    </w:p>
  </w:footnote>
  <w:footnote w:id="74">
    <w:p w14:paraId="765D0566" w14:textId="57887058" w:rsidR="00695636" w:rsidRPr="00FF6E12" w:rsidRDefault="00695636" w:rsidP="00896A52">
      <w:pPr>
        <w:pStyle w:val="FootnoteText"/>
      </w:pPr>
      <w:r w:rsidRPr="00FF6E12">
        <w:rPr>
          <w:rStyle w:val="FootnoteReference"/>
        </w:rPr>
        <w:footnoteRef/>
      </w:r>
      <w:r w:rsidRPr="00FF6E12">
        <w:t xml:space="preserve"> </w:t>
      </w:r>
      <w:r w:rsidR="00310952" w:rsidRPr="00FF6E12">
        <w:t>Heather Wolbers et al, ‘</w:t>
      </w:r>
      <w:r w:rsidR="00896A52" w:rsidRPr="00FF6E12">
        <w:t>Sexual extortion of Australian adolescents: Results from a national survey</w:t>
      </w:r>
      <w:r w:rsidR="004240F0" w:rsidRPr="00FF6E12">
        <w:t>’</w:t>
      </w:r>
      <w:r w:rsidR="00310952" w:rsidRPr="00FF6E12">
        <w:t xml:space="preserve"> (2025)</w:t>
      </w:r>
      <w:r w:rsidR="00BF6F1C" w:rsidRPr="00FF6E12">
        <w:t xml:space="preserve"> </w:t>
      </w:r>
      <w:r w:rsidR="004240F0" w:rsidRPr="00FF6E12">
        <w:t>71</w:t>
      </w:r>
      <w:r w:rsidR="00896A52" w:rsidRPr="00FF6E12">
        <w:t>2</w:t>
      </w:r>
      <w:r w:rsidR="00310952" w:rsidRPr="00FF6E12">
        <w:t xml:space="preserve"> </w:t>
      </w:r>
      <w:r w:rsidR="00310952" w:rsidRPr="00FF6E12">
        <w:rPr>
          <w:i/>
          <w:iCs/>
        </w:rPr>
        <w:t>Trends and Issues in Crime and Criminal Justice</w:t>
      </w:r>
      <w:r w:rsidR="00310952" w:rsidRPr="00FF6E12">
        <w:t xml:space="preserve"> </w:t>
      </w:r>
      <w:r w:rsidR="004E4B9A" w:rsidRPr="00FF6E12">
        <w:t>&lt;</w:t>
      </w:r>
      <w:r w:rsidR="00896A52" w:rsidRPr="00FF6E12">
        <w:t>https://www.aic.gov.au/sites/default/files/2025-02/ti712_sexual_extortion_of_australian_adolescents.pdf</w:t>
      </w:r>
      <w:r w:rsidR="004E4B9A" w:rsidRPr="00FF6E12">
        <w:t>&gt;</w:t>
      </w:r>
      <w:r w:rsidR="00310952" w:rsidRPr="00FF6E12">
        <w:t>.</w:t>
      </w:r>
    </w:p>
  </w:footnote>
  <w:footnote w:id="75">
    <w:p w14:paraId="69A502E1" w14:textId="25C9D186" w:rsidR="00695636" w:rsidRPr="00FF6E12" w:rsidRDefault="00695636" w:rsidP="00D817F8">
      <w:pPr>
        <w:pStyle w:val="FootnoteText"/>
      </w:pPr>
      <w:r w:rsidRPr="00FF6E12">
        <w:rPr>
          <w:rStyle w:val="FootnoteReference"/>
        </w:rPr>
        <w:footnoteRef/>
      </w:r>
      <w:r w:rsidRPr="00FF6E12">
        <w:t xml:space="preserve"> Office of the e-Safety Commissioner</w:t>
      </w:r>
      <w:r w:rsidR="00C82657" w:rsidRPr="00FF6E12">
        <w:t>,</w:t>
      </w:r>
      <w:r w:rsidRPr="00FF6E12">
        <w:t xml:space="preserve"> </w:t>
      </w:r>
      <w:r w:rsidRPr="00FF6E12">
        <w:rPr>
          <w:i/>
          <w:iCs/>
        </w:rPr>
        <w:t xml:space="preserve">Image-based </w:t>
      </w:r>
      <w:r w:rsidR="00C82657" w:rsidRPr="00FF6E12">
        <w:rPr>
          <w:i/>
          <w:iCs/>
        </w:rPr>
        <w:t>A</w:t>
      </w:r>
      <w:r w:rsidRPr="00FF6E12">
        <w:rPr>
          <w:i/>
          <w:iCs/>
        </w:rPr>
        <w:t xml:space="preserve">buse: Qualitative </w:t>
      </w:r>
      <w:r w:rsidR="00C82657" w:rsidRPr="00FF6E12">
        <w:rPr>
          <w:i/>
          <w:iCs/>
        </w:rPr>
        <w:t>R</w:t>
      </w:r>
      <w:r w:rsidRPr="00FF6E12">
        <w:rPr>
          <w:i/>
          <w:iCs/>
        </w:rPr>
        <w:t xml:space="preserve">esearch </w:t>
      </w:r>
      <w:r w:rsidR="00C82657" w:rsidRPr="00FF6E12">
        <w:rPr>
          <w:i/>
          <w:iCs/>
        </w:rPr>
        <w:t>S</w:t>
      </w:r>
      <w:r w:rsidRPr="00FF6E12">
        <w:rPr>
          <w:i/>
          <w:iCs/>
        </w:rPr>
        <w:t>ummary</w:t>
      </w:r>
      <w:r w:rsidRPr="00FF6E12">
        <w:t xml:space="preserve"> </w:t>
      </w:r>
      <w:r w:rsidR="00C82657" w:rsidRPr="00FF6E12">
        <w:t>(Qualitative Report, 2017) &lt;</w:t>
      </w:r>
      <w:r w:rsidR="004E4B9A" w:rsidRPr="00A920EC">
        <w:t>https://www.esafety.gov.au/research/image-based-abuse</w:t>
      </w:r>
      <w:r w:rsidR="00C82657" w:rsidRPr="00FF6E12">
        <w:t>&gt;</w:t>
      </w:r>
      <w:r w:rsidR="00310952" w:rsidRPr="00FF6E12">
        <w:t>.</w:t>
      </w:r>
    </w:p>
  </w:footnote>
  <w:footnote w:id="76">
    <w:p w14:paraId="7A6C5012" w14:textId="77777777" w:rsidR="00695636" w:rsidRPr="00FF6E12" w:rsidRDefault="00695636" w:rsidP="00D817F8">
      <w:pPr>
        <w:pStyle w:val="FootnoteText"/>
      </w:pPr>
      <w:r w:rsidRPr="00FF6E12">
        <w:rPr>
          <w:rStyle w:val="FootnoteReference"/>
        </w:rPr>
        <w:footnoteRef/>
      </w:r>
      <w:r w:rsidRPr="00FF6E12">
        <w:t xml:space="preserve"> Finkelhor et al, ‘Child Sexual Abuse Images and Youth Produced Images; The Varieties of Image-based Sexual Exploitation and Abuse of Children’ (2023) 243 </w:t>
      </w:r>
      <w:r w:rsidRPr="00FF6E12">
        <w:rPr>
          <w:i/>
          <w:iCs/>
        </w:rPr>
        <w:t xml:space="preserve">Child Abuse and Neglect </w:t>
      </w:r>
      <w:r w:rsidRPr="00FF6E12">
        <w:t>1, 6.</w:t>
      </w:r>
    </w:p>
  </w:footnote>
  <w:footnote w:id="77">
    <w:p w14:paraId="2848B6AE" w14:textId="23EE7FA3" w:rsidR="00695636" w:rsidRPr="00FF6E12" w:rsidRDefault="00695636" w:rsidP="00D817F8">
      <w:pPr>
        <w:pStyle w:val="FootnoteText"/>
      </w:pPr>
      <w:r w:rsidRPr="00FF6E12">
        <w:rPr>
          <w:rStyle w:val="FootnoteReference"/>
        </w:rPr>
        <w:footnoteRef/>
      </w:r>
      <w:r w:rsidR="00A016DF" w:rsidRPr="00FF6E12">
        <w:t xml:space="preserve"> </w:t>
      </w:r>
      <w:r w:rsidRPr="00FF6E12">
        <w:t>McKibbin</w:t>
      </w:r>
      <w:r w:rsidR="00C82657" w:rsidRPr="00FF6E12">
        <w:t xml:space="preserve"> et al (n</w:t>
      </w:r>
      <w:r w:rsidR="00CD518B" w:rsidRPr="00FF6E12">
        <w:t xml:space="preserve"> </w:t>
      </w:r>
      <w:r w:rsidR="00C82657" w:rsidRPr="00FF6E12">
        <w:fldChar w:fldCharType="begin"/>
      </w:r>
      <w:r w:rsidR="00C82657" w:rsidRPr="00FF6E12">
        <w:instrText xml:space="preserve"> NOTEREF _Ref217901178 \h </w:instrText>
      </w:r>
      <w:r w:rsidR="00C82657" w:rsidRPr="00FF6E12">
        <w:fldChar w:fldCharType="separate"/>
      </w:r>
      <w:r w:rsidR="007D7830">
        <w:t>10</w:t>
      </w:r>
      <w:r w:rsidR="00C82657" w:rsidRPr="00FF6E12">
        <w:fldChar w:fldCharType="end"/>
      </w:r>
      <w:r w:rsidR="00C82657" w:rsidRPr="00FF6E12">
        <w:t xml:space="preserve">) </w:t>
      </w:r>
      <w:r w:rsidRPr="00FF6E12">
        <w:t>2.</w:t>
      </w:r>
    </w:p>
  </w:footnote>
  <w:footnote w:id="78">
    <w:p w14:paraId="0894F9AC" w14:textId="07E11286" w:rsidR="00695636" w:rsidRPr="00FF6E12" w:rsidRDefault="00695636" w:rsidP="00D817F8">
      <w:pPr>
        <w:pStyle w:val="FootnoteText"/>
      </w:pPr>
      <w:r w:rsidRPr="00FF6E12">
        <w:rPr>
          <w:rStyle w:val="FootnoteReference"/>
        </w:rPr>
        <w:footnoteRef/>
      </w:r>
      <w:r w:rsidRPr="00FF6E12">
        <w:t xml:space="preserve"> Finkelhor et al</w:t>
      </w:r>
      <w:r w:rsidR="00C82657" w:rsidRPr="00FF6E12">
        <w:t xml:space="preserve"> (n </w:t>
      </w:r>
      <w:r w:rsidR="00C82657" w:rsidRPr="00FF6E12">
        <w:fldChar w:fldCharType="begin"/>
      </w:r>
      <w:r w:rsidR="00C82657" w:rsidRPr="00FF6E12">
        <w:instrText xml:space="preserve"> NOTEREF _Ref217915176 \h </w:instrText>
      </w:r>
      <w:r w:rsidR="00C82657" w:rsidRPr="00FF6E12">
        <w:fldChar w:fldCharType="separate"/>
      </w:r>
      <w:r w:rsidR="007D7830">
        <w:t>75</w:t>
      </w:r>
      <w:r w:rsidR="00C82657" w:rsidRPr="00FF6E12">
        <w:fldChar w:fldCharType="end"/>
      </w:r>
      <w:r w:rsidR="00C82657" w:rsidRPr="00FF6E12">
        <w:t>)</w:t>
      </w:r>
      <w:r w:rsidRPr="00FF6E12">
        <w:t xml:space="preserve"> 7.</w:t>
      </w:r>
    </w:p>
  </w:footnote>
  <w:footnote w:id="79">
    <w:p w14:paraId="563AE166" w14:textId="68671B48" w:rsidR="00695636" w:rsidRPr="00FF6E12" w:rsidRDefault="00695636" w:rsidP="00D817F8">
      <w:pPr>
        <w:pStyle w:val="FootnoteText"/>
      </w:pPr>
      <w:r w:rsidRPr="00FF6E12">
        <w:rPr>
          <w:rStyle w:val="FootnoteReference"/>
        </w:rPr>
        <w:footnoteRef/>
      </w:r>
      <w:r w:rsidRPr="00FF6E12">
        <w:t xml:space="preserve"> </w:t>
      </w:r>
      <w:r w:rsidR="00C82657" w:rsidRPr="00FF6E12">
        <w:t xml:space="preserve">McKibbin et al (n </w:t>
      </w:r>
      <w:r w:rsidR="00C82657" w:rsidRPr="00FF6E12">
        <w:fldChar w:fldCharType="begin"/>
      </w:r>
      <w:r w:rsidR="00C82657" w:rsidRPr="00FF6E12">
        <w:instrText xml:space="preserve"> NOTEREF _Ref217901178 \h </w:instrText>
      </w:r>
      <w:r w:rsidR="00C82657" w:rsidRPr="00FF6E12">
        <w:fldChar w:fldCharType="separate"/>
      </w:r>
      <w:r w:rsidR="007D7830">
        <w:t>10</w:t>
      </w:r>
      <w:r w:rsidR="00C82657" w:rsidRPr="00FF6E12">
        <w:fldChar w:fldCharType="end"/>
      </w:r>
      <w:r w:rsidR="00C82657" w:rsidRPr="00FF6E12">
        <w:t xml:space="preserve">) </w:t>
      </w:r>
      <w:r w:rsidRPr="00FF6E12">
        <w:t xml:space="preserve">6. This research informed the development of a model (to be used alongside current definition of harmful sexual behaviour) to understand the perspective of victims </w:t>
      </w:r>
      <w:r w:rsidR="00C82657" w:rsidRPr="00FF6E12">
        <w:t xml:space="preserve">aged </w:t>
      </w:r>
      <w:r w:rsidRPr="00FF6E12">
        <w:t>9</w:t>
      </w:r>
      <w:r w:rsidR="00C82657" w:rsidRPr="00FF6E12">
        <w:t>–</w:t>
      </w:r>
      <w:r w:rsidRPr="00FF6E12">
        <w:t>12.</w:t>
      </w:r>
      <w:r w:rsidR="00E02144" w:rsidRPr="00FF6E12">
        <w:t xml:space="preserve"> </w:t>
      </w:r>
      <w:r w:rsidRPr="00FF6E12">
        <w:t xml:space="preserve">See also </w:t>
      </w:r>
      <w:r w:rsidR="00C82657" w:rsidRPr="00FF6E12">
        <w:t xml:space="preserve">McKibben et al (n </w:t>
      </w:r>
      <w:r w:rsidR="00C82657" w:rsidRPr="00FF6E12">
        <w:fldChar w:fldCharType="begin"/>
      </w:r>
      <w:r w:rsidR="00C82657" w:rsidRPr="00FF6E12">
        <w:instrText xml:space="preserve"> NOTEREF _Ref217915302 \h </w:instrText>
      </w:r>
      <w:r w:rsidR="00C82657" w:rsidRPr="00FF6E12">
        <w:fldChar w:fldCharType="separate"/>
      </w:r>
      <w:r w:rsidR="007D7830">
        <w:t>60</w:t>
      </w:r>
      <w:r w:rsidR="00C82657" w:rsidRPr="00FF6E12">
        <w:fldChar w:fldCharType="end"/>
      </w:r>
      <w:r w:rsidR="00C82657" w:rsidRPr="00FF6E12">
        <w:t>).</w:t>
      </w:r>
    </w:p>
  </w:footnote>
  <w:footnote w:id="80">
    <w:p w14:paraId="2BE5DC73" w14:textId="3730F502" w:rsidR="00695636" w:rsidRPr="00FF6E12" w:rsidRDefault="00695636" w:rsidP="00D817F8">
      <w:pPr>
        <w:pStyle w:val="FootnoteText"/>
      </w:pPr>
      <w:r w:rsidRPr="00FF6E12">
        <w:rPr>
          <w:rStyle w:val="FootnoteReference"/>
        </w:rPr>
        <w:footnoteRef/>
      </w:r>
      <w:r w:rsidRPr="00FF6E12">
        <w:t xml:space="preserve"> McKibben et al</w:t>
      </w:r>
      <w:r w:rsidR="00C82657" w:rsidRPr="00FF6E12">
        <w:t xml:space="preserve"> (n </w:t>
      </w:r>
      <w:r w:rsidR="00C82657" w:rsidRPr="00FF6E12">
        <w:fldChar w:fldCharType="begin"/>
      </w:r>
      <w:r w:rsidR="00C82657" w:rsidRPr="00FF6E12">
        <w:instrText xml:space="preserve"> NOTEREF _Ref217915302 \h </w:instrText>
      </w:r>
      <w:r w:rsidR="00C82657" w:rsidRPr="00FF6E12">
        <w:fldChar w:fldCharType="separate"/>
      </w:r>
      <w:r w:rsidR="007D7830">
        <w:t>60</w:t>
      </w:r>
      <w:r w:rsidR="00C82657" w:rsidRPr="00FF6E12">
        <w:fldChar w:fldCharType="end"/>
      </w:r>
      <w:r w:rsidR="00C82657" w:rsidRPr="00FF6E12">
        <w:t>)</w:t>
      </w:r>
      <w:r w:rsidRPr="00FF6E12">
        <w:t xml:space="preserve"> 18.</w:t>
      </w:r>
    </w:p>
  </w:footnote>
  <w:footnote w:id="81">
    <w:p w14:paraId="2C46EBD0" w14:textId="397C0FD5" w:rsidR="00695636" w:rsidRPr="00FF6E12" w:rsidRDefault="00695636" w:rsidP="00D817F8">
      <w:pPr>
        <w:pStyle w:val="FootnoteText"/>
      </w:pPr>
      <w:r w:rsidRPr="00FF6E12">
        <w:rPr>
          <w:rStyle w:val="FootnoteReference"/>
        </w:rPr>
        <w:footnoteRef/>
      </w:r>
      <w:r w:rsidRPr="00FF6E12">
        <w:t xml:space="preserve"> </w:t>
      </w:r>
      <w:r w:rsidR="00C82657" w:rsidRPr="00FF6E12">
        <w:t>Ibid 19.</w:t>
      </w:r>
    </w:p>
  </w:footnote>
  <w:footnote w:id="82">
    <w:p w14:paraId="37D161B4" w14:textId="32CCB3C7" w:rsidR="00695636" w:rsidRPr="00FF6E12" w:rsidRDefault="00695636" w:rsidP="00D817F8">
      <w:pPr>
        <w:pStyle w:val="FootnoteText"/>
      </w:pPr>
      <w:r w:rsidRPr="00FF6E12">
        <w:rPr>
          <w:rStyle w:val="FootnoteReference"/>
        </w:rPr>
        <w:footnoteRef/>
      </w:r>
      <w:r w:rsidRPr="00FF6E12">
        <w:t xml:space="preserve"> </w:t>
      </w:r>
      <w:r w:rsidR="00C82657" w:rsidRPr="00FF6E12">
        <w:t>Ibid.</w:t>
      </w:r>
    </w:p>
  </w:footnote>
  <w:footnote w:id="83">
    <w:p w14:paraId="2A4E88AF" w14:textId="284632B2" w:rsidR="00695636" w:rsidRPr="00FF6E12" w:rsidRDefault="00695636" w:rsidP="00D817F8">
      <w:pPr>
        <w:pStyle w:val="FootnoteText"/>
      </w:pPr>
      <w:r w:rsidRPr="00FF6E12">
        <w:rPr>
          <w:rStyle w:val="FootnoteReference"/>
        </w:rPr>
        <w:footnoteRef/>
      </w:r>
      <w:r w:rsidRPr="00FF6E12">
        <w:t xml:space="preserve"> </w:t>
      </w:r>
      <w:r w:rsidR="00C82657" w:rsidRPr="00FF6E12">
        <w:t xml:space="preserve">Mathews et al (n </w:t>
      </w:r>
      <w:r w:rsidR="00C82657" w:rsidRPr="00FF6E12">
        <w:fldChar w:fldCharType="begin"/>
      </w:r>
      <w:r w:rsidR="00C82657" w:rsidRPr="00FF6E12">
        <w:instrText xml:space="preserve"> NOTEREF _Ref217901142 \h </w:instrText>
      </w:r>
      <w:r w:rsidR="00C82657" w:rsidRPr="00FF6E12">
        <w:fldChar w:fldCharType="separate"/>
      </w:r>
      <w:r w:rsidR="007D7830">
        <w:t>2</w:t>
      </w:r>
      <w:r w:rsidR="00C82657" w:rsidRPr="00FF6E12">
        <w:fldChar w:fldCharType="end"/>
      </w:r>
      <w:r w:rsidR="00C82657" w:rsidRPr="00FF6E12">
        <w:t xml:space="preserve">) </w:t>
      </w:r>
      <w:r w:rsidR="004A385B" w:rsidRPr="00FF6E12">
        <w:t>2</w:t>
      </w:r>
      <w:r w:rsidR="001207B6" w:rsidRPr="00FF6E12">
        <w:t>.</w:t>
      </w:r>
    </w:p>
  </w:footnote>
  <w:footnote w:id="84">
    <w:p w14:paraId="21DE6264" w14:textId="2C45A720" w:rsidR="00695636" w:rsidRPr="00FF6E12" w:rsidRDefault="00695636" w:rsidP="00D817F8">
      <w:pPr>
        <w:pStyle w:val="FootnoteText"/>
      </w:pPr>
      <w:r w:rsidRPr="00FF6E12">
        <w:rPr>
          <w:rStyle w:val="FootnoteReference"/>
        </w:rPr>
        <w:footnoteRef/>
      </w:r>
      <w:r w:rsidRPr="00FF6E12">
        <w:t xml:space="preserve"> </w:t>
      </w:r>
      <w:r w:rsidRPr="00FF6E12">
        <w:rPr>
          <w:rFonts w:eastAsia="Times New Roman" w:cs="Times New Roman"/>
        </w:rPr>
        <w:t>Australian Institute of Health and Wellbeing (</w:t>
      </w:r>
      <w:r w:rsidR="00C82657" w:rsidRPr="00FF6E12">
        <w:rPr>
          <w:rFonts w:eastAsia="Times New Roman" w:cs="Times New Roman"/>
        </w:rPr>
        <w:t>‘</w:t>
      </w:r>
      <w:r w:rsidRPr="00FF6E12">
        <w:rPr>
          <w:rFonts w:eastAsia="Times New Roman" w:cs="Times New Roman"/>
        </w:rPr>
        <w:t>AIHW</w:t>
      </w:r>
      <w:r w:rsidR="00C82657" w:rsidRPr="00FF6E12">
        <w:rPr>
          <w:rFonts w:eastAsia="Times New Roman" w:cs="Times New Roman"/>
        </w:rPr>
        <w:t>’</w:t>
      </w:r>
      <w:r w:rsidRPr="00FF6E12">
        <w:rPr>
          <w:rFonts w:eastAsia="Times New Roman" w:cs="Times New Roman"/>
        </w:rPr>
        <w:t xml:space="preserve">) </w:t>
      </w:r>
      <w:r w:rsidRPr="00A920EC">
        <w:rPr>
          <w:rFonts w:eastAsia="Times New Roman" w:cs="Times New Roman"/>
          <w:i/>
          <w:iCs/>
        </w:rPr>
        <w:t>Child sexual abuse</w:t>
      </w:r>
      <w:r w:rsidR="00C82657" w:rsidRPr="00FF6E12">
        <w:rPr>
          <w:rFonts w:eastAsia="Times New Roman" w:cs="Times New Roman"/>
        </w:rPr>
        <w:t xml:space="preserve"> (Web page, 30 July 2025) </w:t>
      </w:r>
      <w:r w:rsidRPr="00FF6E12">
        <w:t>&lt;</w:t>
      </w:r>
      <w:r w:rsidR="00C82657" w:rsidRPr="00A920EC">
        <w:t>https://www.aihw.gov.au/family-domestic-and-sexual-violence/types-of-violence/child-sexual-abuse</w:t>
      </w:r>
      <w:r w:rsidRPr="00FF6E12">
        <w:t>&gt;</w:t>
      </w:r>
      <w:r w:rsidR="00902808" w:rsidRPr="00FF6E12">
        <w:t>.</w:t>
      </w:r>
    </w:p>
  </w:footnote>
  <w:footnote w:id="85">
    <w:p w14:paraId="55E1FDB8" w14:textId="115F507A" w:rsidR="00B46BBE" w:rsidRPr="00FF6E12" w:rsidRDefault="00B46BBE" w:rsidP="00D817F8">
      <w:pPr>
        <w:pStyle w:val="FootnoteText"/>
        <w:rPr>
          <w:highlight w:val="yellow"/>
        </w:rPr>
      </w:pPr>
      <w:r w:rsidRPr="00FF6E12">
        <w:rPr>
          <w:rStyle w:val="FootnoteReference"/>
          <w:rFonts w:cs="Times New Roman"/>
        </w:rPr>
        <w:footnoteRef/>
      </w:r>
      <w:r w:rsidRPr="00FF6E12">
        <w:t xml:space="preserve"> Marcel Aebi et al, </w:t>
      </w:r>
      <w:r w:rsidR="00C82657" w:rsidRPr="00FF6E12">
        <w:t>‘</w:t>
      </w:r>
      <w:r w:rsidRPr="00FF6E12">
        <w:t xml:space="preserve">Testing the </w:t>
      </w:r>
      <w:r w:rsidR="00C82657" w:rsidRPr="00FF6E12">
        <w:t>“</w:t>
      </w:r>
      <w:r w:rsidRPr="00FF6E12">
        <w:t>sexually abused-abuser hypothesis</w:t>
      </w:r>
      <w:r w:rsidR="00C82657" w:rsidRPr="00FF6E12">
        <w:t>”</w:t>
      </w:r>
      <w:r w:rsidRPr="00FF6E12">
        <w:t xml:space="preserve"> in adolescents: A population-based study</w:t>
      </w:r>
      <w:r w:rsidR="00093801">
        <w:t>’</w:t>
      </w:r>
      <w:r w:rsidRPr="00FF6E12">
        <w:t xml:space="preserve"> (2015) 44 </w:t>
      </w:r>
      <w:r w:rsidRPr="00FF6E12">
        <w:rPr>
          <w:i/>
        </w:rPr>
        <w:t>Archives of Sexual Behavior</w:t>
      </w:r>
      <w:r w:rsidRPr="00FF6E12">
        <w:t xml:space="preserve"> 2189. See also </w:t>
      </w:r>
      <w:r w:rsidR="00C41D79" w:rsidRPr="00FF6E12">
        <w:t>[</w:t>
      </w:r>
      <w:r w:rsidR="00CA443E">
        <w:fldChar w:fldCharType="begin"/>
      </w:r>
      <w:r w:rsidR="00CA443E">
        <w:instrText xml:space="preserve"> REF _Ref218252822 \r \h </w:instrText>
      </w:r>
      <w:r w:rsidR="00CA443E">
        <w:fldChar w:fldCharType="separate"/>
      </w:r>
      <w:r w:rsidR="007D7830">
        <w:t>2.6</w:t>
      </w:r>
      <w:r w:rsidR="00CA443E">
        <w:fldChar w:fldCharType="end"/>
      </w:r>
      <w:r w:rsidR="00C41D79" w:rsidRPr="00FF6E12">
        <w:t>]</w:t>
      </w:r>
      <w:r w:rsidRPr="00FF6E12">
        <w:t>.</w:t>
      </w:r>
    </w:p>
  </w:footnote>
  <w:footnote w:id="86">
    <w:p w14:paraId="3F461540" w14:textId="72EE0258" w:rsidR="00F6089B" w:rsidRPr="00FF6E12" w:rsidRDefault="00F6089B" w:rsidP="00D817F8">
      <w:pPr>
        <w:pStyle w:val="FootnoteText"/>
        <w:rPr>
          <w:highlight w:val="yellow"/>
        </w:rPr>
      </w:pPr>
      <w:r w:rsidRPr="00FF6E12">
        <w:rPr>
          <w:rStyle w:val="FootnoteReference"/>
        </w:rPr>
        <w:footnoteRef/>
      </w:r>
      <w:r w:rsidRPr="00FF6E12">
        <w:t xml:space="preserve"> See</w:t>
      </w:r>
      <w:r w:rsidR="00C82657" w:rsidRPr="00FF6E12">
        <w:t>,</w:t>
      </w:r>
      <w:r w:rsidRPr="00FF6E12">
        <w:t xml:space="preserve"> generally</w:t>
      </w:r>
      <w:r w:rsidR="00C82657" w:rsidRPr="00FF6E12">
        <w:t>,</w:t>
      </w:r>
      <w:r w:rsidRPr="00FF6E12">
        <w:t xml:space="preserve"> Jeremy</w:t>
      </w:r>
      <w:r w:rsidR="00C82657" w:rsidRPr="00FF6E12">
        <w:t xml:space="preserve"> Prichard et al ‘</w:t>
      </w:r>
      <w:r w:rsidRPr="00FF6E12">
        <w:t>Warning messages to prevent illegal sharing of sexual images: Results of a randomised controlled experiment</w:t>
      </w:r>
      <w:r w:rsidR="00C82657" w:rsidRPr="00FF6E12">
        <w:t xml:space="preserve">’ (2022) 647 </w:t>
      </w:r>
      <w:r w:rsidRPr="00FF6E12">
        <w:rPr>
          <w:i/>
          <w:iCs/>
        </w:rPr>
        <w:t>Trends and Issues in Crime and Criminal Justice</w:t>
      </w:r>
      <w:r w:rsidR="00C82657" w:rsidRPr="00FF6E12">
        <w:rPr>
          <w:i/>
          <w:iCs/>
        </w:rPr>
        <w:t xml:space="preserve"> </w:t>
      </w:r>
      <w:r w:rsidRPr="00FF6E12">
        <w:t>1</w:t>
      </w:r>
      <w:r w:rsidR="00C82657" w:rsidRPr="00FF6E12">
        <w:t>–</w:t>
      </w:r>
      <w:r w:rsidRPr="00FF6E12">
        <w:t xml:space="preserve">2; </w:t>
      </w:r>
      <w:r w:rsidRPr="00FF6E12">
        <w:rPr>
          <w:rFonts w:cs="Times New Roman"/>
        </w:rPr>
        <w:t>Aebi et al</w:t>
      </w:r>
      <w:r w:rsidR="00DD19E6" w:rsidRPr="00FF6E12">
        <w:rPr>
          <w:rFonts w:cs="Times New Roman"/>
        </w:rPr>
        <w:t xml:space="preserve"> (n </w:t>
      </w:r>
      <w:r w:rsidR="00DD19E6" w:rsidRPr="00FF6E12">
        <w:rPr>
          <w:rFonts w:cs="Times New Roman"/>
        </w:rPr>
        <w:fldChar w:fldCharType="begin"/>
      </w:r>
      <w:r w:rsidR="00DD19E6" w:rsidRPr="00FF6E12">
        <w:rPr>
          <w:rFonts w:cs="Times New Roman"/>
        </w:rPr>
        <w:instrText xml:space="preserve"> NOTEREF _Ref217915594 \h </w:instrText>
      </w:r>
      <w:r w:rsidR="00DD19E6" w:rsidRPr="00FF6E12">
        <w:rPr>
          <w:rFonts w:cs="Times New Roman"/>
        </w:rPr>
      </w:r>
      <w:r w:rsidR="00DD19E6" w:rsidRPr="00FF6E12">
        <w:rPr>
          <w:rFonts w:cs="Times New Roman"/>
        </w:rPr>
        <w:fldChar w:fldCharType="separate"/>
      </w:r>
      <w:r w:rsidR="007D7830">
        <w:rPr>
          <w:rFonts w:cs="Times New Roman"/>
        </w:rPr>
        <w:t>84</w:t>
      </w:r>
      <w:r w:rsidR="00DD19E6" w:rsidRPr="00FF6E12">
        <w:rPr>
          <w:rFonts w:cs="Times New Roman"/>
        </w:rPr>
        <w:fldChar w:fldCharType="end"/>
      </w:r>
      <w:r w:rsidR="00DD19E6" w:rsidRPr="00FF6E12">
        <w:rPr>
          <w:rFonts w:cs="Times New Roman"/>
        </w:rPr>
        <w:t>)</w:t>
      </w:r>
      <w:r w:rsidR="00121C0C" w:rsidRPr="00FF6E12">
        <w:rPr>
          <w:rFonts w:cs="Times New Roman"/>
        </w:rPr>
        <w:t>;</w:t>
      </w:r>
      <w:r w:rsidR="00202CF6" w:rsidRPr="00FF6E12">
        <w:rPr>
          <w:rFonts w:cs="Times New Roman"/>
        </w:rPr>
        <w:t xml:space="preserve"> </w:t>
      </w:r>
      <w:r w:rsidR="00DD19E6" w:rsidRPr="00FF6E12">
        <w:t xml:space="preserve">Finkelhor et al (n </w:t>
      </w:r>
      <w:r w:rsidR="00DD19E6" w:rsidRPr="00FF6E12">
        <w:fldChar w:fldCharType="begin"/>
      </w:r>
      <w:r w:rsidR="00DD19E6" w:rsidRPr="00FF6E12">
        <w:instrText xml:space="preserve"> NOTEREF _Ref217915176 \h </w:instrText>
      </w:r>
      <w:r w:rsidR="00DD19E6" w:rsidRPr="00FF6E12">
        <w:fldChar w:fldCharType="separate"/>
      </w:r>
      <w:r w:rsidR="007D7830">
        <w:t>75</w:t>
      </w:r>
      <w:r w:rsidR="00DD19E6" w:rsidRPr="00FF6E12">
        <w:fldChar w:fldCharType="end"/>
      </w:r>
      <w:r w:rsidR="00DD19E6" w:rsidRPr="00FF6E12">
        <w:t>).</w:t>
      </w:r>
    </w:p>
  </w:footnote>
  <w:footnote w:id="87">
    <w:p w14:paraId="4CEA22BA" w14:textId="463AED8A" w:rsidR="009A6427" w:rsidRPr="00FF6E12" w:rsidRDefault="009A6427" w:rsidP="00D817F8">
      <w:pPr>
        <w:pStyle w:val="FootnoteText"/>
      </w:pPr>
      <w:r w:rsidRPr="00FF6E12">
        <w:rPr>
          <w:rStyle w:val="FootnoteReference"/>
        </w:rPr>
        <w:footnoteRef/>
      </w:r>
      <w:r w:rsidRPr="00FF6E12">
        <w:t xml:space="preserve"> </w:t>
      </w:r>
      <w:r w:rsidR="003829E1" w:rsidRPr="00FF6E12">
        <w:t xml:space="preserve">Richard Wortley and Stephen Smallbone, </w:t>
      </w:r>
      <w:r w:rsidR="003829E1" w:rsidRPr="00FF6E12">
        <w:rPr>
          <w:i/>
          <w:iCs/>
        </w:rPr>
        <w:t>Internet child pornography: Causes, investigation, and prevention</w:t>
      </w:r>
      <w:r w:rsidR="003829E1" w:rsidRPr="00FF6E12">
        <w:t xml:space="preserve"> (Praeger, 2012)</w:t>
      </w:r>
      <w:r w:rsidR="00DC1CE8" w:rsidRPr="00FF6E12">
        <w:t>, 106</w:t>
      </w:r>
      <w:r w:rsidR="00BD0647" w:rsidRPr="00FF6E12">
        <w:t>–</w:t>
      </w:r>
      <w:r w:rsidR="00DC1CE8" w:rsidRPr="00FF6E12">
        <w:t>22.</w:t>
      </w:r>
    </w:p>
  </w:footnote>
  <w:footnote w:id="88">
    <w:p w14:paraId="59CF5B73" w14:textId="03A5D913" w:rsidR="00B46BBE" w:rsidRPr="00FF6E12" w:rsidRDefault="00B46BBE" w:rsidP="00D817F8">
      <w:pPr>
        <w:pStyle w:val="FootnoteText"/>
      </w:pPr>
      <w:r w:rsidRPr="00FF6E12">
        <w:rPr>
          <w:rStyle w:val="FootnoteReference"/>
        </w:rPr>
        <w:footnoteRef/>
      </w:r>
      <w:r w:rsidRPr="00FF6E12">
        <w:t xml:space="preserve"> </w:t>
      </w:r>
      <w:r w:rsidR="00902808" w:rsidRPr="00FF6E12">
        <w:t xml:space="preserve">Samantha </w:t>
      </w:r>
      <w:r w:rsidR="007867FF" w:rsidRPr="00FF6E12">
        <w:t xml:space="preserve">Madigan </w:t>
      </w:r>
      <w:r w:rsidR="00902808" w:rsidRPr="00FF6E12">
        <w:t>et al ‘</w:t>
      </w:r>
      <w:r w:rsidR="007867FF" w:rsidRPr="00FF6E12">
        <w:t>Prevalence of multiple forms of sexting behavior among youth: A systematic review and meta-analysis</w:t>
      </w:r>
      <w:r w:rsidR="00902808" w:rsidRPr="00FF6E12">
        <w:t>’ (2018)</w:t>
      </w:r>
      <w:r w:rsidR="007867FF" w:rsidRPr="00FF6E12">
        <w:t xml:space="preserve"> </w:t>
      </w:r>
      <w:r w:rsidR="00902808" w:rsidRPr="00FF6E12">
        <w:t xml:space="preserve">172(4) </w:t>
      </w:r>
      <w:r w:rsidR="007867FF" w:rsidRPr="00A920EC">
        <w:rPr>
          <w:i/>
          <w:iCs/>
        </w:rPr>
        <w:t>JAMA Pediatrics</w:t>
      </w:r>
      <w:r w:rsidR="007867FF" w:rsidRPr="00FF6E12">
        <w:t xml:space="preserve"> 327–335.</w:t>
      </w:r>
    </w:p>
  </w:footnote>
  <w:footnote w:id="89">
    <w:p w14:paraId="02F4424B" w14:textId="735C3F99" w:rsidR="00B46BBE" w:rsidRPr="00FF6E12" w:rsidRDefault="00B46BBE" w:rsidP="00D817F8">
      <w:pPr>
        <w:pStyle w:val="FootnoteText"/>
      </w:pPr>
      <w:r w:rsidRPr="00FF6E12">
        <w:rPr>
          <w:rStyle w:val="FootnoteReference"/>
        </w:rPr>
        <w:footnoteRef/>
      </w:r>
      <w:r w:rsidRPr="00FF6E12">
        <w:t xml:space="preserve"> </w:t>
      </w:r>
      <w:r w:rsidR="00902808" w:rsidRPr="00FF6E12">
        <w:t xml:space="preserve">Camille </w:t>
      </w:r>
      <w:r w:rsidR="00632791" w:rsidRPr="00FF6E12">
        <w:t xml:space="preserve">Mori et al </w:t>
      </w:r>
      <w:r w:rsidR="00902808" w:rsidRPr="00FF6E12">
        <w:t>‘</w:t>
      </w:r>
      <w:r w:rsidR="00632791" w:rsidRPr="00FF6E12">
        <w:t>The prevalence of sexting behaviors among emerging adults: A meta-analysis</w:t>
      </w:r>
      <w:r w:rsidR="00902808" w:rsidRPr="00FF6E12">
        <w:t>’ (2020) 49(4)</w:t>
      </w:r>
      <w:r w:rsidR="00632791" w:rsidRPr="00FF6E12">
        <w:t xml:space="preserve"> </w:t>
      </w:r>
      <w:r w:rsidR="00632791" w:rsidRPr="00A920EC">
        <w:rPr>
          <w:i/>
          <w:iCs/>
        </w:rPr>
        <w:t>Archives of sexual behavior</w:t>
      </w:r>
      <w:r w:rsidR="00632791" w:rsidRPr="00FF6E12">
        <w:t xml:space="preserve"> 1103–1119.</w:t>
      </w:r>
    </w:p>
  </w:footnote>
  <w:footnote w:id="90">
    <w:p w14:paraId="6F9FDFDB" w14:textId="1AC70651" w:rsidR="00B46BBE" w:rsidRPr="00FF6E12" w:rsidRDefault="00B46BBE" w:rsidP="00D817F8">
      <w:pPr>
        <w:pStyle w:val="FootnoteText"/>
      </w:pPr>
      <w:r w:rsidRPr="00FF6E12">
        <w:rPr>
          <w:rStyle w:val="FootnoteReference"/>
        </w:rPr>
        <w:footnoteRef/>
      </w:r>
      <w:r w:rsidRPr="00FF6E12">
        <w:t xml:space="preserve"> </w:t>
      </w:r>
      <w:r w:rsidR="00902808" w:rsidRPr="00FF6E12">
        <w:t xml:space="preserve">Megan </w:t>
      </w:r>
      <w:r w:rsidR="00296250" w:rsidRPr="00FF6E12">
        <w:t xml:space="preserve">Lee </w:t>
      </w:r>
      <w:r w:rsidR="00902808" w:rsidRPr="00FF6E12">
        <w:t>et al, ‘</w:t>
      </w:r>
      <w:r w:rsidR="00296250" w:rsidRPr="00FF6E12">
        <w:t>Sexting among young people: Perceptions and practices</w:t>
      </w:r>
      <w:r w:rsidR="00902808" w:rsidRPr="00FF6E12">
        <w:t>’ (2015) 508</w:t>
      </w:r>
      <w:r w:rsidR="00296250" w:rsidRPr="00FF6E12">
        <w:t xml:space="preserve"> </w:t>
      </w:r>
      <w:r w:rsidR="00296250" w:rsidRPr="00A920EC">
        <w:rPr>
          <w:i/>
          <w:iCs/>
        </w:rPr>
        <w:t xml:space="preserve">Trends </w:t>
      </w:r>
      <w:r w:rsidR="00ED4AA7" w:rsidRPr="00FF6E12">
        <w:rPr>
          <w:i/>
          <w:iCs/>
        </w:rPr>
        <w:t>and</w:t>
      </w:r>
      <w:r w:rsidR="00296250" w:rsidRPr="00A920EC">
        <w:rPr>
          <w:i/>
          <w:iCs/>
        </w:rPr>
        <w:t xml:space="preserve"> </w:t>
      </w:r>
      <w:r w:rsidR="00902808" w:rsidRPr="00A920EC">
        <w:rPr>
          <w:i/>
          <w:iCs/>
        </w:rPr>
        <w:t>I</w:t>
      </w:r>
      <w:r w:rsidR="00296250" w:rsidRPr="00A920EC">
        <w:rPr>
          <w:i/>
          <w:iCs/>
        </w:rPr>
        <w:t xml:space="preserve">ssues in </w:t>
      </w:r>
      <w:r w:rsidR="00902808" w:rsidRPr="00A920EC">
        <w:rPr>
          <w:i/>
          <w:iCs/>
        </w:rPr>
        <w:t>C</w:t>
      </w:r>
      <w:r w:rsidR="00296250" w:rsidRPr="00A920EC">
        <w:rPr>
          <w:i/>
          <w:iCs/>
        </w:rPr>
        <w:t xml:space="preserve">rime and </w:t>
      </w:r>
      <w:r w:rsidR="00902808" w:rsidRPr="00A920EC">
        <w:rPr>
          <w:i/>
          <w:iCs/>
        </w:rPr>
        <w:t>C</w:t>
      </w:r>
      <w:r w:rsidR="00296250" w:rsidRPr="00A920EC">
        <w:rPr>
          <w:i/>
          <w:iCs/>
        </w:rPr>
        <w:t xml:space="preserve">riminal </w:t>
      </w:r>
      <w:r w:rsidR="00902808" w:rsidRPr="00A920EC">
        <w:rPr>
          <w:i/>
          <w:iCs/>
        </w:rPr>
        <w:t>J</w:t>
      </w:r>
      <w:r w:rsidR="00296250" w:rsidRPr="00A920EC">
        <w:rPr>
          <w:i/>
          <w:iCs/>
        </w:rPr>
        <w:t>ustice</w:t>
      </w:r>
      <w:r w:rsidR="00296250" w:rsidRPr="00FF6E12">
        <w:t xml:space="preserve"> </w:t>
      </w:r>
      <w:r w:rsidR="00902808" w:rsidRPr="00FF6E12">
        <w:t>1</w:t>
      </w:r>
      <w:r w:rsidR="00296250" w:rsidRPr="00FF6E12">
        <w:t>.</w:t>
      </w:r>
    </w:p>
  </w:footnote>
  <w:footnote w:id="91">
    <w:p w14:paraId="635BBFA2" w14:textId="67AE7129" w:rsidR="00B46BBE" w:rsidRPr="00FF6E12" w:rsidRDefault="00B46BBE" w:rsidP="00D817F8">
      <w:pPr>
        <w:pStyle w:val="FootnoteText"/>
      </w:pPr>
      <w:r w:rsidRPr="00FF6E12">
        <w:rPr>
          <w:rStyle w:val="FootnoteReference"/>
        </w:rPr>
        <w:footnoteRef/>
      </w:r>
      <w:r w:rsidRPr="00FF6E12">
        <w:t xml:space="preserve"> </w:t>
      </w:r>
      <w:r w:rsidR="00902808" w:rsidRPr="00FF6E12">
        <w:t xml:space="preserve">Michael </w:t>
      </w:r>
      <w:r w:rsidRPr="00FF6E12">
        <w:t>Cahill et al,</w:t>
      </w:r>
      <w:r w:rsidRPr="00FF6E12">
        <w:rPr>
          <w:i/>
          <w:iCs/>
        </w:rPr>
        <w:t xml:space="preserve"> </w:t>
      </w:r>
      <w:r w:rsidRPr="00FF6E12">
        <w:t>‘Recorded Sexual Offences</w:t>
      </w:r>
      <w:r w:rsidRPr="00FF6E12">
        <w:rPr>
          <w:i/>
          <w:iCs/>
        </w:rPr>
        <w:t xml:space="preserve"> </w:t>
      </w:r>
      <w:r w:rsidRPr="00FF6E12">
        <w:t xml:space="preserve">among Juveniles in Australia’ (2024) </w:t>
      </w:r>
      <w:r w:rsidR="00902808" w:rsidRPr="00FF6E12">
        <w:t xml:space="preserve">43 </w:t>
      </w:r>
      <w:r w:rsidRPr="00FF6E12">
        <w:rPr>
          <w:i/>
          <w:iCs/>
        </w:rPr>
        <w:t>Australian Institute of Criminology Statistical Bulletin</w:t>
      </w:r>
      <w:r w:rsidR="00902808" w:rsidRPr="00FF6E12">
        <w:t>,</w:t>
      </w:r>
      <w:r w:rsidRPr="00FF6E12">
        <w:rPr>
          <w:i/>
          <w:iCs/>
        </w:rPr>
        <w:t xml:space="preserve"> </w:t>
      </w:r>
      <w:r w:rsidRPr="00FF6E12">
        <w:t>2.</w:t>
      </w:r>
    </w:p>
  </w:footnote>
  <w:footnote w:id="92">
    <w:p w14:paraId="51D389FC" w14:textId="4870E00E" w:rsidR="00B46BBE" w:rsidRPr="00FF6E12" w:rsidRDefault="00B46BBE" w:rsidP="00D817F8">
      <w:pPr>
        <w:pStyle w:val="FootnoteText"/>
      </w:pPr>
      <w:r w:rsidRPr="00FF6E12">
        <w:rPr>
          <w:rStyle w:val="FootnoteReference"/>
        </w:rPr>
        <w:footnoteRef/>
      </w:r>
      <w:r w:rsidRPr="00FF6E12">
        <w:t xml:space="preserve"> H</w:t>
      </w:r>
      <w:r w:rsidR="00902808" w:rsidRPr="00FF6E12">
        <w:t>eather</w:t>
      </w:r>
      <w:r w:rsidRPr="00FF6E12">
        <w:t xml:space="preserve"> Turner et al, ‘Contexts and Characteristics of Imaged-Based Sexual Exploitation and Abuse of Children: Incident Dynamics in a National Sample’ (2025) 30(1) </w:t>
      </w:r>
      <w:r w:rsidRPr="00FF6E12">
        <w:rPr>
          <w:i/>
          <w:iCs/>
        </w:rPr>
        <w:t>Child Maltreatment</w:t>
      </w:r>
      <w:r w:rsidRPr="00FF6E12">
        <w:t xml:space="preserve"> 68, 68</w:t>
      </w:r>
      <w:r w:rsidR="00902808" w:rsidRPr="00FF6E12">
        <w:t>–</w:t>
      </w:r>
      <w:r w:rsidRPr="00FF6E12">
        <w:t>69</w:t>
      </w:r>
      <w:r w:rsidR="00902808" w:rsidRPr="00FF6E12">
        <w:t>.</w:t>
      </w:r>
    </w:p>
  </w:footnote>
  <w:footnote w:id="93">
    <w:p w14:paraId="3B61641C" w14:textId="4516D983" w:rsidR="00B46BBE" w:rsidRPr="00FF6E12" w:rsidRDefault="00B46BBE" w:rsidP="00D817F8">
      <w:pPr>
        <w:pStyle w:val="FootnoteText"/>
        <w:rPr>
          <w:i/>
          <w:iCs/>
        </w:rPr>
      </w:pPr>
      <w:r w:rsidRPr="00FF6E12">
        <w:rPr>
          <w:rStyle w:val="FootnoteReference"/>
        </w:rPr>
        <w:footnoteRef/>
      </w:r>
      <w:r w:rsidRPr="00FF6E12">
        <w:t xml:space="preserve"> </w:t>
      </w:r>
      <w:r w:rsidR="00902808" w:rsidRPr="00FF6E12">
        <w:t xml:space="preserve">Finkelhor et al (n </w:t>
      </w:r>
      <w:r w:rsidR="00902808" w:rsidRPr="00FF6E12">
        <w:fldChar w:fldCharType="begin"/>
      </w:r>
      <w:r w:rsidR="00902808" w:rsidRPr="00FF6E12">
        <w:instrText xml:space="preserve"> NOTEREF _Ref217915176 \h </w:instrText>
      </w:r>
      <w:r w:rsidR="00902808" w:rsidRPr="00FF6E12">
        <w:fldChar w:fldCharType="separate"/>
      </w:r>
      <w:r w:rsidR="007D7830">
        <w:t>75</w:t>
      </w:r>
      <w:r w:rsidR="00902808" w:rsidRPr="00FF6E12">
        <w:fldChar w:fldCharType="end"/>
      </w:r>
      <w:r w:rsidR="00902808" w:rsidRPr="00FF6E12">
        <w:t>)</w:t>
      </w:r>
      <w:r w:rsidRPr="00FF6E12">
        <w:t xml:space="preserve"> 6.</w:t>
      </w:r>
    </w:p>
  </w:footnote>
  <w:footnote w:id="94">
    <w:p w14:paraId="6B714E5F" w14:textId="27F9623B" w:rsidR="00695636" w:rsidRPr="00FF6E12" w:rsidRDefault="00695636" w:rsidP="00D817F8">
      <w:pPr>
        <w:pStyle w:val="FootnoteText"/>
      </w:pPr>
      <w:r w:rsidRPr="00FF6E12">
        <w:rPr>
          <w:rStyle w:val="FootnoteReference"/>
          <w:rFonts w:cs="Times New Roman"/>
        </w:rPr>
        <w:footnoteRef/>
      </w:r>
      <w:r w:rsidRPr="00FF6E12">
        <w:t xml:space="preserve"> </w:t>
      </w:r>
      <w:r w:rsidR="00902808" w:rsidRPr="00FF6E12">
        <w:rPr>
          <w:rFonts w:cs="Times New Roman"/>
        </w:rPr>
        <w:t xml:space="preserve">Aebi et al (n </w:t>
      </w:r>
      <w:r w:rsidR="00902808" w:rsidRPr="00FF6E12">
        <w:rPr>
          <w:rFonts w:cs="Times New Roman"/>
        </w:rPr>
        <w:fldChar w:fldCharType="begin"/>
      </w:r>
      <w:r w:rsidR="00902808" w:rsidRPr="00FF6E12">
        <w:rPr>
          <w:rFonts w:cs="Times New Roman"/>
        </w:rPr>
        <w:instrText xml:space="preserve"> NOTEREF _Ref217915594 \h </w:instrText>
      </w:r>
      <w:r w:rsidR="00902808" w:rsidRPr="00FF6E12">
        <w:rPr>
          <w:rFonts w:cs="Times New Roman"/>
        </w:rPr>
      </w:r>
      <w:r w:rsidR="00902808" w:rsidRPr="00FF6E12">
        <w:rPr>
          <w:rFonts w:cs="Times New Roman"/>
        </w:rPr>
        <w:fldChar w:fldCharType="separate"/>
      </w:r>
      <w:r w:rsidR="007D7830">
        <w:rPr>
          <w:rFonts w:cs="Times New Roman"/>
        </w:rPr>
        <w:t>84</w:t>
      </w:r>
      <w:r w:rsidR="00902808" w:rsidRPr="00FF6E12">
        <w:rPr>
          <w:rFonts w:cs="Times New Roman"/>
        </w:rPr>
        <w:fldChar w:fldCharType="end"/>
      </w:r>
      <w:r w:rsidR="00902808" w:rsidRPr="00FF6E12">
        <w:rPr>
          <w:rFonts w:cs="Times New Roman"/>
        </w:rPr>
        <w:t>)</w:t>
      </w:r>
      <w:r w:rsidRPr="00A920EC">
        <w:rPr>
          <w:rStyle w:val="FootnoteTextTLRIChar"/>
        </w:rPr>
        <w:t xml:space="preserve">; </w:t>
      </w:r>
      <w:r w:rsidR="001C7759" w:rsidRPr="00FF6E12">
        <w:t xml:space="preserve">Warner and Bartels (n </w:t>
      </w:r>
      <w:r w:rsidR="001C7759" w:rsidRPr="00FF6E12">
        <w:fldChar w:fldCharType="begin"/>
      </w:r>
      <w:r w:rsidR="001C7759" w:rsidRPr="00FF6E12">
        <w:instrText xml:space="preserve"> NOTEREF _Ref217901142 \h </w:instrText>
      </w:r>
      <w:r w:rsidR="001C7759" w:rsidRPr="00FF6E12">
        <w:fldChar w:fldCharType="separate"/>
      </w:r>
      <w:r w:rsidR="007D7830">
        <w:t>2</w:t>
      </w:r>
      <w:r w:rsidR="001C7759" w:rsidRPr="00FF6E12">
        <w:fldChar w:fldCharType="end"/>
      </w:r>
      <w:r w:rsidR="001C7759" w:rsidRPr="00FF6E12">
        <w:t>).</w:t>
      </w:r>
    </w:p>
  </w:footnote>
  <w:footnote w:id="95">
    <w:p w14:paraId="74D88D9E" w14:textId="44BA9864" w:rsidR="00695636" w:rsidRPr="00FF6E12" w:rsidRDefault="00695636" w:rsidP="00D817F8">
      <w:pPr>
        <w:pStyle w:val="FootnoteText"/>
      </w:pPr>
      <w:r w:rsidRPr="00FF6E12">
        <w:rPr>
          <w:rStyle w:val="FootnoteReference"/>
          <w:rFonts w:cs="Times New Roman"/>
        </w:rPr>
        <w:footnoteRef/>
      </w:r>
      <w:r w:rsidRPr="00FF6E12">
        <w:t xml:space="preserve"> </w:t>
      </w:r>
      <w:r w:rsidR="001C7759" w:rsidRPr="00FF6E12">
        <w:t xml:space="preserve">Warner and Bartels (n </w:t>
      </w:r>
      <w:r w:rsidR="001C7759" w:rsidRPr="00FF6E12">
        <w:fldChar w:fldCharType="begin"/>
      </w:r>
      <w:r w:rsidR="001C7759" w:rsidRPr="00FF6E12">
        <w:instrText xml:space="preserve"> NOTEREF _Ref217901142 \h </w:instrText>
      </w:r>
      <w:r w:rsidR="001C7759" w:rsidRPr="00FF6E12">
        <w:fldChar w:fldCharType="separate"/>
      </w:r>
      <w:r w:rsidR="007D7830">
        <w:t>2</w:t>
      </w:r>
      <w:r w:rsidR="001C7759" w:rsidRPr="00FF6E12">
        <w:fldChar w:fldCharType="end"/>
      </w:r>
      <w:r w:rsidR="001C7759" w:rsidRPr="00FF6E12">
        <w:t>).</w:t>
      </w:r>
      <w:r w:rsidR="004729FD" w:rsidRPr="00FF6E12">
        <w:t xml:space="preserve"> See Part </w:t>
      </w:r>
      <w:r w:rsidR="003C4F0A" w:rsidRPr="00FF6E12">
        <w:t>6</w:t>
      </w:r>
      <w:r w:rsidR="004729FD" w:rsidRPr="00FF6E12">
        <w:t xml:space="preserve"> for further discussion of barriers to reporting.</w:t>
      </w:r>
    </w:p>
  </w:footnote>
  <w:footnote w:id="96">
    <w:p w14:paraId="32BDD106" w14:textId="4F6ADA8A" w:rsidR="00695636" w:rsidRPr="00FF6E12" w:rsidRDefault="00695636" w:rsidP="00D817F8">
      <w:pPr>
        <w:pStyle w:val="FootnoteText"/>
        <w:rPr>
          <w:highlight w:val="yellow"/>
        </w:rPr>
      </w:pPr>
      <w:r w:rsidRPr="00FF6E12">
        <w:rPr>
          <w:rStyle w:val="FootnoteReference"/>
        </w:rPr>
        <w:footnoteRef/>
      </w:r>
      <w:r w:rsidRPr="00FF6E12">
        <w:t xml:space="preserve"> </w:t>
      </w:r>
      <w:r w:rsidR="001C7759" w:rsidRPr="00FF6E12">
        <w:t xml:space="preserve">David Finkelhor and Jennifer Dziuba‑Leatherman, ‘Children as Victims of Violence: A National Survey’ (1994) 94(4) </w:t>
      </w:r>
      <w:r w:rsidR="001C7759" w:rsidRPr="00A920EC">
        <w:rPr>
          <w:i/>
          <w:iCs/>
        </w:rPr>
        <w:t>Pediatrics</w:t>
      </w:r>
      <w:r w:rsidR="001C7759" w:rsidRPr="00FF6E12">
        <w:t xml:space="preserve"> </w:t>
      </w:r>
      <w:r w:rsidR="00EE1C63" w:rsidRPr="00FF6E12">
        <w:t>413</w:t>
      </w:r>
      <w:r w:rsidR="001C7759" w:rsidRPr="00FF6E12">
        <w:t>–</w:t>
      </w:r>
      <w:r w:rsidR="00EE1C63" w:rsidRPr="00FF6E12">
        <w:t>420.</w:t>
      </w:r>
    </w:p>
  </w:footnote>
  <w:footnote w:id="97">
    <w:p w14:paraId="370898F0" w14:textId="514EC4B0" w:rsidR="00695636" w:rsidRPr="00FF6E12" w:rsidRDefault="00695636" w:rsidP="00D817F8">
      <w:pPr>
        <w:pStyle w:val="FootnoteText"/>
      </w:pPr>
      <w:r w:rsidRPr="00FF6E12">
        <w:rPr>
          <w:rStyle w:val="FootnoteReference"/>
          <w:rFonts w:cs="Times New Roman"/>
        </w:rPr>
        <w:footnoteRef/>
      </w:r>
      <w:r w:rsidRPr="00FF6E12">
        <w:t xml:space="preserve"> </w:t>
      </w:r>
      <w:r w:rsidR="001C7759" w:rsidRPr="00FF6E12">
        <w:t xml:space="preserve">Adam Brown, ‘Using latent class analysis to explore subtypes of youth who have committed sexual offences’ (2019) 17(4) </w:t>
      </w:r>
      <w:r w:rsidR="001C7759" w:rsidRPr="00A920EC">
        <w:rPr>
          <w:i/>
          <w:iCs/>
        </w:rPr>
        <w:t>Youth Violence and Juvenile Justice</w:t>
      </w:r>
      <w:r w:rsidR="001C7759" w:rsidRPr="00FF6E12">
        <w:t xml:space="preserve"> 413.</w:t>
      </w:r>
    </w:p>
  </w:footnote>
  <w:footnote w:id="98">
    <w:p w14:paraId="5FE00D25" w14:textId="55DC64A2" w:rsidR="00695636" w:rsidRPr="00FF6E12" w:rsidRDefault="00695636" w:rsidP="00D817F8">
      <w:pPr>
        <w:pStyle w:val="FootnoteText"/>
      </w:pPr>
      <w:r w:rsidRPr="00FF6E12">
        <w:rPr>
          <w:rStyle w:val="FootnoteReference"/>
          <w:rFonts w:cs="Times New Roman"/>
        </w:rPr>
        <w:footnoteRef/>
      </w:r>
      <w:r w:rsidRPr="00FF6E12">
        <w:t xml:space="preserve"> </w:t>
      </w:r>
      <w:r w:rsidR="001C7759" w:rsidRPr="00FF6E12">
        <w:t>Julie Carpentier and Jean Proulx, ‘</w:t>
      </w:r>
      <w:r w:rsidR="00D0786A" w:rsidRPr="00FF6E12">
        <w:t>Recidivism</w:t>
      </w:r>
      <w:r w:rsidR="001C7759" w:rsidRPr="00FF6E12">
        <w:t xml:space="preserve"> rates of treated, non-treated and dropout adolescent who have sexually offended: A non-randomized study’ (2021) 12 </w:t>
      </w:r>
      <w:r w:rsidR="001C7759" w:rsidRPr="00A920EC">
        <w:rPr>
          <w:i/>
          <w:iCs/>
        </w:rPr>
        <w:t>Frontiers in Psychology</w:t>
      </w:r>
      <w:r w:rsidR="001C7759" w:rsidRPr="00FF6E12">
        <w:t xml:space="preserve"> 1.</w:t>
      </w:r>
    </w:p>
  </w:footnote>
  <w:footnote w:id="99">
    <w:p w14:paraId="31653C1A" w14:textId="39DD3276" w:rsidR="00695636" w:rsidRPr="00FF6E12" w:rsidRDefault="00695636" w:rsidP="00D817F8">
      <w:pPr>
        <w:pStyle w:val="FootnoteText"/>
        <w:rPr>
          <w:highlight w:val="yellow"/>
        </w:rPr>
      </w:pPr>
      <w:r w:rsidRPr="00FF6E12">
        <w:rPr>
          <w:rStyle w:val="FootnoteReference"/>
          <w:rFonts w:cs="Times New Roman"/>
        </w:rPr>
        <w:footnoteRef/>
      </w:r>
      <w:r w:rsidRPr="00FF6E12">
        <w:t xml:space="preserve"> </w:t>
      </w:r>
      <w:r w:rsidR="00AE72AB" w:rsidRPr="00FF6E12">
        <w:t>S</w:t>
      </w:r>
      <w:r w:rsidR="001C7759" w:rsidRPr="00FF6E12">
        <w:t>andra</w:t>
      </w:r>
      <w:r w:rsidR="00AE72AB" w:rsidRPr="00FF6E12">
        <w:t xml:space="preserve"> </w:t>
      </w:r>
      <w:r w:rsidRPr="00FF6E12">
        <w:t xml:space="preserve">Siria, </w:t>
      </w:r>
      <w:r w:rsidR="00AE72AB" w:rsidRPr="00FF6E12">
        <w:t>E</w:t>
      </w:r>
      <w:r w:rsidR="001C7759" w:rsidRPr="00FF6E12">
        <w:t>nrique</w:t>
      </w:r>
      <w:r w:rsidR="00AE72AB" w:rsidRPr="00FF6E12">
        <w:t xml:space="preserve"> </w:t>
      </w:r>
      <w:r w:rsidRPr="00FF6E12">
        <w:t xml:space="preserve">Echeburúa and </w:t>
      </w:r>
      <w:r w:rsidR="00AE72AB" w:rsidRPr="00FF6E12">
        <w:t>P</w:t>
      </w:r>
      <w:r w:rsidR="001C7759" w:rsidRPr="00FF6E12">
        <w:t>edro</w:t>
      </w:r>
      <w:r w:rsidR="00AE72AB" w:rsidRPr="00FF6E12">
        <w:t xml:space="preserve"> </w:t>
      </w:r>
      <w:r w:rsidRPr="00FF6E12">
        <w:t>Amor</w:t>
      </w:r>
      <w:r w:rsidR="00AE72AB" w:rsidRPr="00FF6E12">
        <w:t xml:space="preserve">, </w:t>
      </w:r>
      <w:r w:rsidR="001C7759" w:rsidRPr="00FF6E12">
        <w:t>‘</w:t>
      </w:r>
      <w:r w:rsidR="00AE72AB" w:rsidRPr="00FF6E12">
        <w:t>Adolescents adjudicated for sexual offending: A comparison between sex-only and sex-plus</w:t>
      </w:r>
      <w:r w:rsidR="001C7759" w:rsidRPr="00FF6E12">
        <w:t>’</w:t>
      </w:r>
      <w:r w:rsidR="00AE72AB" w:rsidRPr="00FF6E12">
        <w:t xml:space="preserve"> (2021) 18 </w:t>
      </w:r>
      <w:r w:rsidR="00AE72AB" w:rsidRPr="00FF6E12">
        <w:rPr>
          <w:i/>
        </w:rPr>
        <w:t>Sexuality Research and Social Policy</w:t>
      </w:r>
      <w:r w:rsidR="00AE72AB" w:rsidRPr="00FF6E12">
        <w:t xml:space="preserve"> 981</w:t>
      </w:r>
      <w:r w:rsidR="00DB0878" w:rsidRPr="00FF6E12">
        <w:t>.</w:t>
      </w:r>
      <w:r w:rsidRPr="00FF6E12">
        <w:t xml:space="preserve"> </w:t>
      </w:r>
    </w:p>
  </w:footnote>
  <w:footnote w:id="100">
    <w:p w14:paraId="12E4863D" w14:textId="5A7BDA45" w:rsidR="00695636" w:rsidRPr="00FF6E12" w:rsidRDefault="00695636" w:rsidP="00D817F8">
      <w:pPr>
        <w:pStyle w:val="FootnoteText"/>
      </w:pPr>
      <w:r w:rsidRPr="00FF6E12">
        <w:rPr>
          <w:rStyle w:val="FootnoteReference"/>
          <w:rFonts w:cs="Times New Roman"/>
        </w:rPr>
        <w:footnoteRef/>
      </w:r>
      <w:r w:rsidRPr="00FF6E12">
        <w:t xml:space="preserve"> Samantha Sutton and David Finkelhor, </w:t>
      </w:r>
      <w:r w:rsidR="001C7759" w:rsidRPr="00FF6E12">
        <w:t>‘</w:t>
      </w:r>
      <w:r w:rsidRPr="00FF6E12">
        <w:t>Perpetrators' identity in online crimes against children: A meta-analysis</w:t>
      </w:r>
      <w:r w:rsidR="001C7759" w:rsidRPr="00FF6E12">
        <w:t>’</w:t>
      </w:r>
      <w:r w:rsidRPr="00FF6E12">
        <w:t xml:space="preserve"> (2023) </w:t>
      </w:r>
      <w:r w:rsidR="001C7759" w:rsidRPr="00FF6E12">
        <w:t>25</w:t>
      </w:r>
      <w:r w:rsidRPr="00FF6E12">
        <w:t>(</w:t>
      </w:r>
      <w:r w:rsidR="001C7759" w:rsidRPr="00FF6E12">
        <w:t>3</w:t>
      </w:r>
      <w:r w:rsidRPr="00FF6E12">
        <w:t xml:space="preserve">) </w:t>
      </w:r>
      <w:r w:rsidRPr="00FF6E12">
        <w:rPr>
          <w:i/>
        </w:rPr>
        <w:t>Trauma, Violence &amp; Abuse</w:t>
      </w:r>
      <w:r w:rsidRPr="00FF6E12">
        <w:t xml:space="preserve"> 1</w:t>
      </w:r>
      <w:r w:rsidR="001C7759" w:rsidRPr="00FF6E12">
        <w:t>756</w:t>
      </w:r>
      <w:r w:rsidRPr="00FF6E12">
        <w:t>.</w:t>
      </w:r>
    </w:p>
  </w:footnote>
  <w:footnote w:id="101">
    <w:p w14:paraId="63FE9DC3" w14:textId="35E42246" w:rsidR="00695636" w:rsidRPr="00FF6E12" w:rsidRDefault="00695636" w:rsidP="00D817F8">
      <w:pPr>
        <w:pStyle w:val="FootnoteText"/>
      </w:pPr>
      <w:r w:rsidRPr="00FF6E12">
        <w:rPr>
          <w:rStyle w:val="FootnoteReference"/>
        </w:rPr>
        <w:footnoteRef/>
      </w:r>
      <w:r w:rsidRPr="00FF6E12">
        <w:t xml:space="preserve"> </w:t>
      </w:r>
      <w:r w:rsidR="00FA0175" w:rsidRPr="00FF6E12">
        <w:t>H</w:t>
      </w:r>
      <w:r w:rsidR="001C7759" w:rsidRPr="00FF6E12">
        <w:t>eather</w:t>
      </w:r>
      <w:r w:rsidR="00FA0175" w:rsidRPr="00FF6E12">
        <w:t xml:space="preserve"> Turner et al, ‘Contexts and Characteristics of Imaged-Based Sexual Exploitation and Abuse of Children: Incident Dynamics in a National Sample’ (2025) 30(1) </w:t>
      </w:r>
      <w:r w:rsidR="00FA0175" w:rsidRPr="00FF6E12">
        <w:rPr>
          <w:i/>
          <w:iCs/>
        </w:rPr>
        <w:t>Child Maltreatment</w:t>
      </w:r>
      <w:r w:rsidR="00FA0175" w:rsidRPr="00FF6E12">
        <w:t xml:space="preserve"> 68, 68</w:t>
      </w:r>
      <w:r w:rsidRPr="00FF6E12">
        <w:t>.</w:t>
      </w:r>
    </w:p>
  </w:footnote>
  <w:footnote w:id="102">
    <w:p w14:paraId="39F7263F" w14:textId="2AD23B21" w:rsidR="00695636" w:rsidRPr="00FF6E12" w:rsidRDefault="00695636" w:rsidP="00D817F8">
      <w:pPr>
        <w:pStyle w:val="FootnoteText"/>
      </w:pPr>
      <w:r w:rsidRPr="00FF6E12">
        <w:rPr>
          <w:rStyle w:val="FootnoteReference"/>
        </w:rPr>
        <w:footnoteRef/>
      </w:r>
      <w:r w:rsidRPr="00FF6E12">
        <w:t xml:space="preserve"> </w:t>
      </w:r>
      <w:r w:rsidR="001C7759" w:rsidRPr="00FF6E12">
        <w:t>Ibid</w:t>
      </w:r>
      <w:r w:rsidR="007D793B" w:rsidRPr="00FF6E12">
        <w:t xml:space="preserve"> </w:t>
      </w:r>
      <w:r w:rsidR="00425AF3" w:rsidRPr="00FF6E12">
        <w:t>78</w:t>
      </w:r>
      <w:r w:rsidRPr="00FF6E12">
        <w:t>.</w:t>
      </w:r>
    </w:p>
  </w:footnote>
  <w:footnote w:id="103">
    <w:p w14:paraId="598301A6" w14:textId="4AEAC5AC" w:rsidR="00695636" w:rsidRPr="00FF6E12" w:rsidRDefault="00695636" w:rsidP="00D817F8">
      <w:pPr>
        <w:pStyle w:val="FootnoteText"/>
      </w:pPr>
      <w:r w:rsidRPr="00FF6E12">
        <w:rPr>
          <w:rStyle w:val="FootnoteReference"/>
        </w:rPr>
        <w:footnoteRef/>
      </w:r>
      <w:r w:rsidRPr="00FF6E12">
        <w:t xml:space="preserve"> </w:t>
      </w:r>
      <w:r w:rsidR="001C7759" w:rsidRPr="00FF6E12">
        <w:t>Ibid.</w:t>
      </w:r>
    </w:p>
  </w:footnote>
  <w:footnote w:id="104">
    <w:p w14:paraId="11E31114" w14:textId="3317592F" w:rsidR="00695636" w:rsidRPr="00FF6E12" w:rsidRDefault="00695636" w:rsidP="00D817F8">
      <w:pPr>
        <w:pStyle w:val="FootnoteText"/>
      </w:pPr>
      <w:r w:rsidRPr="00FF6E12">
        <w:rPr>
          <w:rStyle w:val="FootnoteReference"/>
        </w:rPr>
        <w:footnoteRef/>
      </w:r>
      <w:r w:rsidRPr="00FF6E12">
        <w:t xml:space="preserve"> </w:t>
      </w:r>
      <w:r w:rsidR="001C7759" w:rsidRPr="00FF6E12">
        <w:t>Ibid</w:t>
      </w:r>
      <w:r w:rsidRPr="00FF6E12">
        <w:t xml:space="preserve"> </w:t>
      </w:r>
      <w:r w:rsidR="00174B00" w:rsidRPr="00FF6E12">
        <w:t>71</w:t>
      </w:r>
      <w:r w:rsidRPr="00FF6E12">
        <w:t>, 7</w:t>
      </w:r>
      <w:r w:rsidR="00FC79A1" w:rsidRPr="00FF6E12">
        <w:t>4</w:t>
      </w:r>
      <w:r w:rsidRPr="00FF6E12">
        <w:t xml:space="preserve">, </w:t>
      </w:r>
      <w:r w:rsidR="00A31523" w:rsidRPr="00FF6E12">
        <w:t>78</w:t>
      </w:r>
      <w:r w:rsidR="001C7759" w:rsidRPr="00FF6E12">
        <w:t>–</w:t>
      </w:r>
      <w:r w:rsidR="00A31523" w:rsidRPr="00FF6E12">
        <w:t>79</w:t>
      </w:r>
      <w:r w:rsidRPr="00FF6E12">
        <w:t>.</w:t>
      </w:r>
    </w:p>
  </w:footnote>
  <w:footnote w:id="105">
    <w:p w14:paraId="4F12E297" w14:textId="547509E7" w:rsidR="00695636" w:rsidRPr="00FF6E12" w:rsidRDefault="00695636" w:rsidP="00D817F8">
      <w:pPr>
        <w:pStyle w:val="FootnoteText"/>
      </w:pPr>
      <w:r w:rsidRPr="00FF6E12">
        <w:rPr>
          <w:rStyle w:val="FootnoteReference"/>
        </w:rPr>
        <w:footnoteRef/>
      </w:r>
      <w:r w:rsidRPr="00FF6E12">
        <w:t xml:space="preserve"> Thorn</w:t>
      </w:r>
      <w:r w:rsidR="004153DC" w:rsidRPr="00FF6E12">
        <w:t>,</w:t>
      </w:r>
      <w:r w:rsidRPr="00FF6E12">
        <w:t xml:space="preserve"> </w:t>
      </w:r>
      <w:r w:rsidRPr="00FF6E12">
        <w:rPr>
          <w:i/>
          <w:iCs/>
        </w:rPr>
        <w:t xml:space="preserve">Youth Perspectives on Online Safety 2023: An Annual Report of Youth Attitudes and Experiences  </w:t>
      </w:r>
      <w:r w:rsidRPr="00FF6E12">
        <w:t>(</w:t>
      </w:r>
      <w:r w:rsidR="001C7759" w:rsidRPr="00FF6E12">
        <w:t xml:space="preserve">Annual Report, </w:t>
      </w:r>
      <w:r w:rsidRPr="00FF6E12">
        <w:t>2024), 16 &lt;</w:t>
      </w:r>
      <w:r w:rsidR="006F1EE1" w:rsidRPr="00A920EC">
        <w:t>https://info.thorn.org/hubfs/Research/Thorn_23_YouthMonitoring_Report.pdf</w:t>
      </w:r>
      <w:r w:rsidRPr="00FF6E12">
        <w:t>&gt;.</w:t>
      </w:r>
    </w:p>
  </w:footnote>
  <w:footnote w:id="106">
    <w:p w14:paraId="228B88C8" w14:textId="741FC137" w:rsidR="00695636" w:rsidRPr="00FF6E12" w:rsidRDefault="00695636" w:rsidP="00D817F8">
      <w:pPr>
        <w:pStyle w:val="FootnoteText"/>
      </w:pPr>
      <w:r w:rsidRPr="00FF6E12">
        <w:rPr>
          <w:rStyle w:val="FootnoteReference"/>
        </w:rPr>
        <w:footnoteRef/>
      </w:r>
      <w:r w:rsidRPr="00FF6E12">
        <w:t xml:space="preserve"> </w:t>
      </w:r>
      <w:r w:rsidR="001C7759" w:rsidRPr="00FF6E12">
        <w:t>Ibid</w:t>
      </w:r>
      <w:r w:rsidRPr="00FF6E12">
        <w:t xml:space="preserve"> 16.</w:t>
      </w:r>
    </w:p>
  </w:footnote>
  <w:footnote w:id="107">
    <w:p w14:paraId="696262D6" w14:textId="0F4D8A99" w:rsidR="00695636" w:rsidRPr="00FF6E12" w:rsidRDefault="00695636" w:rsidP="00D817F8">
      <w:pPr>
        <w:pStyle w:val="FootnoteText"/>
      </w:pPr>
      <w:r w:rsidRPr="00FF6E12">
        <w:rPr>
          <w:rStyle w:val="FootnoteReference"/>
        </w:rPr>
        <w:footnoteRef/>
      </w:r>
      <w:r w:rsidRPr="00FF6E12">
        <w:t xml:space="preserve"> </w:t>
      </w:r>
      <w:r w:rsidR="00F527DB" w:rsidRPr="00FF6E12">
        <w:t xml:space="preserve">Divna </w:t>
      </w:r>
      <w:r w:rsidRPr="00FF6E12">
        <w:t>Haslam et al, ‘The Australian Child Maltreatment Study (ACMS), a National Survey of the Prevalence of Child Maltreatment and its Correlates: Methodology’ (2023) 218</w:t>
      </w:r>
      <w:r w:rsidR="00F527DB" w:rsidRPr="00FF6E12">
        <w:t xml:space="preserve"> (6 suppl)</w:t>
      </w:r>
      <w:r w:rsidRPr="00FF6E12">
        <w:t xml:space="preserve"> </w:t>
      </w:r>
      <w:r w:rsidRPr="00FF6E12">
        <w:rPr>
          <w:i/>
          <w:iCs/>
        </w:rPr>
        <w:t>The Medical Journal of Australia Supplement</w:t>
      </w:r>
      <w:r w:rsidRPr="00FF6E12">
        <w:t xml:space="preserve"> S8. It was ‘a cross-sectional survey study of people in Australia aged 16 years or more about their childhood maltreatment experiences’, and used the Juvenile Victimization Questionnaire-R2: Adapted Version with follow up items to capture contextual information, </w:t>
      </w:r>
      <w:r w:rsidR="008B39EA">
        <w:t>6</w:t>
      </w:r>
      <w:r w:rsidRPr="00FF6E12">
        <w:t>. The oversampling of young people (16–24 years old) was ‘to provide sufficient power for detecting small changes in prevalence in further survey rounds, allowing evaluation of the impact of police and practice initiatives’ 10.</w:t>
      </w:r>
    </w:p>
  </w:footnote>
  <w:footnote w:id="108">
    <w:p w14:paraId="7E768E6B" w14:textId="3756F1AA" w:rsidR="00695636" w:rsidRPr="00FF6E12" w:rsidRDefault="00695636" w:rsidP="00D817F8">
      <w:pPr>
        <w:pStyle w:val="FootnoteText"/>
      </w:pPr>
      <w:r w:rsidRPr="00FF6E12">
        <w:rPr>
          <w:rStyle w:val="FootnoteReference"/>
        </w:rPr>
        <w:footnoteRef/>
      </w:r>
      <w:r w:rsidRPr="00FF6E12">
        <w:t xml:space="preserve"> </w:t>
      </w:r>
      <w:r w:rsidR="001A34B3" w:rsidRPr="00FF6E12">
        <w:t>Haslam</w:t>
      </w:r>
      <w:r w:rsidR="00F527DB" w:rsidRPr="00FF6E12">
        <w:t xml:space="preserve"> et al (n </w:t>
      </w:r>
      <w:r w:rsidR="00F527DB" w:rsidRPr="00FF6E12">
        <w:fldChar w:fldCharType="begin"/>
      </w:r>
      <w:r w:rsidR="00F527DB" w:rsidRPr="00FF6E12">
        <w:instrText xml:space="preserve"> NOTEREF _Ref217902685 \h </w:instrText>
      </w:r>
      <w:r w:rsidR="00F527DB" w:rsidRPr="00FF6E12">
        <w:fldChar w:fldCharType="separate"/>
      </w:r>
      <w:r w:rsidR="007D7830">
        <w:t>12</w:t>
      </w:r>
      <w:r w:rsidR="00F527DB" w:rsidRPr="00FF6E12">
        <w:fldChar w:fldCharType="end"/>
      </w:r>
      <w:r w:rsidR="00F527DB" w:rsidRPr="00FF6E12">
        <w:t>)</w:t>
      </w:r>
      <w:r w:rsidRPr="00FF6E12">
        <w:t>.</w:t>
      </w:r>
    </w:p>
  </w:footnote>
  <w:footnote w:id="109">
    <w:p w14:paraId="2542A78B" w14:textId="188F9668" w:rsidR="00695636" w:rsidRPr="00FF6E12" w:rsidRDefault="00695636" w:rsidP="00D817F8">
      <w:pPr>
        <w:pStyle w:val="FootnoteText"/>
      </w:pPr>
      <w:r w:rsidRPr="00FF6E12">
        <w:rPr>
          <w:rStyle w:val="FootnoteReference"/>
        </w:rPr>
        <w:footnoteRef/>
      </w:r>
      <w:r w:rsidRPr="00FF6E12">
        <w:t xml:space="preserve"> </w:t>
      </w:r>
      <w:r w:rsidR="00114DB0" w:rsidRPr="00FF6E12">
        <w:t xml:space="preserve">Ibid </w:t>
      </w:r>
      <w:r w:rsidRPr="00FF6E12">
        <w:t>8. The survey asked behaviourally specific questions to elicit a yes or no response. There were three questions relating to contact sexual abuse: Did anyone ever touch your private parts when they shouldn’t have or make you tough their private parts? Did anyone ever try to force you to have sex, even if it didn’t happen? Did anyone ever force you to have sex? There was one question about non-contact sexual abuse: Did anyone ever look at your private parts when they shouldn’t have?</w:t>
      </w:r>
      <w:r w:rsidR="00114DB0" w:rsidRPr="00FF6E12">
        <w:t xml:space="preserve">: Mathews et al (n </w:t>
      </w:r>
      <w:r w:rsidR="00114DB0" w:rsidRPr="00FF6E12">
        <w:fldChar w:fldCharType="begin"/>
      </w:r>
      <w:r w:rsidR="00114DB0" w:rsidRPr="00FF6E12">
        <w:instrText xml:space="preserve"> NOTEREF _Ref217901142 \h </w:instrText>
      </w:r>
      <w:r w:rsidR="00114DB0" w:rsidRPr="00FF6E12">
        <w:fldChar w:fldCharType="separate"/>
      </w:r>
      <w:r w:rsidR="007D7830">
        <w:t>2</w:t>
      </w:r>
      <w:r w:rsidR="00114DB0" w:rsidRPr="00FF6E12">
        <w:fldChar w:fldCharType="end"/>
      </w:r>
      <w:r w:rsidR="00114DB0" w:rsidRPr="00FF6E12">
        <w:t>)</w:t>
      </w:r>
      <w:r w:rsidRPr="00FF6E12">
        <w:t xml:space="preserve"> 3.</w:t>
      </w:r>
    </w:p>
  </w:footnote>
  <w:footnote w:id="110">
    <w:p w14:paraId="09223EF7" w14:textId="5CED124B" w:rsidR="00695636" w:rsidRPr="00FF6E12" w:rsidRDefault="00695636" w:rsidP="00D817F8">
      <w:pPr>
        <w:pStyle w:val="FootnoteText"/>
      </w:pPr>
      <w:r w:rsidRPr="00FF6E12">
        <w:rPr>
          <w:rStyle w:val="FootnoteReference"/>
        </w:rPr>
        <w:footnoteRef/>
      </w:r>
      <w:r w:rsidRPr="00FF6E12">
        <w:t xml:space="preserve"> </w:t>
      </w:r>
      <w:r w:rsidR="00114DB0" w:rsidRPr="00FF6E12">
        <w:t xml:space="preserve">Mathews et al (n </w:t>
      </w:r>
      <w:r w:rsidR="00114DB0" w:rsidRPr="00FF6E12">
        <w:fldChar w:fldCharType="begin"/>
      </w:r>
      <w:r w:rsidR="00114DB0" w:rsidRPr="00FF6E12">
        <w:instrText xml:space="preserve"> NOTEREF _Ref217901142 \h </w:instrText>
      </w:r>
      <w:r w:rsidR="00114DB0" w:rsidRPr="00FF6E12">
        <w:fldChar w:fldCharType="separate"/>
      </w:r>
      <w:r w:rsidR="007D7830">
        <w:t>2</w:t>
      </w:r>
      <w:r w:rsidR="00114DB0" w:rsidRPr="00FF6E12">
        <w:fldChar w:fldCharType="end"/>
      </w:r>
      <w:r w:rsidR="00114DB0" w:rsidRPr="00FF6E12">
        <w:t xml:space="preserve">) </w:t>
      </w:r>
      <w:r w:rsidRPr="00FF6E12">
        <w:t xml:space="preserve">12. It is important to note that this finding is not attempting to account for (a) the seriousness of the sexual assault (eg fondling versus rape), or (b) the number of times the offender committed the offence (eg once versus 20 times). </w:t>
      </w:r>
    </w:p>
  </w:footnote>
  <w:footnote w:id="111">
    <w:p w14:paraId="121995E3" w14:textId="5F9B90E0" w:rsidR="00695636" w:rsidRPr="00FF6E12" w:rsidRDefault="00695636" w:rsidP="00D817F8">
      <w:pPr>
        <w:pStyle w:val="FootnoteText"/>
      </w:pPr>
      <w:r w:rsidRPr="00FF6E12">
        <w:rPr>
          <w:rStyle w:val="FootnoteReference"/>
        </w:rPr>
        <w:footnoteRef/>
      </w:r>
      <w:r w:rsidRPr="00FF6E12">
        <w:t xml:space="preserve"> </w:t>
      </w:r>
      <w:r w:rsidR="00114DB0" w:rsidRPr="00FF6E12">
        <w:t>Ibid</w:t>
      </w:r>
      <w:r w:rsidR="00AE2FDE" w:rsidRPr="00FF6E12">
        <w:t xml:space="preserve"> </w:t>
      </w:r>
      <w:r w:rsidRPr="00FF6E12">
        <w:t>10.</w:t>
      </w:r>
    </w:p>
  </w:footnote>
  <w:footnote w:id="112">
    <w:p w14:paraId="2FE8CD07" w14:textId="3E389A05" w:rsidR="00695636" w:rsidRPr="00FF6E12" w:rsidRDefault="00695636" w:rsidP="00D817F8">
      <w:pPr>
        <w:pStyle w:val="FootnoteText"/>
      </w:pPr>
      <w:r w:rsidRPr="00FF6E12">
        <w:rPr>
          <w:rStyle w:val="FootnoteReference"/>
          <w:rFonts w:cs="Times New Roman"/>
        </w:rPr>
        <w:footnoteRef/>
      </w:r>
      <w:r w:rsidRPr="00FF6E12">
        <w:t xml:space="preserve"> Australian Bureau of Statistics, </w:t>
      </w:r>
      <w:r w:rsidRPr="00FF6E12">
        <w:rPr>
          <w:i/>
          <w:iCs/>
        </w:rPr>
        <w:t>Recorded Crime</w:t>
      </w:r>
      <w:r w:rsidR="00114DB0" w:rsidRPr="00FF6E12">
        <w:rPr>
          <w:i/>
          <w:iCs/>
        </w:rPr>
        <w:t xml:space="preserve"> –</w:t>
      </w:r>
      <w:r w:rsidRPr="00FF6E12">
        <w:rPr>
          <w:i/>
          <w:iCs/>
        </w:rPr>
        <w:t xml:space="preserve"> Offenders, 2023</w:t>
      </w:r>
      <w:r w:rsidR="00114DB0" w:rsidRPr="00FF6E12">
        <w:rPr>
          <w:i/>
          <w:iCs/>
        </w:rPr>
        <w:t>–</w:t>
      </w:r>
      <w:r w:rsidRPr="00FF6E12">
        <w:rPr>
          <w:i/>
          <w:iCs/>
        </w:rPr>
        <w:t xml:space="preserve">24: Principal Offence </w:t>
      </w:r>
      <w:r w:rsidRPr="00FF6E12">
        <w:t xml:space="preserve">(Australian Bureau of Statistics, </w:t>
      </w:r>
      <w:r w:rsidRPr="00212890">
        <w:t>2024) Table</w:t>
      </w:r>
      <w:r w:rsidR="00114DB0" w:rsidRPr="00212890">
        <w:t xml:space="preserve"> </w:t>
      </w:r>
      <w:r w:rsidR="00212890" w:rsidRPr="00212890">
        <w:t>1</w:t>
      </w:r>
      <w:r w:rsidR="00212890">
        <w:t>;</w:t>
      </w:r>
      <w:r w:rsidRPr="00FF6E12">
        <w:rPr>
          <w:i/>
          <w:iCs/>
        </w:rPr>
        <w:t xml:space="preserve"> </w:t>
      </w:r>
      <w:r w:rsidRPr="00FF6E12">
        <w:rPr>
          <w:i/>
        </w:rPr>
        <w:t xml:space="preserve">Recorded Crime </w:t>
      </w:r>
      <w:r w:rsidR="00114DB0" w:rsidRPr="00FF6E12">
        <w:rPr>
          <w:i/>
        </w:rPr>
        <w:t xml:space="preserve">– </w:t>
      </w:r>
      <w:r w:rsidRPr="00FF6E12">
        <w:rPr>
          <w:i/>
        </w:rPr>
        <w:t>Offenders, 2023-24: Youth Offenders</w:t>
      </w:r>
      <w:r w:rsidRPr="00FF6E12">
        <w:t xml:space="preserve"> (Australian Bureau of Statistics, 2024) Table 3.</w:t>
      </w:r>
    </w:p>
  </w:footnote>
  <w:footnote w:id="113">
    <w:p w14:paraId="110E4B01" w14:textId="37FEB3C2" w:rsidR="00695636" w:rsidRPr="00FF6E12" w:rsidRDefault="00695636" w:rsidP="00D817F8">
      <w:pPr>
        <w:pStyle w:val="FootnoteText"/>
      </w:pPr>
      <w:r w:rsidRPr="00FF6E12">
        <w:rPr>
          <w:rStyle w:val="FootnoteReference"/>
        </w:rPr>
        <w:footnoteRef/>
      </w:r>
      <w:r w:rsidRPr="00FF6E12">
        <w:t xml:space="preserve"> This </w:t>
      </w:r>
      <w:r w:rsidR="007C2968" w:rsidRPr="00FF6E12">
        <w:t>classification is from</w:t>
      </w:r>
      <w:r w:rsidRPr="00FF6E12">
        <w:t xml:space="preserve"> the </w:t>
      </w:r>
      <w:r w:rsidRPr="00FF6E12">
        <w:rPr>
          <w:i/>
          <w:iCs/>
        </w:rPr>
        <w:t xml:space="preserve">Australian and New Zealand Standard Offence Classification </w:t>
      </w:r>
      <w:r w:rsidRPr="00FF6E12">
        <w:t>(ANZSOC) 2011</w:t>
      </w:r>
      <w:r w:rsidR="007C2968" w:rsidRPr="00FF6E12">
        <w:t>:</w:t>
      </w:r>
      <w:r w:rsidRPr="00FF6E12">
        <w:t xml:space="preserve"> division 031 (sexual assault)</w:t>
      </w:r>
      <w:r w:rsidR="00DA4C50" w:rsidRPr="00FF6E12">
        <w:t>,</w:t>
      </w:r>
      <w:r w:rsidRPr="00FF6E12">
        <w:t xml:space="preserve"> which is defined as ‘physical contact, or intent of contact, of a sexual nature directed towards another person where that person does not give consent, gives consent as a result of intimidation or deception, or consent is proscribed (ie the person is legally deemed incapable of giving consent because of youth, temporary/permanent (mental) incapacity o</w:t>
      </w:r>
      <w:r w:rsidR="007C2968" w:rsidRPr="00FF6E12">
        <w:t>r</w:t>
      </w:r>
      <w:r w:rsidRPr="00FF6E12">
        <w:t xml:space="preserve"> there is a familial relationship)’</w:t>
      </w:r>
      <w:r w:rsidR="007C2968" w:rsidRPr="00FF6E12">
        <w:t>;</w:t>
      </w:r>
      <w:r w:rsidRPr="00FF6E12">
        <w:t xml:space="preserve"> and division 032 (non-assaultive sexual offences) which </w:t>
      </w:r>
      <w:r w:rsidR="007C2968" w:rsidRPr="00FF6E12">
        <w:t>are</w:t>
      </w:r>
      <w:r w:rsidRPr="00FF6E12">
        <w:t xml:space="preserve"> defined as ‘offences of a sexual nature, or intent thereof, against another person that do not involve p</w:t>
      </w:r>
      <w:r w:rsidR="007C2968" w:rsidRPr="00FF6E12">
        <w:t>h</w:t>
      </w:r>
      <w:r w:rsidRPr="00FF6E12">
        <w:t>y</w:t>
      </w:r>
      <w:r w:rsidR="007C2968" w:rsidRPr="00FF6E12">
        <w:t>sical</w:t>
      </w:r>
      <w:r w:rsidRPr="00FF6E12">
        <w:t xml:space="preserve"> contact with the person and where the person does not give consent, gives consent as a result of intimidation or deception, or consent is proscribed (ie the person is legally deemed incapable of giving consent because of youth, temporary/permanent (mental) incapacity o</w:t>
      </w:r>
      <w:r w:rsidR="007C2968" w:rsidRPr="00FF6E12">
        <w:t>r</w:t>
      </w:r>
      <w:r w:rsidRPr="00FF6E12">
        <w:t xml:space="preserve"> there is a familial relationship)’. </w:t>
      </w:r>
      <w:r w:rsidR="007C2968" w:rsidRPr="00FF6E12">
        <w:t>Note</w:t>
      </w:r>
      <w:r w:rsidRPr="00FF6E12">
        <w:t xml:space="preserve"> that the updated 2023 ANZSOC offence classification for sexual offences contain</w:t>
      </w:r>
      <w:r w:rsidR="007C2968" w:rsidRPr="00FF6E12">
        <w:t>s</w:t>
      </w:r>
      <w:r w:rsidRPr="00FF6E12">
        <w:t xml:space="preserve"> new subcategories of sexual assault of an adult (031), sexual assault of a child (</w:t>
      </w:r>
      <w:r w:rsidR="007C2968" w:rsidRPr="00FF6E12">
        <w:t>0</w:t>
      </w:r>
      <w:r w:rsidRPr="00FF6E12">
        <w:t>32), child procurement or grooming (033), child abuse material offences (034), intimate image offences (035)</w:t>
      </w:r>
      <w:r w:rsidR="007C2968" w:rsidRPr="00FF6E12">
        <w:t>,</w:t>
      </w:r>
      <w:r w:rsidRPr="00FF6E12">
        <w:t xml:space="preserve"> and other sexual offences (039)</w:t>
      </w:r>
      <w:r w:rsidR="007C2968" w:rsidRPr="00FF6E12">
        <w:t>;</w:t>
      </w:r>
      <w:r w:rsidRPr="00FF6E12">
        <w:t xml:space="preserve"> see </w:t>
      </w:r>
      <w:r w:rsidRPr="00FF6E12">
        <w:rPr>
          <w:i/>
          <w:iCs/>
        </w:rPr>
        <w:t xml:space="preserve">Australian and New Zealand Standard Offence Classification </w:t>
      </w:r>
      <w:r w:rsidRPr="00FF6E12">
        <w:t xml:space="preserve">(ANZSOC) </w:t>
      </w:r>
      <w:r w:rsidR="00114DB0" w:rsidRPr="00FF6E12">
        <w:t>(</w:t>
      </w:r>
      <w:r w:rsidRPr="00FF6E12">
        <w:t>2023).</w:t>
      </w:r>
    </w:p>
  </w:footnote>
  <w:footnote w:id="114">
    <w:p w14:paraId="6C602773" w14:textId="71067665" w:rsidR="00695636" w:rsidRPr="00FF6E12" w:rsidRDefault="00695636" w:rsidP="00D817F8">
      <w:pPr>
        <w:pStyle w:val="FootnoteText"/>
      </w:pPr>
      <w:r w:rsidRPr="00FF6E12">
        <w:rPr>
          <w:rStyle w:val="FootnoteReference"/>
        </w:rPr>
        <w:footnoteRef/>
      </w:r>
      <w:r w:rsidRPr="00FF6E12">
        <w:t xml:space="preserve"> </w:t>
      </w:r>
      <w:r w:rsidR="00AA16DC" w:rsidRPr="00FF6E12">
        <w:t>Cahill et al</w:t>
      </w:r>
      <w:r w:rsidR="00114DB0" w:rsidRPr="00FF6E12">
        <w:t xml:space="preserve"> (n </w:t>
      </w:r>
      <w:r w:rsidR="00114DB0" w:rsidRPr="00FF6E12">
        <w:fldChar w:fldCharType="begin"/>
      </w:r>
      <w:r w:rsidR="00114DB0" w:rsidRPr="00FF6E12">
        <w:instrText xml:space="preserve"> NOTEREF _Ref217917566 \h </w:instrText>
      </w:r>
      <w:r w:rsidR="00114DB0" w:rsidRPr="00FF6E12">
        <w:fldChar w:fldCharType="separate"/>
      </w:r>
      <w:r w:rsidR="007D7830">
        <w:t>90</w:t>
      </w:r>
      <w:r w:rsidR="00114DB0" w:rsidRPr="00FF6E12">
        <w:fldChar w:fldCharType="end"/>
      </w:r>
      <w:r w:rsidR="00114DB0" w:rsidRPr="00FF6E12">
        <w:t>)</w:t>
      </w:r>
      <w:r w:rsidRPr="00FF6E12">
        <w:t xml:space="preserve"> 9.</w:t>
      </w:r>
    </w:p>
  </w:footnote>
  <w:footnote w:id="115">
    <w:p w14:paraId="3FD6488F" w14:textId="20FC567B" w:rsidR="00695636" w:rsidRPr="00FF6E12" w:rsidRDefault="00695636" w:rsidP="00D817F8">
      <w:pPr>
        <w:pStyle w:val="FootnoteText"/>
      </w:pPr>
      <w:r w:rsidRPr="00FF6E12">
        <w:rPr>
          <w:rStyle w:val="FootnoteReference"/>
        </w:rPr>
        <w:footnoteRef/>
      </w:r>
      <w:r w:rsidRPr="00FF6E12">
        <w:t xml:space="preserve"> Tom Sullivan et al, </w:t>
      </w:r>
      <w:r w:rsidRPr="00FF6E12">
        <w:rPr>
          <w:i/>
          <w:iCs/>
        </w:rPr>
        <w:t xml:space="preserve">Sexual Offending in Australia 2022–23 </w:t>
      </w:r>
      <w:r w:rsidR="00052055" w:rsidRPr="00FF6E12">
        <w:t xml:space="preserve">(AIC Reports: Statistical Reports 51, 2025) </w:t>
      </w:r>
      <w:r w:rsidRPr="00FF6E12">
        <w:t>16</w:t>
      </w:r>
      <w:r w:rsidR="00DA4C50" w:rsidRPr="00FF6E12">
        <w:t>–</w:t>
      </w:r>
      <w:r w:rsidRPr="00FF6E12">
        <w:t>17.</w:t>
      </w:r>
    </w:p>
  </w:footnote>
  <w:footnote w:id="116">
    <w:p w14:paraId="17CEA736" w14:textId="6E2909FA" w:rsidR="00695636" w:rsidRPr="00FF6E12" w:rsidRDefault="00695636" w:rsidP="00D817F8">
      <w:pPr>
        <w:pStyle w:val="FootnoteText"/>
      </w:pPr>
      <w:r w:rsidRPr="00FF6E12">
        <w:rPr>
          <w:rStyle w:val="FootnoteReference"/>
        </w:rPr>
        <w:footnoteRef/>
      </w:r>
      <w:r w:rsidRPr="00FF6E12">
        <w:t xml:space="preserve"> </w:t>
      </w:r>
      <w:r w:rsidR="00052055" w:rsidRPr="00FF6E12">
        <w:t>Ibid</w:t>
      </w:r>
      <w:r w:rsidRPr="00FF6E12">
        <w:t xml:space="preserve"> 22.</w:t>
      </w:r>
    </w:p>
  </w:footnote>
  <w:footnote w:id="117">
    <w:p w14:paraId="6DF18E11" w14:textId="2B70E7DF" w:rsidR="00695636" w:rsidRPr="00FF6E12" w:rsidRDefault="00695636" w:rsidP="00D817F8">
      <w:pPr>
        <w:pStyle w:val="FootnoteText"/>
      </w:pPr>
      <w:r w:rsidRPr="00FF6E12">
        <w:rPr>
          <w:rStyle w:val="FootnoteReference"/>
        </w:rPr>
        <w:footnoteRef/>
      </w:r>
      <w:r w:rsidRPr="00FF6E12">
        <w:t xml:space="preserve"> </w:t>
      </w:r>
      <w:r w:rsidR="00896A52" w:rsidRPr="00FF6E12">
        <w:t xml:space="preserve">Finkelhor et al (n </w:t>
      </w:r>
      <w:r w:rsidR="00896A52" w:rsidRPr="00FF6E12">
        <w:fldChar w:fldCharType="begin"/>
      </w:r>
      <w:r w:rsidR="00896A52" w:rsidRPr="00FF6E12">
        <w:instrText xml:space="preserve"> NOTEREF _Ref217915176 \h </w:instrText>
      </w:r>
      <w:r w:rsidR="00896A52" w:rsidRPr="00FF6E12">
        <w:fldChar w:fldCharType="separate"/>
      </w:r>
      <w:r w:rsidR="007D7830">
        <w:t>75</w:t>
      </w:r>
      <w:r w:rsidR="00896A52" w:rsidRPr="00FF6E12">
        <w:fldChar w:fldCharType="end"/>
      </w:r>
      <w:r w:rsidR="00896A52" w:rsidRPr="00FF6E12">
        <w:t>)</w:t>
      </w:r>
      <w:r w:rsidRPr="00FF6E12">
        <w:t xml:space="preserve">. This study reports from a </w:t>
      </w:r>
      <w:r w:rsidR="004927B2" w:rsidRPr="00FF6E12">
        <w:t>victim-oriented</w:t>
      </w:r>
      <w:r w:rsidRPr="00FF6E12">
        <w:t xml:space="preserve"> perspective, and found that ‘the large majority (88%) of the images involved youth produced images’</w:t>
      </w:r>
      <w:r w:rsidR="00896A52" w:rsidRPr="00FF6E12">
        <w:t>:</w:t>
      </w:r>
      <w:r w:rsidRPr="00FF6E12">
        <w:t xml:space="preserve"> 7.</w:t>
      </w:r>
    </w:p>
  </w:footnote>
  <w:footnote w:id="118">
    <w:p w14:paraId="66E41F01" w14:textId="2813B211" w:rsidR="00695636" w:rsidRPr="00FF6E12" w:rsidRDefault="00695636" w:rsidP="00D817F8">
      <w:pPr>
        <w:pStyle w:val="FootnoteText"/>
      </w:pPr>
      <w:r w:rsidRPr="00FF6E12">
        <w:rPr>
          <w:rStyle w:val="FootnoteReference"/>
        </w:rPr>
        <w:footnoteRef/>
      </w:r>
      <w:r w:rsidRPr="00FF6E12">
        <w:t xml:space="preserve"> </w:t>
      </w:r>
      <w:r w:rsidR="00896A52" w:rsidRPr="00FF6E12">
        <w:t xml:space="preserve">Whiteny </w:t>
      </w:r>
      <w:r w:rsidR="008E333B" w:rsidRPr="00FF6E12">
        <w:t xml:space="preserve">Howey, </w:t>
      </w:r>
      <w:r w:rsidR="00896A52" w:rsidRPr="00FF6E12">
        <w:t xml:space="preserve">Brad </w:t>
      </w:r>
      <w:r w:rsidR="008E333B" w:rsidRPr="00FF6E12">
        <w:t>Lundahl</w:t>
      </w:r>
      <w:r w:rsidR="00896A52" w:rsidRPr="00FF6E12">
        <w:t xml:space="preserve"> </w:t>
      </w:r>
      <w:r w:rsidR="00ED4AA7" w:rsidRPr="00FF6E12">
        <w:t>and</w:t>
      </w:r>
      <w:r w:rsidR="008E333B" w:rsidRPr="00FF6E12">
        <w:t xml:space="preserve"> </w:t>
      </w:r>
      <w:r w:rsidR="00896A52" w:rsidRPr="00FF6E12">
        <w:t xml:space="preserve">Andrea </w:t>
      </w:r>
      <w:r w:rsidR="008E333B" w:rsidRPr="00FF6E12">
        <w:t xml:space="preserve">Assadollahi, </w:t>
      </w:r>
      <w:r w:rsidR="00896A52" w:rsidRPr="00FF6E12">
        <w:t>‘</w:t>
      </w:r>
      <w:r w:rsidR="008E333B" w:rsidRPr="00FF6E12">
        <w:t>Effectiveness of residential treatment for youths with problematic sexual behaviour: A systematic review</w:t>
      </w:r>
      <w:r w:rsidR="00896A52" w:rsidRPr="00FF6E12">
        <w:t>. (2022) 19(23)</w:t>
      </w:r>
      <w:r w:rsidR="008E333B" w:rsidRPr="00FF6E12">
        <w:t xml:space="preserve"> </w:t>
      </w:r>
      <w:r w:rsidR="008E333B" w:rsidRPr="00FF6E12">
        <w:rPr>
          <w:i/>
          <w:iCs/>
        </w:rPr>
        <w:t>International Journal of Environmental Research and Public Health</w:t>
      </w:r>
      <w:r w:rsidR="008E333B" w:rsidRPr="00FF6E12">
        <w:t xml:space="preserve">, </w:t>
      </w:r>
      <w:r w:rsidR="008E333B" w:rsidRPr="00FF6E12">
        <w:rPr>
          <w:i/>
          <w:iCs/>
        </w:rPr>
        <w:t>19</w:t>
      </w:r>
      <w:r w:rsidR="008E333B" w:rsidRPr="00FF6E12">
        <w:t>(23), 15625</w:t>
      </w:r>
      <w:r w:rsidR="00896A52" w:rsidRPr="00FF6E12">
        <w:t xml:space="preserve"> &lt;https://doi.org/10.3390/ijerph192315625&gt;</w:t>
      </w:r>
      <w:r w:rsidRPr="00FF6E12">
        <w:t xml:space="preserve">; </w:t>
      </w:r>
      <w:r w:rsidR="00520A56" w:rsidRPr="00FF6E12">
        <w:t>Hackett</w:t>
      </w:r>
      <w:r w:rsidR="00896A52" w:rsidRPr="00FF6E12">
        <w:t xml:space="preserve"> et al (n </w:t>
      </w:r>
      <w:r w:rsidR="00B46278" w:rsidRPr="00FF6E12">
        <w:fldChar w:fldCharType="begin"/>
      </w:r>
      <w:r w:rsidR="00B46278" w:rsidRPr="00FF6E12">
        <w:instrText xml:space="preserve"> NOTEREF _Ref217977090 \h </w:instrText>
      </w:r>
      <w:r w:rsidR="00B46278" w:rsidRPr="00FF6E12">
        <w:fldChar w:fldCharType="separate"/>
      </w:r>
      <w:r w:rsidR="007D7830">
        <w:t>5</w:t>
      </w:r>
      <w:r w:rsidR="00B46278" w:rsidRPr="00FF6E12">
        <w:fldChar w:fldCharType="end"/>
      </w:r>
      <w:r w:rsidR="00896A52" w:rsidRPr="00FF6E12">
        <w:t>)</w:t>
      </w:r>
      <w:r w:rsidR="008103AA" w:rsidRPr="00FF6E12">
        <w:t>.</w:t>
      </w:r>
    </w:p>
  </w:footnote>
  <w:footnote w:id="119">
    <w:p w14:paraId="58865AE1" w14:textId="0799276A" w:rsidR="00695636" w:rsidRPr="00FF6E12" w:rsidRDefault="00695636" w:rsidP="00D817F8">
      <w:pPr>
        <w:pStyle w:val="FootnoteText"/>
      </w:pPr>
      <w:r w:rsidRPr="00FF6E12">
        <w:rPr>
          <w:rStyle w:val="FootnoteReference"/>
        </w:rPr>
        <w:footnoteRef/>
      </w:r>
      <w:r w:rsidRPr="00FF6E12">
        <w:t xml:space="preserve"> </w:t>
      </w:r>
      <w:r w:rsidR="00896A52" w:rsidRPr="00FF6E12">
        <w:t xml:space="preserve">Walsh et al (n </w:t>
      </w:r>
      <w:r w:rsidR="00896A52" w:rsidRPr="00FF6E12">
        <w:fldChar w:fldCharType="begin"/>
      </w:r>
      <w:r w:rsidR="00896A52" w:rsidRPr="00FF6E12">
        <w:instrText xml:space="preserve"> NOTEREF _Ref217903522 \h </w:instrText>
      </w:r>
      <w:r w:rsidR="00896A52" w:rsidRPr="00FF6E12">
        <w:fldChar w:fldCharType="separate"/>
      </w:r>
      <w:r w:rsidR="007D7830">
        <w:t>24</w:t>
      </w:r>
      <w:r w:rsidR="00896A52" w:rsidRPr="00FF6E12">
        <w:fldChar w:fldCharType="end"/>
      </w:r>
      <w:r w:rsidR="00896A52" w:rsidRPr="00FF6E12">
        <w:t xml:space="preserve">). </w:t>
      </w:r>
      <w:r w:rsidRPr="00FF6E12">
        <w:t>It is noted that the ‘ACMS collected retrospective self-report data about the experience of … online sexual victimization at any time in childhood up to age 18’</w:t>
      </w:r>
      <w:r w:rsidR="00896A52" w:rsidRPr="00FF6E12">
        <w:t>:</w:t>
      </w:r>
      <w:r w:rsidRPr="00FF6E12">
        <w:t xml:space="preserve"> 4. Participants aged 16–24 were asked ‘Did anyone ever use the internet or a mobile phone to share sexual images of you without your consent?’. If the answer was yes, then follow up questions were asked about how many times it had happe</w:t>
      </w:r>
      <w:r w:rsidR="005F52B5" w:rsidRPr="00FF6E12">
        <w:t>ne</w:t>
      </w:r>
      <w:r w:rsidRPr="00FF6E12">
        <w:t>d, age at onset and who had done this to them</w:t>
      </w:r>
      <w:r w:rsidR="00896A52" w:rsidRPr="00FF6E12">
        <w:t>:</w:t>
      </w:r>
      <w:r w:rsidRPr="00FF6E12">
        <w:t xml:space="preserve"> 4.</w:t>
      </w:r>
    </w:p>
  </w:footnote>
  <w:footnote w:id="120">
    <w:p w14:paraId="35594AB2" w14:textId="0CF089FB" w:rsidR="00695636" w:rsidRPr="00FF6E12" w:rsidRDefault="00695636" w:rsidP="00D817F8">
      <w:pPr>
        <w:pStyle w:val="FootnoteText"/>
      </w:pPr>
      <w:r w:rsidRPr="00FF6E12">
        <w:rPr>
          <w:rStyle w:val="FootnoteReference"/>
        </w:rPr>
        <w:footnoteRef/>
      </w:r>
      <w:r w:rsidRPr="00FF6E12">
        <w:t xml:space="preserve"> </w:t>
      </w:r>
      <w:r w:rsidR="00896A52" w:rsidRPr="00FF6E12">
        <w:t>Ibid</w:t>
      </w:r>
      <w:r w:rsidR="000B372F" w:rsidRPr="00FF6E12">
        <w:t xml:space="preserve"> </w:t>
      </w:r>
      <w:r w:rsidRPr="00FF6E12">
        <w:t>5.</w:t>
      </w:r>
    </w:p>
  </w:footnote>
  <w:footnote w:id="121">
    <w:p w14:paraId="02EBA943" w14:textId="6C1985DD" w:rsidR="00A3549E" w:rsidRPr="00FF6E12" w:rsidRDefault="00A3549E" w:rsidP="00D817F8">
      <w:pPr>
        <w:pStyle w:val="FootnoteText"/>
      </w:pPr>
      <w:r w:rsidRPr="00FF6E12">
        <w:rPr>
          <w:rStyle w:val="FootnoteReference"/>
        </w:rPr>
        <w:footnoteRef/>
      </w:r>
      <w:r w:rsidRPr="00FF6E12">
        <w:t xml:space="preserve"> </w:t>
      </w:r>
      <w:r w:rsidR="00896A52" w:rsidRPr="00FF6E12">
        <w:t>Ibid</w:t>
      </w:r>
      <w:r w:rsidR="000B372F" w:rsidRPr="00FF6E12">
        <w:t xml:space="preserve"> </w:t>
      </w:r>
      <w:r w:rsidR="008B58B8" w:rsidRPr="00FF6E12">
        <w:t>T</w:t>
      </w:r>
      <w:r w:rsidR="0025412C" w:rsidRPr="00FF6E12">
        <w:t xml:space="preserve">able </w:t>
      </w:r>
      <w:r w:rsidR="008B58B8" w:rsidRPr="00FF6E12">
        <w:t>4.</w:t>
      </w:r>
      <w:r w:rsidR="007F72BA" w:rsidRPr="00FF6E12">
        <w:t xml:space="preserve"> It is noted that </w:t>
      </w:r>
      <w:r w:rsidR="00B45EE7" w:rsidRPr="00FF6E12">
        <w:t xml:space="preserve">there were </w:t>
      </w:r>
      <w:r w:rsidR="00F13EA5" w:rsidRPr="00FF6E12">
        <w:t xml:space="preserve">247 </w:t>
      </w:r>
      <w:r w:rsidR="00291FC8" w:rsidRPr="00FF6E12">
        <w:t xml:space="preserve">participants who </w:t>
      </w:r>
      <w:r w:rsidR="00B45EE7" w:rsidRPr="00FF6E12">
        <w:t>identified</w:t>
      </w:r>
      <w:r w:rsidR="00291FC8" w:rsidRPr="00FF6E12">
        <w:t xml:space="preserve"> </w:t>
      </w:r>
      <w:r w:rsidR="00E12790" w:rsidRPr="00FF6E12">
        <w:t>an offender</w:t>
      </w:r>
      <w:r w:rsidR="009C1617" w:rsidRPr="00FF6E12">
        <w:t xml:space="preserve">. </w:t>
      </w:r>
      <w:r w:rsidR="00440328" w:rsidRPr="00FF6E12">
        <w:t xml:space="preserve">There were 5 </w:t>
      </w:r>
      <w:r w:rsidR="00B45EE7" w:rsidRPr="00FF6E12">
        <w:t xml:space="preserve">participants who did not know the </w:t>
      </w:r>
      <w:r w:rsidR="00E12790" w:rsidRPr="00FF6E12">
        <w:t>offende</w:t>
      </w:r>
      <w:r w:rsidR="00291FC8" w:rsidRPr="00FF6E12">
        <w:t>r</w:t>
      </w:r>
      <w:r w:rsidR="00B45EE7" w:rsidRPr="00FF6E12">
        <w:t xml:space="preserve"> type and 4 who declined to answer</w:t>
      </w:r>
      <w:r w:rsidR="00896A52" w:rsidRPr="00FF6E12">
        <w:t>:</w:t>
      </w:r>
      <w:r w:rsidR="00B45EE7" w:rsidRPr="00FF6E12">
        <w:t xml:space="preserve"> Table 4.</w:t>
      </w:r>
    </w:p>
  </w:footnote>
  <w:footnote w:id="122">
    <w:p w14:paraId="3D936A27" w14:textId="2A315258" w:rsidR="00695636" w:rsidRPr="00FF6E12" w:rsidRDefault="00695636" w:rsidP="00D817F8">
      <w:pPr>
        <w:pStyle w:val="FootnoteText"/>
      </w:pPr>
      <w:r w:rsidRPr="00FF6E12">
        <w:rPr>
          <w:rStyle w:val="FootnoteReference"/>
        </w:rPr>
        <w:footnoteRef/>
      </w:r>
      <w:r w:rsidRPr="00FF6E12">
        <w:t xml:space="preserve"> </w:t>
      </w:r>
      <w:r w:rsidR="00896A52" w:rsidRPr="00FF6E12">
        <w:t>Ibid</w:t>
      </w:r>
      <w:r w:rsidR="000B372F" w:rsidRPr="00FF6E12">
        <w:t xml:space="preserve"> </w:t>
      </w:r>
      <w:r w:rsidRPr="00FF6E12">
        <w:t>5.</w:t>
      </w:r>
    </w:p>
  </w:footnote>
  <w:footnote w:id="123">
    <w:p w14:paraId="5B5C2BB0" w14:textId="07ADCFB9" w:rsidR="00695636" w:rsidRPr="00FF6E12" w:rsidRDefault="00695636" w:rsidP="00D817F8">
      <w:pPr>
        <w:pStyle w:val="FootnoteText"/>
      </w:pPr>
      <w:r w:rsidRPr="00FF6E12">
        <w:rPr>
          <w:rStyle w:val="FootnoteReference"/>
        </w:rPr>
        <w:footnoteRef/>
      </w:r>
      <w:r w:rsidRPr="00FF6E12">
        <w:t xml:space="preserve"> </w:t>
      </w:r>
      <w:r w:rsidR="00896A52" w:rsidRPr="00FF6E12">
        <w:t>Ibid</w:t>
      </w:r>
      <w:r w:rsidRPr="00FF6E12">
        <w:t>.</w:t>
      </w:r>
    </w:p>
  </w:footnote>
  <w:footnote w:id="124">
    <w:p w14:paraId="7A04F0C0" w14:textId="3206987E" w:rsidR="00695636" w:rsidRPr="00FF6E12" w:rsidRDefault="00695636" w:rsidP="00D817F8">
      <w:pPr>
        <w:pStyle w:val="FootnoteText"/>
      </w:pPr>
      <w:r w:rsidRPr="00FF6E12">
        <w:rPr>
          <w:rStyle w:val="FootnoteReference"/>
        </w:rPr>
        <w:footnoteRef/>
      </w:r>
      <w:r w:rsidRPr="00FF6E12">
        <w:t xml:space="preserve"> </w:t>
      </w:r>
      <w:r w:rsidR="00896A52" w:rsidRPr="00FF6E12">
        <w:t>Ibid</w:t>
      </w:r>
      <w:r w:rsidR="000B372F" w:rsidRPr="00FF6E12">
        <w:t xml:space="preserve"> </w:t>
      </w:r>
      <w:r w:rsidRPr="00FF6E12">
        <w:t>6.</w:t>
      </w:r>
    </w:p>
  </w:footnote>
  <w:footnote w:id="125">
    <w:p w14:paraId="121BC613" w14:textId="4214DAA9" w:rsidR="00440328" w:rsidRPr="00FF6E12" w:rsidRDefault="00440328" w:rsidP="00D817F8">
      <w:pPr>
        <w:pStyle w:val="FootnoteText"/>
      </w:pPr>
      <w:r w:rsidRPr="00FF6E12">
        <w:rPr>
          <w:rStyle w:val="FootnoteReference"/>
        </w:rPr>
        <w:footnoteRef/>
      </w:r>
      <w:r w:rsidRPr="00FF6E12">
        <w:t xml:space="preserve"> </w:t>
      </w:r>
      <w:r w:rsidR="00896A52" w:rsidRPr="00FF6E12">
        <w:t>Ibid</w:t>
      </w:r>
      <w:r w:rsidR="000B372F" w:rsidRPr="00FF6E12">
        <w:t xml:space="preserve"> </w:t>
      </w:r>
      <w:r w:rsidR="00B45EE7" w:rsidRPr="00FF6E12">
        <w:t>Table 4.</w:t>
      </w:r>
    </w:p>
  </w:footnote>
  <w:footnote w:id="126">
    <w:p w14:paraId="2A94F295" w14:textId="11ADFE8E" w:rsidR="00695636" w:rsidRPr="00FF6E12" w:rsidRDefault="00695636" w:rsidP="00D817F8">
      <w:pPr>
        <w:pStyle w:val="FootnoteText"/>
      </w:pPr>
      <w:r w:rsidRPr="00FF6E12">
        <w:rPr>
          <w:rStyle w:val="FootnoteReference"/>
        </w:rPr>
        <w:footnoteRef/>
      </w:r>
      <w:r w:rsidRPr="00FF6E12">
        <w:t xml:space="preserve"> </w:t>
      </w:r>
      <w:r w:rsidR="00896A52" w:rsidRPr="00FF6E12">
        <w:t>Ibid</w:t>
      </w:r>
      <w:r w:rsidRPr="00FF6E12">
        <w:t xml:space="preserve"> 4.</w:t>
      </w:r>
    </w:p>
  </w:footnote>
  <w:footnote w:id="127">
    <w:p w14:paraId="2F2B0949" w14:textId="55D9E86A" w:rsidR="00695636" w:rsidRPr="00FF6E12" w:rsidRDefault="00695636" w:rsidP="00D817F8">
      <w:pPr>
        <w:pStyle w:val="FootnoteText"/>
        <w:rPr>
          <w:i/>
          <w:iCs/>
        </w:rPr>
      </w:pPr>
      <w:r w:rsidRPr="00FF6E12">
        <w:rPr>
          <w:rStyle w:val="FootnoteReference"/>
        </w:rPr>
        <w:footnoteRef/>
      </w:r>
      <w:r w:rsidRPr="00FF6E12">
        <w:t xml:space="preserve"> </w:t>
      </w:r>
      <w:r w:rsidR="00896A52" w:rsidRPr="00FF6E12">
        <w:t xml:space="preserve">Wolbers et al (n </w:t>
      </w:r>
      <w:r w:rsidR="00896A52" w:rsidRPr="00FF6E12">
        <w:fldChar w:fldCharType="begin"/>
      </w:r>
      <w:r w:rsidR="00896A52" w:rsidRPr="00FF6E12">
        <w:instrText xml:space="preserve"> NOTEREF _Ref217922700 \h </w:instrText>
      </w:r>
      <w:r w:rsidR="00896A52" w:rsidRPr="00FF6E12">
        <w:fldChar w:fldCharType="separate"/>
      </w:r>
      <w:r w:rsidR="007D7830">
        <w:t>73</w:t>
      </w:r>
      <w:r w:rsidR="00896A52" w:rsidRPr="00FF6E12">
        <w:fldChar w:fldCharType="end"/>
      </w:r>
      <w:r w:rsidR="00896A52" w:rsidRPr="00FF6E12">
        <w:t>)</w:t>
      </w:r>
      <w:r w:rsidRPr="00FF6E12">
        <w:t>.</w:t>
      </w:r>
    </w:p>
  </w:footnote>
  <w:footnote w:id="128">
    <w:p w14:paraId="210FF01E" w14:textId="33F8CC38" w:rsidR="00695636" w:rsidRPr="00FF6E12" w:rsidRDefault="00695636" w:rsidP="00D817F8">
      <w:pPr>
        <w:pStyle w:val="FootnoteText"/>
      </w:pPr>
      <w:r w:rsidRPr="00FF6E12">
        <w:rPr>
          <w:rStyle w:val="FootnoteReference"/>
        </w:rPr>
        <w:footnoteRef/>
      </w:r>
      <w:r w:rsidRPr="00FF6E12">
        <w:t xml:space="preserve"> To measure sexual extortion, survey respondents (aged between 16 and 18) were asked: ‘Has anyone ever demanded something from you (eg money or photos) and threatened to post or share an intimate or nude image/video of you if you didn’t do what they say?’</w:t>
      </w:r>
      <w:r w:rsidR="00896A52" w:rsidRPr="00FF6E12">
        <w:t>:</w:t>
      </w:r>
      <w:r w:rsidR="000B372F" w:rsidRPr="00FF6E12">
        <w:t xml:space="preserve"> </w:t>
      </w:r>
      <w:r w:rsidR="00896A52" w:rsidRPr="00FF6E12">
        <w:t>Ibid</w:t>
      </w:r>
      <w:r w:rsidRPr="00FF6E12">
        <w:t xml:space="preserve"> 4.</w:t>
      </w:r>
    </w:p>
  </w:footnote>
  <w:footnote w:id="129">
    <w:p w14:paraId="7B7B6405" w14:textId="3E89697A" w:rsidR="00695636" w:rsidRPr="00FF6E12" w:rsidRDefault="00695636" w:rsidP="00D817F8">
      <w:pPr>
        <w:pStyle w:val="FootnoteText"/>
      </w:pPr>
      <w:r w:rsidRPr="00FF6E12">
        <w:rPr>
          <w:rStyle w:val="FootnoteReference"/>
        </w:rPr>
        <w:footnoteRef/>
      </w:r>
      <w:r w:rsidRPr="00FF6E12">
        <w:t xml:space="preserve"> </w:t>
      </w:r>
      <w:r w:rsidR="00896A52" w:rsidRPr="00FF6E12">
        <w:t>Ibid</w:t>
      </w:r>
      <w:r w:rsidR="009E7318" w:rsidRPr="00FF6E12">
        <w:t xml:space="preserve"> </w:t>
      </w:r>
      <w:r w:rsidRPr="00FF6E12">
        <w:t xml:space="preserve">8. </w:t>
      </w:r>
    </w:p>
  </w:footnote>
  <w:footnote w:id="130">
    <w:p w14:paraId="47B90BB4" w14:textId="0A624027" w:rsidR="00695636" w:rsidRPr="00FF6E12" w:rsidRDefault="00695636" w:rsidP="00A920EC">
      <w:pPr>
        <w:pStyle w:val="FootnoteText"/>
        <w:jc w:val="left"/>
      </w:pPr>
      <w:r w:rsidRPr="00FF6E12">
        <w:rPr>
          <w:rStyle w:val="FootnoteReference"/>
        </w:rPr>
        <w:footnoteRef/>
      </w:r>
      <w:r w:rsidRPr="00FF6E12">
        <w:t xml:space="preserve"> Melanie Burton et al ‘Regulating Image-Based Abuse: An Examination of Australia’s Reporting and Removal Scheme</w:t>
      </w:r>
      <w:r w:rsidR="00DA4C50" w:rsidRPr="00FF6E12">
        <w:t>’</w:t>
      </w:r>
      <w:r w:rsidRPr="00FF6E12">
        <w:t xml:space="preserve"> (2025) </w:t>
      </w:r>
      <w:r w:rsidR="00DA4C50" w:rsidRPr="00FF6E12">
        <w:t xml:space="preserve">2(5) </w:t>
      </w:r>
      <w:r w:rsidRPr="00FF6E12">
        <w:rPr>
          <w:i/>
          <w:iCs/>
        </w:rPr>
        <w:t>Journal of Online Trust and Safety</w:t>
      </w:r>
      <w:r w:rsidR="00DA4C50" w:rsidRPr="00FF6E12">
        <w:rPr>
          <w:i/>
          <w:iCs/>
        </w:rPr>
        <w:t xml:space="preserve"> </w:t>
      </w:r>
      <w:r w:rsidR="00DA4C50" w:rsidRPr="00FF6E12">
        <w:t>1</w:t>
      </w:r>
      <w:r w:rsidRPr="00FF6E12">
        <w:rPr>
          <w:i/>
          <w:iCs/>
        </w:rPr>
        <w:t xml:space="preserve"> </w:t>
      </w:r>
      <w:r w:rsidRPr="00FF6E12">
        <w:t>&lt;</w:t>
      </w:r>
      <w:r w:rsidR="00DA4C50" w:rsidRPr="00A920EC">
        <w:t>https://tsjournal.org/index.php/jots/article/view/222/86</w:t>
      </w:r>
      <w:r w:rsidRPr="00FF6E12">
        <w:t>&gt; 4.</w:t>
      </w:r>
    </w:p>
  </w:footnote>
  <w:footnote w:id="131">
    <w:p w14:paraId="2102C3D8" w14:textId="0E85FCB6" w:rsidR="00695636" w:rsidRPr="00FF6E12" w:rsidRDefault="00695636" w:rsidP="00D817F8">
      <w:pPr>
        <w:pStyle w:val="FootnoteText"/>
      </w:pPr>
      <w:r w:rsidRPr="00FF6E12">
        <w:rPr>
          <w:rStyle w:val="FootnoteReference"/>
        </w:rPr>
        <w:footnoteRef/>
      </w:r>
      <w:r w:rsidRPr="00FF6E12">
        <w:t xml:space="preserve"> </w:t>
      </w:r>
      <w:r w:rsidR="00DA4C50" w:rsidRPr="00FF6E12">
        <w:t>Ibid</w:t>
      </w:r>
      <w:r w:rsidR="009E7318" w:rsidRPr="00FF6E12">
        <w:t xml:space="preserve"> </w:t>
      </w:r>
      <w:r w:rsidRPr="00FF6E12">
        <w:t>[5.3].</w:t>
      </w:r>
    </w:p>
  </w:footnote>
  <w:footnote w:id="132">
    <w:p w14:paraId="02200BF1" w14:textId="094F8E75" w:rsidR="00695636" w:rsidRPr="00FF6E12" w:rsidRDefault="00695636" w:rsidP="00D817F8">
      <w:pPr>
        <w:pStyle w:val="FootnoteText"/>
      </w:pPr>
      <w:r w:rsidRPr="00FF6E12">
        <w:rPr>
          <w:rStyle w:val="FootnoteReference"/>
        </w:rPr>
        <w:footnoteRef/>
      </w:r>
      <w:r w:rsidRPr="00FF6E12">
        <w:t xml:space="preserve"> </w:t>
      </w:r>
      <w:r w:rsidR="00DA4C50" w:rsidRPr="00FF6E12">
        <w:t>Ibid</w:t>
      </w:r>
      <w:r w:rsidR="009E7318" w:rsidRPr="00FF6E12">
        <w:t xml:space="preserve"> </w:t>
      </w:r>
      <w:r w:rsidRPr="00FF6E12">
        <w:t>[5.3.4].</w:t>
      </w:r>
    </w:p>
  </w:footnote>
  <w:footnote w:id="133">
    <w:p w14:paraId="2276C131" w14:textId="489B1711" w:rsidR="00695636" w:rsidRPr="00FF6E12" w:rsidRDefault="00695636" w:rsidP="00D817F8">
      <w:pPr>
        <w:pStyle w:val="FootnoteText"/>
      </w:pPr>
      <w:r w:rsidRPr="00FF6E12">
        <w:rPr>
          <w:rStyle w:val="FootnoteReference"/>
        </w:rPr>
        <w:footnoteRef/>
      </w:r>
      <w:r w:rsidRPr="00FF6E12">
        <w:t xml:space="preserve"> </w:t>
      </w:r>
      <w:r w:rsidR="00DA4C50" w:rsidRPr="00FF6E12">
        <w:t>Ibid</w:t>
      </w:r>
      <w:r w:rsidR="009E7318" w:rsidRPr="00FF6E12">
        <w:t xml:space="preserve"> </w:t>
      </w:r>
      <w:r w:rsidRPr="00FF6E12">
        <w:t>18</w:t>
      </w:r>
      <w:r w:rsidR="00DA4C50" w:rsidRPr="00FF6E12">
        <w:t>,</w:t>
      </w:r>
      <w:r w:rsidRPr="00FF6E12">
        <w:t xml:space="preserve"> Table 3.</w:t>
      </w:r>
    </w:p>
  </w:footnote>
  <w:footnote w:id="134">
    <w:p w14:paraId="40DE47D3" w14:textId="7C7BBB7E" w:rsidR="00695636" w:rsidRPr="00FF6E12" w:rsidRDefault="00695636" w:rsidP="00D817F8">
      <w:pPr>
        <w:pStyle w:val="FootnoteText"/>
      </w:pPr>
      <w:r w:rsidRPr="00FF6E12">
        <w:rPr>
          <w:rStyle w:val="FootnoteReference"/>
        </w:rPr>
        <w:footnoteRef/>
      </w:r>
      <w:r w:rsidRPr="00FF6E12">
        <w:t xml:space="preserve"> </w:t>
      </w:r>
      <w:r w:rsidR="00DA4C50" w:rsidRPr="00FF6E12">
        <w:t>Ibid</w:t>
      </w:r>
      <w:r w:rsidR="009E7318" w:rsidRPr="00FF6E12">
        <w:t xml:space="preserve"> </w:t>
      </w:r>
      <w:r w:rsidRPr="00FF6E12">
        <w:t>[5.3.4].</w:t>
      </w:r>
    </w:p>
  </w:footnote>
  <w:footnote w:id="135">
    <w:p w14:paraId="2A763E06" w14:textId="1AD9E499" w:rsidR="00695636" w:rsidRPr="00FF6E12" w:rsidRDefault="00695636" w:rsidP="00D817F8">
      <w:pPr>
        <w:pStyle w:val="FootnoteText"/>
      </w:pPr>
      <w:r w:rsidRPr="00FF6E12">
        <w:rPr>
          <w:rStyle w:val="FootnoteReference"/>
        </w:rPr>
        <w:footnoteRef/>
      </w:r>
      <w:r w:rsidRPr="00FF6E12">
        <w:t xml:space="preserve"> </w:t>
      </w:r>
      <w:r w:rsidR="00DA4C50" w:rsidRPr="00FF6E12">
        <w:t xml:space="preserve">Cahill et al (n </w:t>
      </w:r>
      <w:r w:rsidR="00DA4C50" w:rsidRPr="00FF6E12">
        <w:fldChar w:fldCharType="begin"/>
      </w:r>
      <w:r w:rsidR="00DA4C50" w:rsidRPr="00FF6E12">
        <w:instrText xml:space="preserve"> NOTEREF _Ref217917566 \h </w:instrText>
      </w:r>
      <w:r w:rsidR="00DA4C50" w:rsidRPr="00FF6E12">
        <w:fldChar w:fldCharType="separate"/>
      </w:r>
      <w:r w:rsidR="007D7830">
        <w:t>90</w:t>
      </w:r>
      <w:r w:rsidR="00DA4C50" w:rsidRPr="00FF6E12">
        <w:fldChar w:fldCharType="end"/>
      </w:r>
      <w:r w:rsidR="00DA4C50" w:rsidRPr="00FF6E12">
        <w:t xml:space="preserve">) </w:t>
      </w:r>
      <w:r w:rsidRPr="00FF6E12">
        <w:t>13. It is noted that the authors indicate that causes of the increase in recorded non-assaultive sexual offences was beyond the scope of the study and that the factors advanced to explain the trend were speculative, 13.</w:t>
      </w:r>
    </w:p>
  </w:footnote>
  <w:footnote w:id="136">
    <w:p w14:paraId="153633E4" w14:textId="52708E0A" w:rsidR="00695636" w:rsidRPr="00FF6E12" w:rsidRDefault="00695636" w:rsidP="00D817F8">
      <w:pPr>
        <w:pStyle w:val="FootnoteText"/>
      </w:pPr>
      <w:r w:rsidRPr="00FF6E12">
        <w:rPr>
          <w:rStyle w:val="FootnoteReference"/>
        </w:rPr>
        <w:footnoteRef/>
      </w:r>
      <w:r w:rsidRPr="00FF6E12">
        <w:t xml:space="preserve"> Sullivan et al</w:t>
      </w:r>
      <w:r w:rsidR="00052055" w:rsidRPr="00FF6E12">
        <w:t xml:space="preserve"> (n </w:t>
      </w:r>
      <w:r w:rsidR="00052055" w:rsidRPr="00FF6E12">
        <w:fldChar w:fldCharType="begin"/>
      </w:r>
      <w:r w:rsidR="00052055" w:rsidRPr="00FF6E12">
        <w:instrText xml:space="preserve"> NOTEREF _Ref217928675 \h </w:instrText>
      </w:r>
      <w:r w:rsidR="00052055" w:rsidRPr="00FF6E12">
        <w:fldChar w:fldCharType="separate"/>
      </w:r>
      <w:r w:rsidR="007D7830">
        <w:t>114</w:t>
      </w:r>
      <w:r w:rsidR="00052055" w:rsidRPr="00FF6E12">
        <w:fldChar w:fldCharType="end"/>
      </w:r>
      <w:r w:rsidR="00052055" w:rsidRPr="00FF6E12">
        <w:t xml:space="preserve">) </w:t>
      </w:r>
      <w:r w:rsidRPr="00FF6E12">
        <w:t>27.</w:t>
      </w:r>
    </w:p>
  </w:footnote>
  <w:footnote w:id="137">
    <w:p w14:paraId="5B715EC9" w14:textId="517657FC" w:rsidR="00695636" w:rsidRPr="00FF6E12" w:rsidRDefault="00695636" w:rsidP="00D817F8">
      <w:pPr>
        <w:pStyle w:val="FootnoteText"/>
      </w:pPr>
      <w:r w:rsidRPr="00FF6E12">
        <w:rPr>
          <w:rStyle w:val="FootnoteReference"/>
        </w:rPr>
        <w:footnoteRef/>
      </w:r>
      <w:r w:rsidRPr="00FF6E12">
        <w:t xml:space="preserve"> </w:t>
      </w:r>
      <w:r w:rsidR="00052055" w:rsidRPr="00FF6E12">
        <w:t>Ibid</w:t>
      </w:r>
      <w:r w:rsidRPr="00FF6E12">
        <w:t xml:space="preserve"> 22</w:t>
      </w:r>
      <w:r w:rsidR="00052055" w:rsidRPr="00FF6E12">
        <w:t>.</w:t>
      </w:r>
    </w:p>
  </w:footnote>
  <w:footnote w:id="138">
    <w:p w14:paraId="274E1E43" w14:textId="4DC0844A" w:rsidR="00695636" w:rsidRPr="00FF6E12" w:rsidRDefault="00695636" w:rsidP="00D817F8">
      <w:pPr>
        <w:pStyle w:val="FootnoteText"/>
      </w:pPr>
      <w:r w:rsidRPr="00FF6E12">
        <w:rPr>
          <w:rStyle w:val="FootnoteReference"/>
        </w:rPr>
        <w:footnoteRef/>
      </w:r>
      <w:r w:rsidRPr="00FF6E12">
        <w:t xml:space="preserve"> </w:t>
      </w:r>
      <w:r w:rsidR="00052055" w:rsidRPr="00FF6E12">
        <w:t xml:space="preserve">Ibid </w:t>
      </w:r>
      <w:r w:rsidRPr="00FF6E12">
        <w:t>27.</w:t>
      </w:r>
    </w:p>
  </w:footnote>
  <w:footnote w:id="139">
    <w:p w14:paraId="7AEBB0A0" w14:textId="7A5B4795" w:rsidR="00695636" w:rsidRPr="00FF6E12" w:rsidRDefault="00695636" w:rsidP="00D817F8">
      <w:pPr>
        <w:pStyle w:val="FootnoteText"/>
      </w:pPr>
      <w:r w:rsidRPr="00FF6E12">
        <w:rPr>
          <w:rStyle w:val="FootnoteReference"/>
        </w:rPr>
        <w:footnoteRef/>
      </w:r>
      <w:r w:rsidRPr="00FF6E12">
        <w:t xml:space="preserve"> </w:t>
      </w:r>
      <w:r w:rsidR="00052055" w:rsidRPr="00FF6E12">
        <w:t>Ibid</w:t>
      </w:r>
      <w:r w:rsidRPr="00FF6E12">
        <w:t xml:space="preserve"> 22, 27.</w:t>
      </w:r>
    </w:p>
  </w:footnote>
  <w:footnote w:id="140">
    <w:p w14:paraId="5A02293A" w14:textId="3D5B1388" w:rsidR="00695636" w:rsidRPr="00FF6E12" w:rsidRDefault="00695636" w:rsidP="00D817F8">
      <w:pPr>
        <w:pStyle w:val="FootnoteText"/>
      </w:pPr>
      <w:r w:rsidRPr="00FF6E12">
        <w:rPr>
          <w:rStyle w:val="FootnoteReference"/>
        </w:rPr>
        <w:footnoteRef/>
      </w:r>
      <w:r w:rsidRPr="00FF6E12">
        <w:t xml:space="preserve"> Carmel Hobbs, </w:t>
      </w:r>
      <w:r w:rsidRPr="00FF6E12">
        <w:rPr>
          <w:i/>
          <w:iCs/>
        </w:rPr>
        <w:t xml:space="preserve">Young in love and in danger </w:t>
      </w:r>
      <w:r w:rsidRPr="00FF6E12">
        <w:t>(</w:t>
      </w:r>
      <w:r w:rsidR="00052055" w:rsidRPr="00FF6E12">
        <w:t xml:space="preserve">Social Action and Research Centre, Anglicare Tasmania, </w:t>
      </w:r>
      <w:r w:rsidRPr="00FF6E12">
        <w:t>Research Paper, 2022) 29. The interviews were conducted with 17 young Tasmanians aged 18–25 and 20 professionals working with young people aged 12</w:t>
      </w:r>
      <w:r w:rsidR="00052055" w:rsidRPr="00FF6E12">
        <w:t>–</w:t>
      </w:r>
      <w:r w:rsidRPr="00FF6E12">
        <w:t>17.</w:t>
      </w:r>
    </w:p>
  </w:footnote>
  <w:footnote w:id="141">
    <w:p w14:paraId="6D4C531E" w14:textId="7BBDAB2E" w:rsidR="003F511C" w:rsidRPr="00FF6E12" w:rsidRDefault="003F511C" w:rsidP="00D817F8">
      <w:pPr>
        <w:pStyle w:val="FootnoteText"/>
      </w:pPr>
      <w:r w:rsidRPr="00FF6E12">
        <w:rPr>
          <w:rStyle w:val="FootnoteReference"/>
        </w:rPr>
        <w:footnoteRef/>
      </w:r>
      <w:r w:rsidRPr="00FF6E12">
        <w:t xml:space="preserve"> </w:t>
      </w:r>
      <w:r w:rsidR="00052055" w:rsidRPr="00FF6E12">
        <w:t>Ibid</w:t>
      </w:r>
      <w:r w:rsidRPr="00FF6E12">
        <w:t xml:space="preserve"> 49</w:t>
      </w:r>
    </w:p>
  </w:footnote>
  <w:footnote w:id="142">
    <w:p w14:paraId="07020971" w14:textId="30402589" w:rsidR="00695636" w:rsidRPr="00FF6E12" w:rsidRDefault="00695636" w:rsidP="00D817F8">
      <w:pPr>
        <w:pStyle w:val="FootnoteText"/>
      </w:pPr>
      <w:r w:rsidRPr="00FF6E12">
        <w:rPr>
          <w:rStyle w:val="FootnoteReference"/>
        </w:rPr>
        <w:footnoteRef/>
      </w:r>
      <w:r w:rsidRPr="00FF6E12">
        <w:t xml:space="preserve"> </w:t>
      </w:r>
      <w:r w:rsidR="00052055" w:rsidRPr="00FF6E12">
        <w:t>Ibid</w:t>
      </w:r>
      <w:r w:rsidRPr="00FF6E12">
        <w:t xml:space="preserve"> 48.</w:t>
      </w:r>
    </w:p>
  </w:footnote>
  <w:footnote w:id="143">
    <w:p w14:paraId="395415D6" w14:textId="4866ACA3" w:rsidR="00695636" w:rsidRPr="00FF6E12" w:rsidRDefault="00695636" w:rsidP="00D817F8">
      <w:pPr>
        <w:pStyle w:val="FootnoteText"/>
      </w:pPr>
      <w:r w:rsidRPr="00FF6E12">
        <w:rPr>
          <w:rStyle w:val="FootnoteReference"/>
        </w:rPr>
        <w:footnoteRef/>
      </w:r>
      <w:r w:rsidRPr="00FF6E12">
        <w:t xml:space="preserve"> </w:t>
      </w:r>
      <w:r w:rsidR="008E714A" w:rsidRPr="00FF6E12">
        <w:t>Australian Bureau of Statistics</w:t>
      </w:r>
      <w:r w:rsidRPr="00FF6E12">
        <w:t xml:space="preserve">, </w:t>
      </w:r>
      <w:r w:rsidRPr="00FF6E12">
        <w:rPr>
          <w:i/>
          <w:iCs/>
        </w:rPr>
        <w:t>Criminal Courts</w:t>
      </w:r>
      <w:r w:rsidRPr="00FF6E12">
        <w:t xml:space="preserve">, </w:t>
      </w:r>
      <w:r w:rsidRPr="00A920EC">
        <w:rPr>
          <w:i/>
          <w:iCs/>
        </w:rPr>
        <w:t>Youth Defendants</w:t>
      </w:r>
      <w:r w:rsidRPr="00FF6E12">
        <w:t>, Table 82</w:t>
      </w:r>
      <w:r w:rsidR="008E714A" w:rsidRPr="00FF6E12">
        <w:t xml:space="preserve"> (Australian Bureau of Statistics, 2024)</w:t>
      </w:r>
      <w:r w:rsidRPr="00FF6E12">
        <w:t>. Finalised means all charge</w:t>
      </w:r>
      <w:r w:rsidR="008E714A" w:rsidRPr="00FF6E12">
        <w:t>s</w:t>
      </w:r>
      <w:r w:rsidRPr="00FF6E12">
        <w:t xml:space="preserve"> relating to the one case have been formally completed. This includes adjudicated outcomes and non-adjudicated outcomes but does not include matters transferred between courts.</w:t>
      </w:r>
    </w:p>
  </w:footnote>
  <w:footnote w:id="144">
    <w:p w14:paraId="69D6889C" w14:textId="0451A83D" w:rsidR="00695636" w:rsidRPr="00FF6E12" w:rsidRDefault="00695636" w:rsidP="00D817F8">
      <w:pPr>
        <w:pStyle w:val="FootnoteText"/>
      </w:pPr>
      <w:r w:rsidRPr="00FF6E12">
        <w:rPr>
          <w:rStyle w:val="FootnoteReference"/>
        </w:rPr>
        <w:footnoteRef/>
      </w:r>
      <w:r w:rsidRPr="00FF6E12">
        <w:t xml:space="preserve"> Commission for Children (Tasmania), </w:t>
      </w:r>
      <w:r w:rsidRPr="00FF6E12">
        <w:rPr>
          <w:i/>
          <w:iCs/>
        </w:rPr>
        <w:t>Age of Criminal Responsibility Review</w:t>
      </w:r>
      <w:r w:rsidRPr="00FF6E12">
        <w:t xml:space="preserve">: </w:t>
      </w:r>
      <w:r w:rsidRPr="00A920EC">
        <w:rPr>
          <w:i/>
          <w:iCs/>
        </w:rPr>
        <w:t>Submission</w:t>
      </w:r>
      <w:r w:rsidRPr="00FF6E12">
        <w:t xml:space="preserve"> (2020) 3 &lt;</w:t>
      </w:r>
      <w:r w:rsidR="00052055" w:rsidRPr="00A920EC">
        <w:t>https://childcomm.tas.gov.au/wp-content/uploads/2022/07/2020-02-28-CCYP-Comment-Age-of-Criminal-Responsibility-FINAL-1.pdf</w:t>
      </w:r>
      <w:r w:rsidRPr="00FF6E12">
        <w:t xml:space="preserve">&gt;; </w:t>
      </w:r>
      <w:r w:rsidR="00052055" w:rsidRPr="00FF6E12">
        <w:t xml:space="preserve">Commission for Children (Tasmania), </w:t>
      </w:r>
      <w:r w:rsidRPr="00FF6E12">
        <w:rPr>
          <w:i/>
          <w:iCs/>
        </w:rPr>
        <w:t xml:space="preserve">Memorandum of Advice Public Release: 14 July 2023 </w:t>
      </w:r>
      <w:r w:rsidRPr="00FF6E12">
        <w:t>(2023) 27 &lt;https://childcomm.tas.gov.au/resource/memorandum-of-advice-the-age-of-criminal-responsibility-in-tasmania/&gt;.</w:t>
      </w:r>
    </w:p>
  </w:footnote>
  <w:footnote w:id="145">
    <w:p w14:paraId="2B5FBA57" w14:textId="4BAFD4D9" w:rsidR="00D04164" w:rsidRPr="00FF6E12" w:rsidRDefault="00D04164" w:rsidP="00395CD1">
      <w:pPr>
        <w:pStyle w:val="FootnoteTextTLRI"/>
      </w:pPr>
      <w:r w:rsidRPr="00FF6E12">
        <w:rPr>
          <w:rStyle w:val="FootnoteReference"/>
        </w:rPr>
        <w:footnoteRef/>
      </w:r>
      <w:r w:rsidRPr="00FF6E12">
        <w:t xml:space="preserve"> This is not to suggest that the extent of sexual offending by youth offenders is not greater</w:t>
      </w:r>
      <w:r w:rsidR="008E714A" w:rsidRPr="00FF6E12">
        <w:t xml:space="preserve">: </w:t>
      </w:r>
      <w:r w:rsidRPr="00FF6E12">
        <w:t>the absence of information cannot be interpreted as conclusive given the potential false negatives and also the extent of underreporting being unknown.</w:t>
      </w:r>
    </w:p>
  </w:footnote>
  <w:footnote w:id="146">
    <w:p w14:paraId="6643A8A7" w14:textId="1D07EA9A" w:rsidR="00695636" w:rsidRPr="00FF6E12" w:rsidRDefault="00695636" w:rsidP="00A920EC">
      <w:pPr>
        <w:pStyle w:val="FootnoteTextTLRI"/>
      </w:pPr>
      <w:r w:rsidRPr="00FF6E12">
        <w:rPr>
          <w:rStyle w:val="FootnoteReference"/>
        </w:rPr>
        <w:footnoteRef/>
      </w:r>
      <w:r w:rsidRPr="00FF6E12">
        <w:t xml:space="preserve"> </w:t>
      </w:r>
      <w:r w:rsidRPr="00FF6E12">
        <w:rPr>
          <w:rStyle w:val="FootnoteTextTLRIChar"/>
        </w:rPr>
        <w:t xml:space="preserve">The following notes are required for interpretation. Youth Justice tasks include: Community Conference (CC), Community Service Undertaking (CSU), Bail Support Plan (BSP), Supported Bail (SBO), Deferred Sentence (DEF), Pre-Sentence Report (PSR), Release and Adjourn with Conditions (RAC), Probation Order (PRO), Suspended Detention Order (SDO), Community Service Order (CSO), Supervised Release order (SRO), Remand Order (RO), Detention Order (YDO), Prisoner on Remand (POR), </w:t>
      </w:r>
      <w:r w:rsidR="008E714A" w:rsidRPr="00FF6E12">
        <w:rPr>
          <w:rStyle w:val="FootnoteTextTLRIChar"/>
        </w:rPr>
        <w:t xml:space="preserve">and </w:t>
      </w:r>
      <w:r w:rsidRPr="00FF6E12">
        <w:rPr>
          <w:rStyle w:val="FootnoteTextTLRIChar"/>
        </w:rPr>
        <w:t xml:space="preserve">Prisoner on Sentence (POS). Young people with offences recorded in YJIS against an included task type that have been classified into ANZSOC 2023 Division 03 </w:t>
      </w:r>
      <w:r w:rsidR="001326A2" w:rsidRPr="00FF6E12">
        <w:rPr>
          <w:rStyle w:val="FootnoteTextTLRIChar"/>
        </w:rPr>
        <w:t>‘</w:t>
      </w:r>
      <w:r w:rsidRPr="00FF6E12">
        <w:rPr>
          <w:rStyle w:val="FootnoteTextTLRIChar"/>
        </w:rPr>
        <w:t>Sexual offences’ have been included under the category of ‘Young people with sexual offences’. All other young people with an open YJIS task are included under ‘Young people with all other offences’ irrespective of whether an offence was recorded. Offence data is subject to data quality concerns</w:t>
      </w:r>
      <w:r w:rsidR="008E714A" w:rsidRPr="00FF6E12">
        <w:rPr>
          <w:rStyle w:val="FootnoteTextTLRIChar"/>
        </w:rPr>
        <w:t>,</w:t>
      </w:r>
      <w:r w:rsidRPr="00FF6E12">
        <w:rPr>
          <w:rStyle w:val="FootnoteTextTLRIChar"/>
        </w:rPr>
        <w:t xml:space="preserve"> and as such</w:t>
      </w:r>
      <w:r w:rsidR="008E714A" w:rsidRPr="00FF6E12">
        <w:rPr>
          <w:rStyle w:val="FootnoteTextTLRIChar"/>
        </w:rPr>
        <w:t>,</w:t>
      </w:r>
      <w:r w:rsidRPr="00FF6E12">
        <w:rPr>
          <w:rStyle w:val="FootnoteTextTLRIChar"/>
        </w:rPr>
        <w:t xml:space="preserve"> should be interpreted with a high degree of caution. One young person may have more than one type of offence within the reporting period</w:t>
      </w:r>
      <w:r w:rsidR="008E714A" w:rsidRPr="00FF6E12">
        <w:rPr>
          <w:rStyle w:val="FootnoteTextTLRIChar"/>
        </w:rPr>
        <w:t>, and t</w:t>
      </w:r>
      <w:r w:rsidRPr="00FF6E12">
        <w:rPr>
          <w:rStyle w:val="FootnoteTextTLRIChar"/>
        </w:rPr>
        <w:t>hey are counted against each offence category</w:t>
      </w:r>
      <w:r w:rsidR="008E714A" w:rsidRPr="00FF6E12">
        <w:rPr>
          <w:rStyle w:val="FootnoteTextTLRIChar"/>
        </w:rPr>
        <w:t>,</w:t>
      </w:r>
      <w:r w:rsidRPr="00FF6E12">
        <w:rPr>
          <w:rStyle w:val="FootnoteTextTLRIChar"/>
        </w:rPr>
        <w:t xml:space="preserve"> which means the summed values may be greater than the ‘Total’. Each young person is only counted once in the Total.</w:t>
      </w:r>
    </w:p>
  </w:footnote>
  <w:footnote w:id="147">
    <w:p w14:paraId="4CAA02A8" w14:textId="014B52A4" w:rsidR="00695636" w:rsidRPr="00FF6E12" w:rsidRDefault="00695636" w:rsidP="00D817F8">
      <w:pPr>
        <w:pStyle w:val="FootnoteText"/>
      </w:pPr>
      <w:r w:rsidRPr="00FF6E12">
        <w:rPr>
          <w:rStyle w:val="FootnoteReference"/>
        </w:rPr>
        <w:footnoteRef/>
      </w:r>
      <w:r w:rsidRPr="00FF6E12">
        <w:t xml:space="preserve"> Offence descriptions come from the following sources: ‘Rape’ and ‘Indecent Assault’ are defined under the </w:t>
      </w:r>
      <w:r w:rsidRPr="00FF6E12">
        <w:rPr>
          <w:i/>
          <w:iCs/>
        </w:rPr>
        <w:t xml:space="preserve">Criminal Code Act </w:t>
      </w:r>
      <w:r w:rsidR="00A3590E" w:rsidRPr="00A920EC">
        <w:t>(Tas)</w:t>
      </w:r>
      <w:r w:rsidRPr="00FF6E12">
        <w:t xml:space="preserve">; ‘Assault with indecent intent’ is defined under the </w:t>
      </w:r>
      <w:r w:rsidRPr="00FF6E12">
        <w:rPr>
          <w:i/>
          <w:iCs/>
        </w:rPr>
        <w:t>Police Offences Act 1935</w:t>
      </w:r>
      <w:r w:rsidR="00A3590E" w:rsidRPr="00FF6E12">
        <w:t xml:space="preserve"> (Tas)</w:t>
      </w:r>
      <w:r w:rsidRPr="00FF6E12">
        <w:t xml:space="preserve">; ‘Child abuse material offences’ and ‘Sexual assault of a child’ refer to the ANZSOC 2023 Subdivision for the specific offences; and ‘Other sexual offences’ includes all other ANZSOC 2023 Division ‘Sexual offences’ for which numbers were too low to display separately. </w:t>
      </w:r>
      <w:r w:rsidR="00EE7AC2" w:rsidRPr="00FF6E12">
        <w:t>Offence data is subject to data quality concerns and</w:t>
      </w:r>
      <w:r w:rsidR="00A3590E" w:rsidRPr="00FF6E12">
        <w:t>,</w:t>
      </w:r>
      <w:r w:rsidR="00EE7AC2" w:rsidRPr="00FF6E12">
        <w:t xml:space="preserve"> as such</w:t>
      </w:r>
      <w:r w:rsidR="00A3590E" w:rsidRPr="00FF6E12">
        <w:t>,</w:t>
      </w:r>
      <w:r w:rsidR="00EE7AC2" w:rsidRPr="00FF6E12">
        <w:t xml:space="preserve"> should be interpreted with a high degree of caution.</w:t>
      </w:r>
    </w:p>
  </w:footnote>
  <w:footnote w:id="148">
    <w:p w14:paraId="3134C7C4" w14:textId="41AE1061" w:rsidR="00695636" w:rsidRPr="00FF6E12" w:rsidRDefault="00695636" w:rsidP="00D817F8">
      <w:pPr>
        <w:pStyle w:val="FootnoteText"/>
      </w:pPr>
      <w:r w:rsidRPr="00FF6E12">
        <w:rPr>
          <w:rStyle w:val="FootnoteReference"/>
        </w:rPr>
        <w:footnoteRef/>
      </w:r>
      <w:r w:rsidRPr="00FF6E12">
        <w:t xml:space="preserve"> See</w:t>
      </w:r>
      <w:r w:rsidR="006E5993" w:rsidRPr="00FF6E12">
        <w:t xml:space="preserve"> Sexual Assault Support Service, </w:t>
      </w:r>
      <w:r w:rsidR="006E5993" w:rsidRPr="00FF6E12">
        <w:rPr>
          <w:i/>
          <w:iCs/>
        </w:rPr>
        <w:t>PAST Program – Problem Sexualised Behaviour and Sexually Abusive Behaviour</w:t>
      </w:r>
      <w:r w:rsidR="00A3590E" w:rsidRPr="00FF6E12">
        <w:t xml:space="preserve"> (Web page, July 2024)</w:t>
      </w:r>
      <w:r w:rsidRPr="00FF6E12">
        <w:t xml:space="preserve"> </w:t>
      </w:r>
      <w:r w:rsidR="006E5993" w:rsidRPr="00FF6E12">
        <w:t>&lt;</w:t>
      </w:r>
      <w:r w:rsidR="0060474D" w:rsidRPr="00A920EC">
        <w:t>https://www.findhelptas.org.au/program/past-program-problem-sexualised-behaviour-and-sexually-abusive-behaviour/</w:t>
      </w:r>
      <w:r w:rsidR="006E5993" w:rsidRPr="00FF6E12">
        <w:t>&gt;.</w:t>
      </w:r>
    </w:p>
  </w:footnote>
  <w:footnote w:id="149">
    <w:p w14:paraId="50E070C9" w14:textId="55DAA577" w:rsidR="00695636" w:rsidRPr="00FF6E12" w:rsidRDefault="00695636" w:rsidP="00D817F8">
      <w:pPr>
        <w:pStyle w:val="FootnoteText"/>
      </w:pPr>
      <w:r w:rsidRPr="00FF6E12">
        <w:rPr>
          <w:rStyle w:val="FootnoteReference"/>
        </w:rPr>
        <w:footnoteRef/>
      </w:r>
      <w:r w:rsidRPr="00FF6E12">
        <w:t xml:space="preserve"> McInnes et al</w:t>
      </w:r>
      <w:r w:rsidR="00A3590E" w:rsidRPr="00FF6E12">
        <w:t xml:space="preserve"> (n </w:t>
      </w:r>
      <w:r w:rsidR="00A3590E" w:rsidRPr="00FF6E12">
        <w:fldChar w:fldCharType="begin"/>
      </w:r>
      <w:r w:rsidR="00A3590E" w:rsidRPr="00FF6E12">
        <w:instrText xml:space="preserve"> NOTEREF _Ref217929634 \h </w:instrText>
      </w:r>
      <w:r w:rsidR="00A3590E" w:rsidRPr="00FF6E12">
        <w:fldChar w:fldCharType="separate"/>
      </w:r>
      <w:r w:rsidR="007D7830">
        <w:t>55</w:t>
      </w:r>
      <w:r w:rsidR="00A3590E" w:rsidRPr="00FF6E12">
        <w:fldChar w:fldCharType="end"/>
      </w:r>
      <w:r w:rsidR="00A3590E" w:rsidRPr="00FF6E12">
        <w:t xml:space="preserve">) </w:t>
      </w:r>
      <w:r w:rsidRPr="00FF6E12">
        <w:t>62.</w:t>
      </w:r>
    </w:p>
  </w:footnote>
  <w:footnote w:id="150">
    <w:p w14:paraId="4D53ACE7" w14:textId="72CB42C9" w:rsidR="00695636" w:rsidRPr="00FF6E12" w:rsidRDefault="00695636" w:rsidP="00D817F8">
      <w:pPr>
        <w:pStyle w:val="FootnoteText"/>
      </w:pPr>
      <w:r w:rsidRPr="00FF6E12">
        <w:rPr>
          <w:rStyle w:val="FootnoteReference"/>
          <w:rFonts w:cs="Times New Roman"/>
        </w:rPr>
        <w:footnoteRef/>
      </w:r>
      <w:r w:rsidR="003155C7">
        <w:t xml:space="preserve"> </w:t>
      </w:r>
      <w:r w:rsidR="00257E4F" w:rsidRPr="00FF6E12">
        <w:t>Warner and Bartels</w:t>
      </w:r>
      <w:r w:rsidR="00A3590E" w:rsidRPr="00FF6E12">
        <w:t xml:space="preserve"> (n </w:t>
      </w:r>
      <w:r w:rsidR="00A3590E" w:rsidRPr="00FF6E12">
        <w:fldChar w:fldCharType="begin"/>
      </w:r>
      <w:r w:rsidR="00A3590E" w:rsidRPr="00FF6E12">
        <w:instrText xml:space="preserve"> NOTEREF _Ref217901142 \h </w:instrText>
      </w:r>
      <w:r w:rsidR="00A3590E" w:rsidRPr="00FF6E12">
        <w:fldChar w:fldCharType="separate"/>
      </w:r>
      <w:r w:rsidR="007D7830">
        <w:t>2</w:t>
      </w:r>
      <w:r w:rsidR="00A3590E" w:rsidRPr="00FF6E12">
        <w:fldChar w:fldCharType="end"/>
      </w:r>
      <w:r w:rsidR="00A3590E" w:rsidRPr="00FF6E12">
        <w:t>)</w:t>
      </w:r>
      <w:r w:rsidRPr="00FF6E12">
        <w:t>.</w:t>
      </w:r>
    </w:p>
  </w:footnote>
  <w:footnote w:id="151">
    <w:p w14:paraId="1E1D0A9D" w14:textId="77777777" w:rsidR="00695636" w:rsidRPr="00FF6E12" w:rsidRDefault="00695636" w:rsidP="00D817F8">
      <w:pPr>
        <w:pStyle w:val="FootnoteText"/>
      </w:pPr>
      <w:r w:rsidRPr="00FF6E12">
        <w:rPr>
          <w:rStyle w:val="FootnoteReference"/>
        </w:rPr>
        <w:footnoteRef/>
      </w:r>
      <w:r w:rsidRPr="00FF6E12">
        <w:t xml:space="preserve"> This was referred to in 16 interviews.</w:t>
      </w:r>
    </w:p>
  </w:footnote>
  <w:footnote w:id="152">
    <w:p w14:paraId="5B2CE3B4" w14:textId="439F840D"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26.</w:t>
      </w:r>
    </w:p>
  </w:footnote>
  <w:footnote w:id="153">
    <w:p w14:paraId="642852D8" w14:textId="77836841"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31.</w:t>
      </w:r>
    </w:p>
  </w:footnote>
  <w:footnote w:id="154">
    <w:p w14:paraId="79FF1C3B" w14:textId="414F78AE"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12.</w:t>
      </w:r>
    </w:p>
  </w:footnote>
  <w:footnote w:id="155">
    <w:p w14:paraId="4AEAF5A0" w14:textId="3A21B81C"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19.</w:t>
      </w:r>
    </w:p>
  </w:footnote>
  <w:footnote w:id="156">
    <w:p w14:paraId="32DDCE12" w14:textId="77777777" w:rsidR="00695636" w:rsidRPr="00FF6E12" w:rsidRDefault="00695636" w:rsidP="00D817F8">
      <w:pPr>
        <w:pStyle w:val="FootnoteText"/>
      </w:pPr>
      <w:r w:rsidRPr="00FF6E12">
        <w:rPr>
          <w:rStyle w:val="FootnoteReference"/>
        </w:rPr>
        <w:footnoteRef/>
      </w:r>
      <w:r w:rsidRPr="00FF6E12">
        <w:t xml:space="preserve"> This was referred to in 16 interviews.</w:t>
      </w:r>
    </w:p>
  </w:footnote>
  <w:footnote w:id="157">
    <w:p w14:paraId="0237654E" w14:textId="4ABF6898"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32.</w:t>
      </w:r>
    </w:p>
  </w:footnote>
  <w:footnote w:id="158">
    <w:p w14:paraId="22360FDE" w14:textId="5C303101"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8.</w:t>
      </w:r>
    </w:p>
  </w:footnote>
  <w:footnote w:id="159">
    <w:p w14:paraId="0F0B89C7" w14:textId="77777777" w:rsidR="00695636" w:rsidRPr="00FF6E12" w:rsidRDefault="00695636" w:rsidP="00D817F8">
      <w:pPr>
        <w:pStyle w:val="FootnoteText"/>
      </w:pPr>
      <w:r w:rsidRPr="00FF6E12">
        <w:rPr>
          <w:rStyle w:val="FootnoteReference"/>
        </w:rPr>
        <w:footnoteRef/>
      </w:r>
      <w:r w:rsidRPr="00FF6E12">
        <w:t xml:space="preserve"> Participant 1.</w:t>
      </w:r>
    </w:p>
  </w:footnote>
  <w:footnote w:id="160">
    <w:p w14:paraId="48B13E68" w14:textId="77777777" w:rsidR="00695636" w:rsidRPr="00FF6E12" w:rsidRDefault="00695636" w:rsidP="00D817F8">
      <w:pPr>
        <w:pStyle w:val="FootnoteText"/>
      </w:pPr>
      <w:r w:rsidRPr="00FF6E12">
        <w:rPr>
          <w:rStyle w:val="FootnoteReference"/>
        </w:rPr>
        <w:footnoteRef/>
      </w:r>
      <w:r w:rsidRPr="00FF6E12">
        <w:t xml:space="preserve"> This was raised in 10 interviews.</w:t>
      </w:r>
    </w:p>
  </w:footnote>
  <w:footnote w:id="161">
    <w:p w14:paraId="52B3EE94" w14:textId="7A22970C" w:rsidR="00695636" w:rsidRPr="00FF6E12" w:rsidRDefault="00695636" w:rsidP="00D817F8">
      <w:pPr>
        <w:pStyle w:val="FootnoteText"/>
      </w:pPr>
      <w:r w:rsidRPr="00FF6E12">
        <w:rPr>
          <w:rStyle w:val="FootnoteReference"/>
        </w:rPr>
        <w:footnoteRef/>
      </w:r>
      <w:r w:rsidRPr="00FF6E12">
        <w:t xml:space="preserve"> This was discussed in 2</w:t>
      </w:r>
      <w:r w:rsidR="00651CAE" w:rsidRPr="00FF6E12">
        <w:t>9</w:t>
      </w:r>
      <w:r w:rsidRPr="00FF6E12">
        <w:t xml:space="preserve"> interviews.</w:t>
      </w:r>
    </w:p>
  </w:footnote>
  <w:footnote w:id="162">
    <w:p w14:paraId="5BD47297" w14:textId="77777777" w:rsidR="00695636" w:rsidRPr="00FF6E12" w:rsidRDefault="00695636" w:rsidP="00D817F8">
      <w:pPr>
        <w:pStyle w:val="FootnoteText"/>
      </w:pPr>
      <w:r w:rsidRPr="00FF6E12">
        <w:rPr>
          <w:rStyle w:val="FootnoteReference"/>
        </w:rPr>
        <w:footnoteRef/>
      </w:r>
      <w:r w:rsidRPr="00FF6E12">
        <w:t xml:space="preserve"> This was raised in 9 interviews.</w:t>
      </w:r>
    </w:p>
  </w:footnote>
  <w:footnote w:id="163">
    <w:p w14:paraId="003CE7FF" w14:textId="62B9EB16"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13.</w:t>
      </w:r>
    </w:p>
  </w:footnote>
  <w:footnote w:id="164">
    <w:p w14:paraId="3B9CCCA5" w14:textId="77777777" w:rsidR="00695636" w:rsidRPr="00FF6E12" w:rsidRDefault="00695636" w:rsidP="00D817F8">
      <w:pPr>
        <w:pStyle w:val="FootnoteText"/>
      </w:pPr>
      <w:r w:rsidRPr="00FF6E12">
        <w:rPr>
          <w:rStyle w:val="FootnoteReference"/>
        </w:rPr>
        <w:footnoteRef/>
      </w:r>
      <w:r w:rsidRPr="00FF6E12">
        <w:t xml:space="preserve"> Participant 1.</w:t>
      </w:r>
    </w:p>
  </w:footnote>
  <w:footnote w:id="165">
    <w:p w14:paraId="0963B9D3" w14:textId="204C4052" w:rsidR="00695636" w:rsidRPr="00FF6E12" w:rsidRDefault="00695636" w:rsidP="00D817F8">
      <w:pPr>
        <w:pStyle w:val="FootnoteText"/>
      </w:pPr>
      <w:r w:rsidRPr="00FF6E12">
        <w:rPr>
          <w:rStyle w:val="FootnoteReference"/>
        </w:rPr>
        <w:footnoteRef/>
      </w:r>
      <w:r w:rsidRPr="00FF6E12">
        <w:t xml:space="preserve"> For </w:t>
      </w:r>
      <w:r w:rsidR="00D65EAA" w:rsidRPr="00FF6E12">
        <w:t>example,</w:t>
      </w:r>
      <w:r w:rsidRPr="00FF6E12">
        <w:t xml:space="preserve"> </w:t>
      </w:r>
      <w:r w:rsidR="002A786C" w:rsidRPr="00FF6E12">
        <w:t>Participant</w:t>
      </w:r>
      <w:r w:rsidRPr="00FF6E12">
        <w:t xml:space="preserve"> 9, </w:t>
      </w:r>
      <w:r w:rsidR="002A786C" w:rsidRPr="00FF6E12">
        <w:t>Participant</w:t>
      </w:r>
      <w:r w:rsidRPr="00FF6E12">
        <w:t xml:space="preserve"> 15, </w:t>
      </w:r>
      <w:r w:rsidR="002A786C" w:rsidRPr="00FF6E12">
        <w:t>Participant</w:t>
      </w:r>
      <w:r w:rsidRPr="00FF6E12">
        <w:t xml:space="preserve"> 14, </w:t>
      </w:r>
      <w:r w:rsidR="002A786C" w:rsidRPr="00FF6E12">
        <w:t>Participant</w:t>
      </w:r>
      <w:r w:rsidRPr="00FF6E12">
        <w:t xml:space="preserve"> 13.</w:t>
      </w:r>
    </w:p>
  </w:footnote>
  <w:footnote w:id="166">
    <w:p w14:paraId="51DC9A62" w14:textId="7FE9F26F"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14.</w:t>
      </w:r>
    </w:p>
  </w:footnote>
  <w:footnote w:id="167">
    <w:p w14:paraId="171B8D6D" w14:textId="4E8DDE2E" w:rsidR="00695636" w:rsidRPr="00FF6E12" w:rsidRDefault="00695636" w:rsidP="00D817F8">
      <w:pPr>
        <w:pStyle w:val="FootnoteText"/>
      </w:pPr>
      <w:r w:rsidRPr="00FF6E12">
        <w:rPr>
          <w:rStyle w:val="FootnoteReference"/>
        </w:rPr>
        <w:footnoteRef/>
      </w:r>
      <w:r w:rsidRPr="00FF6E12">
        <w:t xml:space="preserve"> This is discussed further at </w:t>
      </w:r>
      <w:r w:rsidR="00354523" w:rsidRPr="00FF6E12">
        <w:t>[</w:t>
      </w:r>
      <w:r w:rsidR="00573142">
        <w:fldChar w:fldCharType="begin"/>
      </w:r>
      <w:r w:rsidR="00573142">
        <w:instrText xml:space="preserve"> REF _Ref218240091 \r \h </w:instrText>
      </w:r>
      <w:r w:rsidR="00573142">
        <w:fldChar w:fldCharType="separate"/>
      </w:r>
      <w:r w:rsidR="007D7830">
        <w:t>6.3</w:t>
      </w:r>
      <w:r w:rsidR="00573142">
        <w:fldChar w:fldCharType="end"/>
      </w:r>
      <w:r w:rsidR="00354523" w:rsidRPr="00FF6E12">
        <w:t>]</w:t>
      </w:r>
      <w:r w:rsidRPr="00FF6E12">
        <w:t>.</w:t>
      </w:r>
    </w:p>
  </w:footnote>
  <w:footnote w:id="168">
    <w:p w14:paraId="170D50B0" w14:textId="0BD26A3E" w:rsidR="00695636" w:rsidRPr="00FF6E12" w:rsidRDefault="00695636" w:rsidP="00D817F8">
      <w:pPr>
        <w:pStyle w:val="FootnoteText"/>
      </w:pPr>
      <w:r w:rsidRPr="00FF6E12">
        <w:rPr>
          <w:rStyle w:val="FootnoteReference"/>
        </w:rPr>
        <w:footnoteRef/>
      </w:r>
      <w:r w:rsidRPr="00FF6E12">
        <w:t xml:space="preserve"> See</w:t>
      </w:r>
      <w:r w:rsidR="001D22BC" w:rsidRPr="00FF6E12">
        <w:t xml:space="preserve"> Tasmanian Sentencing Advisory Council (</w:t>
      </w:r>
      <w:r w:rsidRPr="00FF6E12">
        <w:t>TSAC</w:t>
      </w:r>
      <w:r w:rsidR="001D22BC" w:rsidRPr="00FF6E12">
        <w:t xml:space="preserve">), </w:t>
      </w:r>
      <w:r w:rsidR="00EE4342" w:rsidRPr="00FF6E12">
        <w:rPr>
          <w:i/>
          <w:iCs/>
        </w:rPr>
        <w:t>Sentencing Young Offenders</w:t>
      </w:r>
      <w:r w:rsidR="00D31408" w:rsidRPr="00FF6E12">
        <w:rPr>
          <w:i/>
          <w:iCs/>
        </w:rPr>
        <w:t xml:space="preserve"> </w:t>
      </w:r>
      <w:r w:rsidR="00D31408" w:rsidRPr="00A920EC">
        <w:t>(</w:t>
      </w:r>
      <w:r w:rsidR="00EE4342" w:rsidRPr="00A920EC">
        <w:t>Research Paper No 6</w:t>
      </w:r>
      <w:r w:rsidR="00D31408" w:rsidRPr="00FF6E12">
        <w:t xml:space="preserve">, </w:t>
      </w:r>
      <w:r w:rsidR="00EE4342" w:rsidRPr="00FF6E12">
        <w:t>2021)</w:t>
      </w:r>
      <w:r w:rsidRPr="00FF6E12">
        <w:t xml:space="preserve"> </w:t>
      </w:r>
      <w:r w:rsidR="00A3590E" w:rsidRPr="00FF6E12">
        <w:t xml:space="preserve">ch </w:t>
      </w:r>
      <w:r w:rsidRPr="00FF6E12">
        <w:t>2.</w:t>
      </w:r>
    </w:p>
  </w:footnote>
  <w:footnote w:id="169">
    <w:p w14:paraId="74DD2B5A" w14:textId="6A104A5F" w:rsidR="00695636" w:rsidRPr="00FF6E12" w:rsidRDefault="00695636" w:rsidP="00D817F8">
      <w:pPr>
        <w:pStyle w:val="FootnoteText"/>
      </w:pPr>
      <w:r w:rsidRPr="00FF6E12">
        <w:rPr>
          <w:rStyle w:val="FootnoteReference"/>
        </w:rPr>
        <w:footnoteRef/>
      </w:r>
      <w:r w:rsidRPr="00FF6E12">
        <w:t xml:space="preserve"> Amy Pammenter, Eleanor Lin-Er Woodford </w:t>
      </w:r>
      <w:r w:rsidR="00ED4AA7" w:rsidRPr="00FF6E12">
        <w:t>and</w:t>
      </w:r>
      <w:r w:rsidR="00A3590E" w:rsidRPr="00FF6E12">
        <w:t xml:space="preserve"> </w:t>
      </w:r>
      <w:r w:rsidRPr="00FF6E12">
        <w:t xml:space="preserve">Danielle Arlanda Harris, ‘Adverse Childhood Experiences in Australian Youth Adjudicated for Sexual Offences and Non-sexual violent offences’ (2022) 129 </w:t>
      </w:r>
      <w:r w:rsidRPr="00FF6E12">
        <w:rPr>
          <w:i/>
          <w:iCs/>
        </w:rPr>
        <w:t>Child Abuse and Neglect</w:t>
      </w:r>
      <w:r w:rsidRPr="00FF6E12">
        <w:t xml:space="preserve"> </w:t>
      </w:r>
      <w:r w:rsidR="00A74CB3" w:rsidRPr="00FF6E12">
        <w:t>105678 &lt;https://doi.org/10.1016/j.chiabu.2022.105678&gt;</w:t>
      </w:r>
      <w:r w:rsidRPr="00FF6E12">
        <w:t>.</w:t>
      </w:r>
    </w:p>
  </w:footnote>
  <w:footnote w:id="170">
    <w:p w14:paraId="01D87584" w14:textId="6F631D82" w:rsidR="00695636" w:rsidRPr="00FF6E12" w:rsidRDefault="00695636" w:rsidP="00D817F8">
      <w:pPr>
        <w:pStyle w:val="FootnoteText"/>
      </w:pPr>
      <w:r w:rsidRPr="00FF6E12">
        <w:rPr>
          <w:rStyle w:val="FootnoteReference"/>
        </w:rPr>
        <w:footnoteRef/>
      </w:r>
      <w:r w:rsidRPr="00FF6E12">
        <w:t xml:space="preserve"> </w:t>
      </w:r>
      <w:r w:rsidR="009C3DB2" w:rsidRPr="00FF6E12">
        <w:t xml:space="preserve">TSAC (n </w:t>
      </w:r>
      <w:r w:rsidR="00A74CB3" w:rsidRPr="00FF6E12">
        <w:fldChar w:fldCharType="begin"/>
      </w:r>
      <w:r w:rsidR="00A74CB3" w:rsidRPr="00FF6E12">
        <w:instrText xml:space="preserve"> NOTEREF _Ref217929806 \h </w:instrText>
      </w:r>
      <w:r w:rsidR="00A74CB3" w:rsidRPr="00FF6E12">
        <w:fldChar w:fldCharType="separate"/>
      </w:r>
      <w:r w:rsidR="007D7830">
        <w:t>167</w:t>
      </w:r>
      <w:r w:rsidR="00A74CB3" w:rsidRPr="00FF6E12">
        <w:fldChar w:fldCharType="end"/>
      </w:r>
      <w:r w:rsidR="009C3DB2" w:rsidRPr="00FF6E12">
        <w:t>).</w:t>
      </w:r>
    </w:p>
  </w:footnote>
  <w:footnote w:id="171">
    <w:p w14:paraId="6820F229" w14:textId="0A2D9B51" w:rsidR="00695636" w:rsidRPr="00FF6E12" w:rsidRDefault="00695636" w:rsidP="00A920EC">
      <w:pPr>
        <w:pStyle w:val="FootnoteTextTLRI"/>
      </w:pPr>
      <w:r w:rsidRPr="00FF6E12">
        <w:rPr>
          <w:rStyle w:val="FootnoteReference"/>
        </w:rPr>
        <w:footnoteRef/>
      </w:r>
      <w:r w:rsidRPr="00FF6E12">
        <w:t xml:space="preserve"> </w:t>
      </w:r>
      <w:r w:rsidR="00A74CB3" w:rsidRPr="00FF6E12">
        <w:t xml:space="preserve">Royal Commission into Institutional Responses to Child Sexual Abuse (n </w:t>
      </w:r>
      <w:r w:rsidR="00A74CB3" w:rsidRPr="00FF6E12">
        <w:fldChar w:fldCharType="begin"/>
      </w:r>
      <w:r w:rsidR="00A74CB3" w:rsidRPr="00FF6E12">
        <w:instrText xml:space="preserve"> NOTEREF _Ref217902398 \h </w:instrText>
      </w:r>
      <w:r w:rsidR="00A74CB3" w:rsidRPr="00FF6E12">
        <w:fldChar w:fldCharType="separate"/>
      </w:r>
      <w:r w:rsidR="007D7830">
        <w:t>13</w:t>
      </w:r>
      <w:r w:rsidR="00A74CB3" w:rsidRPr="00FF6E12">
        <w:fldChar w:fldCharType="end"/>
      </w:r>
      <w:r w:rsidR="00A74CB3" w:rsidRPr="00FF6E12">
        <w:t>) v</w:t>
      </w:r>
      <w:r w:rsidRPr="00FF6E12">
        <w:t>ol 10 [2.9]</w:t>
      </w:r>
      <w:r w:rsidR="00A74CB3" w:rsidRPr="00FF6E12">
        <w:t xml:space="preserve"> fn</w:t>
      </w:r>
      <w:r w:rsidRPr="00FF6E12">
        <w:t xml:space="preserve"> 157</w:t>
      </w:r>
      <w:r w:rsidR="00A74CB3" w:rsidRPr="00FF6E12">
        <w:t>.</w:t>
      </w:r>
    </w:p>
  </w:footnote>
  <w:footnote w:id="172">
    <w:p w14:paraId="52F70B5A" w14:textId="4A1A62AA" w:rsidR="00695636" w:rsidRPr="00FF6E12" w:rsidRDefault="00695636" w:rsidP="00D817F8">
      <w:pPr>
        <w:pStyle w:val="FootnoteText"/>
      </w:pPr>
      <w:r w:rsidRPr="00FF6E12">
        <w:rPr>
          <w:rStyle w:val="FootnoteReference"/>
        </w:rPr>
        <w:footnoteRef/>
      </w:r>
      <w:r w:rsidR="00A74CB3" w:rsidRPr="00FF6E12">
        <w:t xml:space="preserve"> Ibid</w:t>
      </w:r>
      <w:r w:rsidRPr="00FF6E12">
        <w:t xml:space="preserve"> </w:t>
      </w:r>
      <w:r w:rsidR="00A74CB3" w:rsidRPr="00FF6E12">
        <w:t>v</w:t>
      </w:r>
      <w:r w:rsidRPr="00FF6E12">
        <w:t xml:space="preserve">ol 10 [2.9] </w:t>
      </w:r>
      <w:r w:rsidR="00A74CB3" w:rsidRPr="00FF6E12">
        <w:t xml:space="preserve">fn </w:t>
      </w:r>
      <w:r w:rsidRPr="00FF6E12">
        <w:t>160</w:t>
      </w:r>
      <w:r w:rsidR="00A74CB3" w:rsidRPr="00FF6E12">
        <w:t>.</w:t>
      </w:r>
    </w:p>
  </w:footnote>
  <w:footnote w:id="173">
    <w:p w14:paraId="0AE5001B" w14:textId="6D06B67A" w:rsidR="0075791C" w:rsidRPr="00FF6E12" w:rsidRDefault="0075791C" w:rsidP="00D817F8">
      <w:pPr>
        <w:pStyle w:val="FootnoteText"/>
      </w:pPr>
      <w:r w:rsidRPr="00FF6E12">
        <w:rPr>
          <w:rStyle w:val="FootnoteReference"/>
          <w:rFonts w:cs="Times New Roman"/>
        </w:rPr>
        <w:footnoteRef/>
      </w:r>
      <w:r w:rsidRPr="00FF6E12">
        <w:t xml:space="preserve"> Steffen Barra et al, </w:t>
      </w:r>
      <w:r w:rsidR="00A74CB3" w:rsidRPr="00FF6E12">
        <w:t>‘</w:t>
      </w:r>
      <w:r w:rsidRPr="00FF6E12">
        <w:t>Patterns of adverse childhood experiences in juveniles who sexually offend</w:t>
      </w:r>
      <w:r w:rsidR="00A74CB3" w:rsidRPr="00FF6E12">
        <w:t>’</w:t>
      </w:r>
      <w:r w:rsidRPr="00FF6E12">
        <w:t xml:space="preserve"> (2018) 30(7) </w:t>
      </w:r>
      <w:r w:rsidRPr="00FF6E12">
        <w:rPr>
          <w:i/>
        </w:rPr>
        <w:t>Sexual Abuse: A Journal of Research and Treatment</w:t>
      </w:r>
      <w:r w:rsidRPr="00FF6E12">
        <w:t xml:space="preserve"> 803</w:t>
      </w:r>
      <w:r w:rsidR="00A74CB3" w:rsidRPr="00FF6E12">
        <w:t>–</w:t>
      </w:r>
      <w:r w:rsidRPr="00FF6E12">
        <w:t xml:space="preserve">827; Kathryn A Davis and Raymond A Knight, </w:t>
      </w:r>
      <w:r w:rsidR="00A74CB3" w:rsidRPr="00FF6E12">
        <w:t>‘</w:t>
      </w:r>
      <w:r w:rsidRPr="00FF6E12">
        <w:t>The relation of childhood abuse experiences to problematic sexual behaviors in male youths who have sexually offended</w:t>
      </w:r>
      <w:r w:rsidR="00A74CB3" w:rsidRPr="00FF6E12">
        <w:t>’</w:t>
      </w:r>
      <w:r w:rsidRPr="00FF6E12">
        <w:t xml:space="preserve"> (2019) 48 </w:t>
      </w:r>
      <w:r w:rsidRPr="00FF6E12">
        <w:rPr>
          <w:i/>
        </w:rPr>
        <w:t>Archives of Sexual Behavior</w:t>
      </w:r>
      <w:r w:rsidRPr="00FF6E12">
        <w:t xml:space="preserve"> 2149</w:t>
      </w:r>
      <w:r w:rsidR="00A74CB3" w:rsidRPr="00FF6E12">
        <w:t>–</w:t>
      </w:r>
      <w:r w:rsidRPr="00FF6E12">
        <w:t xml:space="preserve">2169; </w:t>
      </w:r>
      <w:r w:rsidR="00E002E0" w:rsidRPr="000F6736">
        <w:rPr>
          <w:rFonts w:cs="Times New Roman"/>
          <w:noProof/>
        </w:rPr>
        <w:t xml:space="preserve">Katherine Rose, Michael Woodworth and Jennifer Minton, 'An exploration of individual differences in a sample of youth charged with violent sexual and non-sexual crimes' (2020) 27(1) </w:t>
      </w:r>
      <w:r w:rsidR="00E002E0" w:rsidRPr="000F6736">
        <w:rPr>
          <w:rFonts w:cs="Times New Roman"/>
          <w:i/>
          <w:noProof/>
        </w:rPr>
        <w:t>Psychiatry, Psychology and Law</w:t>
      </w:r>
      <w:r w:rsidR="00E002E0" w:rsidRPr="000F6736">
        <w:rPr>
          <w:rFonts w:cs="Times New Roman"/>
          <w:noProof/>
        </w:rPr>
        <w:t xml:space="preserve"> </w:t>
      </w:r>
      <w:r w:rsidR="00E002E0" w:rsidRPr="00E002E0">
        <w:rPr>
          <w:rFonts w:cs="Times New Roman"/>
          <w:noProof/>
        </w:rPr>
        <w:t>44</w:t>
      </w:r>
      <w:r w:rsidRPr="00E002E0">
        <w:t>; Daniel</w:t>
      </w:r>
      <w:r w:rsidRPr="00FF6E12">
        <w:t xml:space="preserve"> Salter et al, </w:t>
      </w:r>
      <w:r w:rsidR="00A74CB3" w:rsidRPr="00FF6E12">
        <w:t>‘</w:t>
      </w:r>
      <w:r w:rsidRPr="00FF6E12">
        <w:t>Development of sexually abusive behaviour in sexually victimised males: A longitudinal study</w:t>
      </w:r>
      <w:r w:rsidR="00A74CB3" w:rsidRPr="00FF6E12">
        <w:t>’</w:t>
      </w:r>
      <w:r w:rsidRPr="00FF6E12">
        <w:t xml:space="preserve"> (2003) 361 </w:t>
      </w:r>
      <w:r w:rsidRPr="00FF6E12">
        <w:rPr>
          <w:i/>
        </w:rPr>
        <w:t xml:space="preserve">Lancet </w:t>
      </w:r>
      <w:r w:rsidRPr="00FF6E12">
        <w:t>471</w:t>
      </w:r>
      <w:r w:rsidR="0060474D" w:rsidRPr="00FF6E12">
        <w:t>–</w:t>
      </w:r>
      <w:r w:rsidRPr="00FF6E12">
        <w:t>476.</w:t>
      </w:r>
    </w:p>
  </w:footnote>
  <w:footnote w:id="174">
    <w:p w14:paraId="0E41B3C0" w14:textId="289DEEE3" w:rsidR="0075791C" w:rsidRPr="00FF6E12" w:rsidRDefault="0075791C" w:rsidP="00D817F8">
      <w:pPr>
        <w:pStyle w:val="FootnoteText"/>
      </w:pPr>
      <w:r w:rsidRPr="00FF6E12">
        <w:rPr>
          <w:rStyle w:val="FootnoteReference"/>
          <w:rFonts w:cs="Times New Roman"/>
        </w:rPr>
        <w:footnoteRef/>
      </w:r>
      <w:r w:rsidRPr="00FF6E12">
        <w:t xml:space="preserve"> Marcel Aebi et al, </w:t>
      </w:r>
      <w:r w:rsidR="00A74CB3" w:rsidRPr="00FF6E12">
        <w:t xml:space="preserve">(n </w:t>
      </w:r>
      <w:r w:rsidR="00A74CB3" w:rsidRPr="00FF6E12">
        <w:fldChar w:fldCharType="begin"/>
      </w:r>
      <w:r w:rsidR="00A74CB3" w:rsidRPr="00FF6E12">
        <w:instrText xml:space="preserve"> NOTEREF _Ref217915594 \h </w:instrText>
      </w:r>
      <w:r w:rsidR="00A74CB3" w:rsidRPr="00FF6E12">
        <w:fldChar w:fldCharType="separate"/>
      </w:r>
      <w:r w:rsidR="007D7830">
        <w:t>84</w:t>
      </w:r>
      <w:r w:rsidR="00A74CB3" w:rsidRPr="00FF6E12">
        <w:fldChar w:fldCharType="end"/>
      </w:r>
      <w:r w:rsidR="00A74CB3" w:rsidRPr="00FF6E12">
        <w:t>)</w:t>
      </w:r>
      <w:r w:rsidRPr="00FF6E12">
        <w:t xml:space="preserve"> 2189</w:t>
      </w:r>
      <w:r w:rsidR="00A74CB3" w:rsidRPr="00FF6E12">
        <w:t>–</w:t>
      </w:r>
      <w:r w:rsidRPr="00FF6E12">
        <w:t xml:space="preserve">2199; Nadine McKillop et al, </w:t>
      </w:r>
      <w:r w:rsidR="00A74CB3" w:rsidRPr="00FF6E12">
        <w:t>‘</w:t>
      </w:r>
      <w:r w:rsidRPr="00FF6E12">
        <w:t>Understanding and preventing the onset of child sexual abuse in adolescence and adulthood</w:t>
      </w:r>
      <w:r w:rsidR="00A74CB3" w:rsidRPr="00FF6E12">
        <w:t>’</w:t>
      </w:r>
      <w:r w:rsidRPr="00FF6E12">
        <w:t xml:space="preserve"> (2018) 554</w:t>
      </w:r>
      <w:r w:rsidR="00A74CB3" w:rsidRPr="00FF6E12">
        <w:t xml:space="preserve"> </w:t>
      </w:r>
      <w:r w:rsidRPr="00FF6E12">
        <w:rPr>
          <w:i/>
        </w:rPr>
        <w:t>Trends and Issues in Crime and Criminal Justice</w:t>
      </w:r>
      <w:r w:rsidRPr="00FF6E12">
        <w:t xml:space="preserve"> 1</w:t>
      </w:r>
      <w:r w:rsidR="00A74CB3" w:rsidRPr="00FF6E12">
        <w:t>–</w:t>
      </w:r>
      <w:r w:rsidRPr="00FF6E12">
        <w:t xml:space="preserve">13; Siria, Echeburúa and Amor (n </w:t>
      </w:r>
      <w:r w:rsidR="00A74CB3" w:rsidRPr="00FF6E12">
        <w:fldChar w:fldCharType="begin"/>
      </w:r>
      <w:r w:rsidR="00A74CB3" w:rsidRPr="00FF6E12">
        <w:instrText xml:space="preserve"> NOTEREF _Ref217930211 \h </w:instrText>
      </w:r>
      <w:r w:rsidR="00A74CB3" w:rsidRPr="00FF6E12">
        <w:fldChar w:fldCharType="separate"/>
      </w:r>
      <w:r w:rsidR="007D7830">
        <w:t>98</w:t>
      </w:r>
      <w:r w:rsidR="00A74CB3" w:rsidRPr="00FF6E12">
        <w:fldChar w:fldCharType="end"/>
      </w:r>
      <w:r w:rsidRPr="00FF6E12">
        <w:t>).</w:t>
      </w:r>
    </w:p>
  </w:footnote>
  <w:footnote w:id="175">
    <w:p w14:paraId="1A4DA645" w14:textId="7B005196" w:rsidR="00695636" w:rsidRPr="00FF6E12" w:rsidRDefault="00695636" w:rsidP="00D817F8">
      <w:pPr>
        <w:pStyle w:val="FootnoteText"/>
      </w:pPr>
      <w:r w:rsidRPr="00FF6E12">
        <w:rPr>
          <w:rStyle w:val="FootnoteReference"/>
          <w:rFonts w:cs="Times New Roman"/>
        </w:rPr>
        <w:footnoteRef/>
      </w:r>
      <w:r w:rsidRPr="00FF6E12">
        <w:t xml:space="preserve"> Tess Patterson et al, </w:t>
      </w:r>
      <w:r w:rsidR="00A74CB3" w:rsidRPr="00FF6E12">
        <w:t>‘</w:t>
      </w:r>
      <w:r w:rsidRPr="00FF6E12">
        <w:t>Sexual development histories of adolescents who engaged in harmful sexual behaviour</w:t>
      </w:r>
      <w:r w:rsidR="00A74CB3" w:rsidRPr="00FF6E12">
        <w:t>’</w:t>
      </w:r>
      <w:r w:rsidRPr="00FF6E12">
        <w:t xml:space="preserve"> (2022) 33(6) </w:t>
      </w:r>
      <w:r w:rsidRPr="00FF6E12">
        <w:rPr>
          <w:i/>
        </w:rPr>
        <w:t>The Journal of Forensic Psychiatry &amp; Psychology</w:t>
      </w:r>
      <w:r w:rsidRPr="00FF6E12">
        <w:t xml:space="preserve"> 810</w:t>
      </w:r>
      <w:r w:rsidR="00A74CB3" w:rsidRPr="00FF6E12">
        <w:t>–</w:t>
      </w:r>
      <w:r w:rsidRPr="00FF6E12">
        <w:t xml:space="preserve">827; </w:t>
      </w:r>
      <w:r w:rsidR="00A74CB3" w:rsidRPr="00FF6E12">
        <w:t xml:space="preserve">Siria, Echeburúa and Amor (n </w:t>
      </w:r>
      <w:r w:rsidR="00A74CB3" w:rsidRPr="00FF6E12">
        <w:fldChar w:fldCharType="begin"/>
      </w:r>
      <w:r w:rsidR="00A74CB3" w:rsidRPr="00FF6E12">
        <w:instrText xml:space="preserve"> NOTEREF _Ref217930211 \h </w:instrText>
      </w:r>
      <w:r w:rsidR="00A74CB3" w:rsidRPr="00FF6E12">
        <w:fldChar w:fldCharType="separate"/>
      </w:r>
      <w:r w:rsidR="007D7830">
        <w:t>98</w:t>
      </w:r>
      <w:r w:rsidR="00A74CB3" w:rsidRPr="00FF6E12">
        <w:fldChar w:fldCharType="end"/>
      </w:r>
      <w:r w:rsidR="00A74CB3" w:rsidRPr="00FF6E12">
        <w:t>)</w:t>
      </w:r>
      <w:r w:rsidRPr="00FF6E12">
        <w:t xml:space="preserve"> 981</w:t>
      </w:r>
      <w:r w:rsidR="00A74CB3" w:rsidRPr="00FF6E12">
        <w:t>–</w:t>
      </w:r>
      <w:r w:rsidRPr="00FF6E12">
        <w:t>991.</w:t>
      </w:r>
    </w:p>
  </w:footnote>
  <w:footnote w:id="176">
    <w:p w14:paraId="2FF06163" w14:textId="2CF178E3" w:rsidR="00695636" w:rsidRPr="00FF6E12" w:rsidRDefault="00695636" w:rsidP="00D817F8">
      <w:pPr>
        <w:pStyle w:val="FootnoteText"/>
      </w:pPr>
      <w:r w:rsidRPr="00FF6E12">
        <w:rPr>
          <w:rStyle w:val="FootnoteReference"/>
          <w:rFonts w:cs="Times New Roman"/>
        </w:rPr>
        <w:footnoteRef/>
      </w:r>
      <w:r w:rsidRPr="00FF6E12">
        <w:t xml:space="preserve"> </w:t>
      </w:r>
      <w:r w:rsidR="00A74CB3" w:rsidRPr="00FF6E12">
        <w:t>Ibid.</w:t>
      </w:r>
      <w:r w:rsidRPr="00FF6E12">
        <w:t xml:space="preserve"> It is important to note in the modern context that, beyond ‘hard’ content, </w:t>
      </w:r>
      <w:r w:rsidRPr="00FF6E12">
        <w:rPr>
          <w:i/>
          <w:iCs/>
        </w:rPr>
        <w:t>illegal</w:t>
      </w:r>
      <w:r w:rsidRPr="00FF6E12">
        <w:t xml:space="preserve"> sexual material – namely CSEM and depictions of the rape of adults – are not difficult to encounter on ostensibly legal internet pornography websites. See </w:t>
      </w:r>
      <w:r w:rsidR="006D3C7C" w:rsidRPr="00FF6E12">
        <w:t>Joel</w:t>
      </w:r>
      <w:r w:rsidR="00A74CB3" w:rsidRPr="00FF6E12">
        <w:t xml:space="preserve"> Scanlan et al,</w:t>
      </w:r>
      <w:r w:rsidR="006D3C7C" w:rsidRPr="00FF6E12">
        <w:t xml:space="preserve"> </w:t>
      </w:r>
      <w:r w:rsidR="006D3C7C" w:rsidRPr="00A920EC">
        <w:rPr>
          <w:i/>
          <w:iCs/>
        </w:rPr>
        <w:t>reThink Chatbot evaluation</w:t>
      </w:r>
      <w:r w:rsidR="006D3C7C" w:rsidRPr="00FF6E12">
        <w:t xml:space="preserve"> (</w:t>
      </w:r>
      <w:r w:rsidR="00AA492B" w:rsidRPr="00FF6E12">
        <w:t xml:space="preserve">University of Tasmania, Report, </w:t>
      </w:r>
      <w:r w:rsidR="006D3C7C" w:rsidRPr="00FF6E12">
        <w:t>2024)</w:t>
      </w:r>
      <w:r w:rsidRPr="00FF6E12">
        <w:t xml:space="preserve">; </w:t>
      </w:r>
      <w:r w:rsidR="00AA492B" w:rsidRPr="00FF6E12">
        <w:t xml:space="preserve">Gabrielle </w:t>
      </w:r>
      <w:r w:rsidR="004808D5" w:rsidRPr="00FF6E12">
        <w:t>Gane</w:t>
      </w:r>
      <w:r w:rsidR="00AA492B" w:rsidRPr="00FF6E12">
        <w:t xml:space="preserve"> et al,</w:t>
      </w:r>
      <w:r w:rsidR="004808D5" w:rsidRPr="00FF6E12">
        <w:t xml:space="preserve"> </w:t>
      </w:r>
      <w:r w:rsidR="00AA492B" w:rsidRPr="00FF6E12">
        <w:t>‘</w:t>
      </w:r>
      <w:r w:rsidR="004808D5" w:rsidRPr="00FF6E12">
        <w:t>Blurring the lines: the vague boundary between mainstream and deviant internet pornography tags for at-risk viewers</w:t>
      </w:r>
      <w:r w:rsidR="00AA492B" w:rsidRPr="00FF6E12">
        <w:t xml:space="preserve">’ (2025) 31(3) </w:t>
      </w:r>
      <w:r w:rsidR="004808D5" w:rsidRPr="00FF6E12">
        <w:rPr>
          <w:i/>
          <w:iCs/>
        </w:rPr>
        <w:t>Journal of Sexual Aggression</w:t>
      </w:r>
      <w:r w:rsidR="00AA492B" w:rsidRPr="00FF6E12">
        <w:t xml:space="preserve"> </w:t>
      </w:r>
      <w:r w:rsidR="004808D5" w:rsidRPr="00FF6E12">
        <w:t>36</w:t>
      </w:r>
      <w:r w:rsidR="00AD1DA0" w:rsidRPr="00FF6E12">
        <w:t>8</w:t>
      </w:r>
      <w:r w:rsidRPr="00FF6E12">
        <w:t>.</w:t>
      </w:r>
    </w:p>
  </w:footnote>
  <w:footnote w:id="177">
    <w:p w14:paraId="33D4CEE9" w14:textId="7A4A3CCA" w:rsidR="00695636" w:rsidRPr="00FF6E12" w:rsidRDefault="00695636" w:rsidP="00D817F8">
      <w:pPr>
        <w:pStyle w:val="FootnoteText"/>
      </w:pPr>
      <w:r w:rsidRPr="00FF6E12">
        <w:rPr>
          <w:rStyle w:val="FootnoteReference"/>
        </w:rPr>
        <w:footnoteRef/>
      </w:r>
      <w:r w:rsidR="003155C7" w:rsidRPr="00FF6E12">
        <w:t xml:space="preserve"> </w:t>
      </w:r>
      <w:r w:rsidR="00AA492B" w:rsidRPr="00FF6E12">
        <w:t xml:space="preserve">Royal Commission into Institutional Responses to Child Sexual Abuse (n </w:t>
      </w:r>
      <w:r w:rsidR="00AA492B" w:rsidRPr="00FF6E12">
        <w:fldChar w:fldCharType="begin"/>
      </w:r>
      <w:r w:rsidR="00AA492B" w:rsidRPr="00FF6E12">
        <w:instrText xml:space="preserve"> NOTEREF _Ref217902398 \h </w:instrText>
      </w:r>
      <w:r w:rsidR="00AA492B" w:rsidRPr="00FF6E12">
        <w:fldChar w:fldCharType="separate"/>
      </w:r>
      <w:r w:rsidR="007D7830">
        <w:t>13</w:t>
      </w:r>
      <w:r w:rsidR="00AA492B" w:rsidRPr="00FF6E12">
        <w:fldChar w:fldCharType="end"/>
      </w:r>
      <w:r w:rsidR="00AA492B" w:rsidRPr="00FF6E12">
        <w:t xml:space="preserve">) </w:t>
      </w:r>
      <w:r w:rsidR="00AA492B" w:rsidRPr="00D0786A">
        <w:t xml:space="preserve">vol </w:t>
      </w:r>
      <w:r w:rsidR="00D0786A">
        <w:t>10</w:t>
      </w:r>
      <w:r w:rsidR="00AA492B" w:rsidRPr="00FF6E12">
        <w:t xml:space="preserve"> </w:t>
      </w:r>
      <w:r w:rsidRPr="00FF6E12">
        <w:t xml:space="preserve">[2.9.1]. </w:t>
      </w:r>
    </w:p>
  </w:footnote>
  <w:footnote w:id="178">
    <w:p w14:paraId="0612801D" w14:textId="00E847E4" w:rsidR="00695636" w:rsidRPr="00FF6E12" w:rsidRDefault="00695636" w:rsidP="00D817F8">
      <w:pPr>
        <w:pStyle w:val="FootnoteText"/>
      </w:pPr>
      <w:r w:rsidRPr="00FF6E12">
        <w:rPr>
          <w:rStyle w:val="FootnoteReference"/>
        </w:rPr>
        <w:footnoteRef/>
      </w:r>
      <w:r w:rsidRPr="00FF6E12">
        <w:t xml:space="preserve"> </w:t>
      </w:r>
      <w:r w:rsidR="00094CF8" w:rsidRPr="00FF6E12">
        <w:t>eSafety Commission</w:t>
      </w:r>
      <w:r w:rsidR="00E27FDA" w:rsidRPr="00FF6E12">
        <w:t>er</w:t>
      </w:r>
      <w:r w:rsidR="00094CF8" w:rsidRPr="00FF6E12">
        <w:t xml:space="preserve">, </w:t>
      </w:r>
      <w:r w:rsidR="00094CF8" w:rsidRPr="00FF6E12">
        <w:rPr>
          <w:i/>
          <w:iCs/>
        </w:rPr>
        <w:t xml:space="preserve">Adolescent </w:t>
      </w:r>
      <w:r w:rsidR="00CE1A2E" w:rsidRPr="00FF6E12">
        <w:rPr>
          <w:i/>
          <w:iCs/>
        </w:rPr>
        <w:t>Encounters</w:t>
      </w:r>
      <w:r w:rsidR="00094CF8" w:rsidRPr="00FF6E12">
        <w:rPr>
          <w:i/>
          <w:iCs/>
        </w:rPr>
        <w:t xml:space="preserve"> with Online </w:t>
      </w:r>
      <w:r w:rsidR="00CE1A2E" w:rsidRPr="00FF6E12">
        <w:rPr>
          <w:i/>
          <w:iCs/>
        </w:rPr>
        <w:t>Pornography</w:t>
      </w:r>
      <w:r w:rsidR="00094CF8" w:rsidRPr="00FF6E12">
        <w:rPr>
          <w:i/>
          <w:iCs/>
        </w:rPr>
        <w:t xml:space="preserve"> </w:t>
      </w:r>
      <w:r w:rsidR="00252790" w:rsidRPr="00FF6E12">
        <w:t>(</w:t>
      </w:r>
      <w:r w:rsidR="00AA492B" w:rsidRPr="00FF6E12">
        <w:t>We</w:t>
      </w:r>
      <w:r w:rsidR="003C20D9" w:rsidRPr="00FF6E12">
        <w:t>b</w:t>
      </w:r>
      <w:r w:rsidR="00AA492B" w:rsidRPr="00FF6E12">
        <w:t xml:space="preserve"> page, </w:t>
      </w:r>
      <w:r w:rsidR="00CE1A2E" w:rsidRPr="00FF6E12">
        <w:t xml:space="preserve">2025) </w:t>
      </w:r>
      <w:r w:rsidR="00240DE3" w:rsidRPr="00FF6E12">
        <w:t>&lt;</w:t>
      </w:r>
      <w:r w:rsidR="00AA492B" w:rsidRPr="00A920EC">
        <w:t>https://www.esafety.gov.au/research/adolescent-encounters-with-online-pornography</w:t>
      </w:r>
      <w:r w:rsidR="00240DE3" w:rsidRPr="00FF6E12">
        <w:t>&gt; .</w:t>
      </w:r>
    </w:p>
  </w:footnote>
  <w:footnote w:id="179">
    <w:p w14:paraId="0EC9863F" w14:textId="476F5AA6" w:rsidR="00695636" w:rsidRPr="00FF6E12" w:rsidRDefault="00695636" w:rsidP="00D817F8">
      <w:pPr>
        <w:pStyle w:val="FootnoteText"/>
      </w:pPr>
      <w:r w:rsidRPr="00FF6E12">
        <w:rPr>
          <w:rStyle w:val="FootnoteReference"/>
        </w:rPr>
        <w:footnoteRef/>
      </w:r>
      <w:r w:rsidRPr="00FF6E12">
        <w:t xml:space="preserve"> </w:t>
      </w:r>
      <w:r w:rsidR="00E27FDA" w:rsidRPr="00FF6E12">
        <w:t xml:space="preserve">eSafety Commissioner, </w:t>
      </w:r>
      <w:r w:rsidR="00E27FDA" w:rsidRPr="00FF6E12">
        <w:rPr>
          <w:i/>
          <w:iCs/>
        </w:rPr>
        <w:t xml:space="preserve">Digital Use and </w:t>
      </w:r>
      <w:r w:rsidR="00A515B4" w:rsidRPr="00FF6E12">
        <w:rPr>
          <w:i/>
          <w:iCs/>
        </w:rPr>
        <w:t>Risk</w:t>
      </w:r>
      <w:r w:rsidR="00E27FDA" w:rsidRPr="00FF6E12">
        <w:rPr>
          <w:i/>
          <w:iCs/>
        </w:rPr>
        <w:t xml:space="preserve">: Online platform </w:t>
      </w:r>
      <w:r w:rsidR="00A515B4" w:rsidRPr="00FF6E12">
        <w:rPr>
          <w:i/>
          <w:iCs/>
        </w:rPr>
        <w:t>Engagement</w:t>
      </w:r>
      <w:r w:rsidR="00E27FDA" w:rsidRPr="00FF6E12">
        <w:rPr>
          <w:i/>
          <w:iCs/>
        </w:rPr>
        <w:t xml:space="preserve"> among </w:t>
      </w:r>
      <w:r w:rsidR="00A515B4" w:rsidRPr="00FF6E12">
        <w:rPr>
          <w:i/>
          <w:iCs/>
        </w:rPr>
        <w:t>Children</w:t>
      </w:r>
      <w:r w:rsidR="00E27FDA" w:rsidRPr="00FF6E12">
        <w:rPr>
          <w:i/>
          <w:iCs/>
        </w:rPr>
        <w:t xml:space="preserve"> aged 10 to 15</w:t>
      </w:r>
      <w:r w:rsidR="00AA492B" w:rsidRPr="00FF6E12">
        <w:rPr>
          <w:i/>
          <w:iCs/>
        </w:rPr>
        <w:t xml:space="preserve"> </w:t>
      </w:r>
      <w:r w:rsidR="00AA492B" w:rsidRPr="00A920EC">
        <w:t>(Report, eSafety Commissioner, July 2025)</w:t>
      </w:r>
      <w:r w:rsidR="00E27FDA" w:rsidRPr="00FF6E12">
        <w:rPr>
          <w:i/>
          <w:iCs/>
        </w:rPr>
        <w:t xml:space="preserve"> </w:t>
      </w:r>
      <w:r w:rsidR="00E27FDA" w:rsidRPr="00A920EC">
        <w:t>&lt;</w:t>
      </w:r>
      <w:r w:rsidR="00AA492B" w:rsidRPr="00A920EC">
        <w:t>https://www.esafety.gov.au/research/the-online-experiences-of-children-in-australia/report-digital-use-and-risk-among-children-aged-10-to-15#download-the-report</w:t>
      </w:r>
      <w:r w:rsidR="00A515B4" w:rsidRPr="00A920EC">
        <w:t>&gt;</w:t>
      </w:r>
      <w:r w:rsidR="00AA492B" w:rsidRPr="00FF6E12">
        <w:t xml:space="preserve">. </w:t>
      </w:r>
      <w:r w:rsidRPr="00FF6E12">
        <w:t>Illegal sexual material – namely CSEM and depictions of the rape of adults – are not difficult to encounter on ostensibly legal internet pornography websites. See Scanlan et al</w:t>
      </w:r>
      <w:r w:rsidR="00AA492B" w:rsidRPr="00FF6E12">
        <w:t xml:space="preserve"> (n </w:t>
      </w:r>
      <w:r w:rsidR="00AA492B" w:rsidRPr="00FF6E12">
        <w:fldChar w:fldCharType="begin"/>
      </w:r>
      <w:r w:rsidR="00AA492B" w:rsidRPr="00FF6E12">
        <w:instrText xml:space="preserve"> NOTEREF _Ref217930840 \h </w:instrText>
      </w:r>
      <w:r w:rsidR="00AA492B" w:rsidRPr="00FF6E12">
        <w:fldChar w:fldCharType="separate"/>
      </w:r>
      <w:r w:rsidR="007D7830">
        <w:t>175</w:t>
      </w:r>
      <w:r w:rsidR="00AA492B" w:rsidRPr="00FF6E12">
        <w:fldChar w:fldCharType="end"/>
      </w:r>
      <w:r w:rsidR="00AA492B" w:rsidRPr="00FF6E12">
        <w:t>)</w:t>
      </w:r>
      <w:r w:rsidRPr="00FF6E12">
        <w:t>; Gane et al</w:t>
      </w:r>
      <w:r w:rsidR="00AA492B" w:rsidRPr="00FF6E12">
        <w:t xml:space="preserve"> (n </w:t>
      </w:r>
      <w:r w:rsidR="00AA492B" w:rsidRPr="00FF6E12">
        <w:fldChar w:fldCharType="begin"/>
      </w:r>
      <w:r w:rsidR="00AA492B" w:rsidRPr="00FF6E12">
        <w:instrText xml:space="preserve"> NOTEREF _Ref217930840 \h </w:instrText>
      </w:r>
      <w:r w:rsidR="00AA492B" w:rsidRPr="00FF6E12">
        <w:fldChar w:fldCharType="separate"/>
      </w:r>
      <w:r w:rsidR="007D7830">
        <w:t>175</w:t>
      </w:r>
      <w:r w:rsidR="00AA492B" w:rsidRPr="00FF6E12">
        <w:fldChar w:fldCharType="end"/>
      </w:r>
      <w:r w:rsidR="00AA492B" w:rsidRPr="00FF6E12">
        <w:t>)</w:t>
      </w:r>
      <w:r w:rsidRPr="00FF6E12">
        <w:t>.</w:t>
      </w:r>
    </w:p>
  </w:footnote>
  <w:footnote w:id="180">
    <w:p w14:paraId="2204300C" w14:textId="0D492190" w:rsidR="00695636" w:rsidRPr="00FF6E12" w:rsidRDefault="00695636" w:rsidP="00D817F8">
      <w:pPr>
        <w:pStyle w:val="FootnoteText"/>
      </w:pPr>
      <w:r w:rsidRPr="00FF6E12">
        <w:rPr>
          <w:rStyle w:val="FootnoteReference"/>
        </w:rPr>
        <w:footnoteRef/>
      </w:r>
      <w:r w:rsidRPr="00FF6E12">
        <w:t xml:space="preserve"> </w:t>
      </w:r>
      <w:r w:rsidR="00BE7780">
        <w:t xml:space="preserve">Gemma </w:t>
      </w:r>
      <w:r w:rsidRPr="005858B1">
        <w:t>McKibben</w:t>
      </w:r>
      <w:r w:rsidR="00BE7780" w:rsidRPr="005858B1">
        <w:t xml:space="preserve"> et al</w:t>
      </w:r>
      <w:r w:rsidR="003D4785" w:rsidRPr="005858B1">
        <w:t>, ‘Pathways to Onset of Harmful Sexual Behav</w:t>
      </w:r>
      <w:r w:rsidR="00D27453" w:rsidRPr="005858B1">
        <w:t>i</w:t>
      </w:r>
      <w:r w:rsidR="003D4785" w:rsidRPr="005858B1">
        <w:t xml:space="preserve">or’ </w:t>
      </w:r>
      <w:r w:rsidRPr="005858B1">
        <w:t>(2023)</w:t>
      </w:r>
      <w:r w:rsidR="00324503" w:rsidRPr="005858B1">
        <w:t xml:space="preserve"> 19(5) </w:t>
      </w:r>
      <w:r w:rsidR="00324503" w:rsidRPr="005858B1">
        <w:rPr>
          <w:i/>
          <w:iCs/>
        </w:rPr>
        <w:t>Victims and Offenders</w:t>
      </w:r>
      <w:r w:rsidR="005858B1" w:rsidRPr="005858B1">
        <w:t xml:space="preserve"> 739</w:t>
      </w:r>
      <w:r w:rsidRPr="005858B1">
        <w:t>.</w:t>
      </w:r>
    </w:p>
  </w:footnote>
  <w:footnote w:id="181">
    <w:p w14:paraId="15B40ABD" w14:textId="05312342" w:rsidR="00695636" w:rsidRPr="00FF6E12" w:rsidRDefault="00695636" w:rsidP="00D817F8">
      <w:pPr>
        <w:pStyle w:val="FootnoteText"/>
      </w:pPr>
      <w:r w:rsidRPr="00FF6E12">
        <w:rPr>
          <w:rStyle w:val="FootnoteReference"/>
        </w:rPr>
        <w:footnoteRef/>
      </w:r>
      <w:r w:rsidRPr="00FF6E12">
        <w:t xml:space="preserve"> Timea Molnar</w:t>
      </w:r>
      <w:r w:rsidR="003C20D9" w:rsidRPr="00FF6E12">
        <w:t xml:space="preserve"> et al</w:t>
      </w:r>
      <w:r w:rsidRPr="00FF6E12">
        <w:t>, ‘Ecosystemic and Situational Determinants in the Onset of Youth-Perpetrated Sexual Offending’ (2023) 55(6) Y</w:t>
      </w:r>
      <w:r w:rsidRPr="00FF6E12">
        <w:rPr>
          <w:i/>
          <w:iCs/>
        </w:rPr>
        <w:t>outh and Society</w:t>
      </w:r>
      <w:r w:rsidRPr="00FF6E12">
        <w:t xml:space="preserve"> 1079, 1080–1081.</w:t>
      </w:r>
    </w:p>
  </w:footnote>
  <w:footnote w:id="182">
    <w:p w14:paraId="370CA7FD" w14:textId="555252C9" w:rsidR="00695636" w:rsidRPr="00FF6E12" w:rsidRDefault="00695636" w:rsidP="00D817F8">
      <w:pPr>
        <w:pStyle w:val="FootnoteText"/>
      </w:pPr>
      <w:r w:rsidRPr="00FF6E12">
        <w:rPr>
          <w:rStyle w:val="FootnoteReference"/>
        </w:rPr>
        <w:footnoteRef/>
      </w:r>
      <w:r w:rsidRPr="00FF6E12">
        <w:t xml:space="preserve"> </w:t>
      </w:r>
      <w:r w:rsidR="003C20D9" w:rsidRPr="00FF6E12">
        <w:t xml:space="preserve">Apryl Alexander et al, ‘Sex Offender Registration and Notification Act with Adolescents Adjudicated for Illegal Sexual Behavior: A Therapeutic Jurisprudence Perspective’ (2023) 14 </w:t>
      </w:r>
      <w:r w:rsidR="003C20D9" w:rsidRPr="00FF6E12">
        <w:rPr>
          <w:i/>
          <w:iCs/>
        </w:rPr>
        <w:t>Frontiers in Psychiatry</w:t>
      </w:r>
      <w:r w:rsidR="003C20D9" w:rsidRPr="00FF6E12">
        <w:t xml:space="preserve"> 1160922 &lt;</w:t>
      </w:r>
      <w:r w:rsidR="003C20D9" w:rsidRPr="00A920EC">
        <w:t>https://doi.org/10.3389/fpsyt.2023.116092</w:t>
      </w:r>
      <w:r w:rsidR="003C20D9" w:rsidRPr="00FF6E12">
        <w:t>&gt;.</w:t>
      </w:r>
    </w:p>
  </w:footnote>
  <w:footnote w:id="183">
    <w:p w14:paraId="4236BBDE" w14:textId="42C66C6B" w:rsidR="00451D05" w:rsidRPr="00FF6E12" w:rsidRDefault="00451D05" w:rsidP="00D817F8">
      <w:pPr>
        <w:pStyle w:val="FootnoteText"/>
      </w:pPr>
      <w:r w:rsidRPr="00FF6E12">
        <w:rPr>
          <w:rStyle w:val="FootnoteReference"/>
        </w:rPr>
        <w:footnoteRef/>
      </w:r>
      <w:r w:rsidRPr="00FF6E12">
        <w:t xml:space="preserve"> See also Appendix E</w:t>
      </w:r>
      <w:r w:rsidR="007A4EA9" w:rsidRPr="00FF6E12">
        <w:t>.</w:t>
      </w:r>
    </w:p>
  </w:footnote>
  <w:footnote w:id="184">
    <w:p w14:paraId="7B9558A4" w14:textId="7815FAD9" w:rsidR="00695636" w:rsidRPr="00FF6E12" w:rsidRDefault="00695636" w:rsidP="00D817F8">
      <w:pPr>
        <w:pStyle w:val="FootnoteText"/>
      </w:pPr>
      <w:r w:rsidRPr="00FF6E12">
        <w:rPr>
          <w:rStyle w:val="FootnoteReference"/>
        </w:rPr>
        <w:footnoteRef/>
      </w:r>
      <w:r w:rsidRPr="00FF6E12">
        <w:t xml:space="preserve"> Details of the studies are set out in Appendix </w:t>
      </w:r>
      <w:r w:rsidR="00820707" w:rsidRPr="00FF6E12">
        <w:t>E</w:t>
      </w:r>
      <w:r w:rsidRPr="00FF6E12">
        <w:t>.</w:t>
      </w:r>
    </w:p>
  </w:footnote>
  <w:footnote w:id="185">
    <w:p w14:paraId="2B769393" w14:textId="4342FBF3" w:rsidR="00695636" w:rsidRPr="00FF6E12" w:rsidRDefault="00695636" w:rsidP="00D817F8">
      <w:pPr>
        <w:pStyle w:val="FootnoteText"/>
      </w:pPr>
      <w:r w:rsidRPr="00FF6E12">
        <w:rPr>
          <w:rStyle w:val="FootnoteReference"/>
        </w:rPr>
        <w:footnoteRef/>
      </w:r>
      <w:r w:rsidRPr="00FF6E12">
        <w:t xml:space="preserve"> See Appendix </w:t>
      </w:r>
      <w:r w:rsidR="00820707" w:rsidRPr="00FF6E12">
        <w:t>E</w:t>
      </w:r>
      <w:r w:rsidRPr="00FF6E12">
        <w:t>.</w:t>
      </w:r>
    </w:p>
  </w:footnote>
  <w:footnote w:id="186">
    <w:p w14:paraId="7F083BF3" w14:textId="05002512" w:rsidR="00695636" w:rsidRPr="00FF6E12" w:rsidRDefault="00695636" w:rsidP="00D817F8">
      <w:pPr>
        <w:pStyle w:val="FootnoteText"/>
      </w:pPr>
      <w:r w:rsidRPr="00FF6E12">
        <w:rPr>
          <w:rStyle w:val="FootnoteReference"/>
        </w:rPr>
        <w:footnoteRef/>
      </w:r>
      <w:r w:rsidRPr="00FF6E12">
        <w:t xml:space="preserve"> </w:t>
      </w:r>
      <w:r w:rsidR="00674AB0" w:rsidRPr="00FF6E12">
        <w:t xml:space="preserve">McInnes et al (n </w:t>
      </w:r>
      <w:r w:rsidR="00674AB0" w:rsidRPr="00FF6E12">
        <w:fldChar w:fldCharType="begin"/>
      </w:r>
      <w:r w:rsidR="00674AB0" w:rsidRPr="00FF6E12">
        <w:instrText xml:space="preserve"> NOTEREF _Ref217929634 \h </w:instrText>
      </w:r>
      <w:r w:rsidR="00674AB0" w:rsidRPr="00FF6E12">
        <w:fldChar w:fldCharType="separate"/>
      </w:r>
      <w:r w:rsidR="007D7830">
        <w:t>55</w:t>
      </w:r>
      <w:r w:rsidR="00674AB0" w:rsidRPr="00FF6E12">
        <w:fldChar w:fldCharType="end"/>
      </w:r>
      <w:r w:rsidR="00674AB0" w:rsidRPr="00FF6E12">
        <w:t xml:space="preserve">) </w:t>
      </w:r>
      <w:r w:rsidRPr="00FF6E12">
        <w:t>54.</w:t>
      </w:r>
    </w:p>
  </w:footnote>
  <w:footnote w:id="187">
    <w:p w14:paraId="79F0D967" w14:textId="49A8CB64" w:rsidR="00695636" w:rsidRPr="00FF6E12" w:rsidRDefault="00695636" w:rsidP="00D817F8">
      <w:pPr>
        <w:pStyle w:val="FootnoteText"/>
      </w:pPr>
      <w:r w:rsidRPr="00FF6E12">
        <w:rPr>
          <w:rStyle w:val="FootnoteReference"/>
        </w:rPr>
        <w:footnoteRef/>
      </w:r>
      <w:r w:rsidRPr="00FF6E12">
        <w:t xml:space="preserve"> </w:t>
      </w:r>
      <w:r w:rsidR="00674AB0" w:rsidRPr="00FF6E12">
        <w:t xml:space="preserve">Ibid </w:t>
      </w:r>
      <w:r w:rsidRPr="00FF6E12">
        <w:t>55. It is noted that this is based on information recorded by the service.</w:t>
      </w:r>
    </w:p>
  </w:footnote>
  <w:footnote w:id="188">
    <w:p w14:paraId="27D135A3" w14:textId="6B8F8A4D" w:rsidR="00695636" w:rsidRPr="00FF6E12" w:rsidRDefault="00695636" w:rsidP="00D817F8">
      <w:pPr>
        <w:pStyle w:val="FootnoteText"/>
      </w:pPr>
      <w:r w:rsidRPr="00FF6E12">
        <w:rPr>
          <w:rStyle w:val="FootnoteReference"/>
        </w:rPr>
        <w:footnoteRef/>
      </w:r>
      <w:r w:rsidRPr="00FF6E12">
        <w:t xml:space="preserve"> </w:t>
      </w:r>
      <w:r w:rsidR="00674AB0" w:rsidRPr="00FF6E12">
        <w:t xml:space="preserve">Ibid </w:t>
      </w:r>
      <w:r w:rsidRPr="00FF6E12">
        <w:t>56.</w:t>
      </w:r>
    </w:p>
  </w:footnote>
  <w:footnote w:id="189">
    <w:p w14:paraId="20037360" w14:textId="0CAF06CC"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24.</w:t>
      </w:r>
    </w:p>
  </w:footnote>
  <w:footnote w:id="190">
    <w:p w14:paraId="3F6DF674" w14:textId="0D7A2D17"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31.</w:t>
      </w:r>
    </w:p>
  </w:footnote>
  <w:footnote w:id="191">
    <w:p w14:paraId="78948C0A" w14:textId="30556710"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14.</w:t>
      </w:r>
    </w:p>
  </w:footnote>
  <w:footnote w:id="192">
    <w:p w14:paraId="75CD5BE8" w14:textId="0837677A"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22.</w:t>
      </w:r>
    </w:p>
  </w:footnote>
  <w:footnote w:id="193">
    <w:p w14:paraId="11CF0FDE" w14:textId="1BF6A376" w:rsidR="00695636" w:rsidRPr="00FF6E12" w:rsidRDefault="00695636" w:rsidP="00D817F8">
      <w:pPr>
        <w:pStyle w:val="FootnoteText"/>
      </w:pPr>
      <w:r w:rsidRPr="00FF6E12">
        <w:rPr>
          <w:rStyle w:val="FootnoteReference"/>
        </w:rPr>
        <w:footnoteRef/>
      </w:r>
      <w:r w:rsidRPr="00FF6E12">
        <w:t xml:space="preserve"> </w:t>
      </w:r>
      <w:r w:rsidR="00A515B4" w:rsidRPr="00FF6E12">
        <w:t xml:space="preserve">Participant </w:t>
      </w:r>
      <w:r w:rsidRPr="00FF6E12">
        <w:t>1.</w:t>
      </w:r>
    </w:p>
  </w:footnote>
  <w:footnote w:id="194">
    <w:p w14:paraId="4FA066DA" w14:textId="44F9B219"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5.</w:t>
      </w:r>
    </w:p>
  </w:footnote>
  <w:footnote w:id="195">
    <w:p w14:paraId="5796A3AB" w14:textId="33585F43"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16.</w:t>
      </w:r>
    </w:p>
  </w:footnote>
  <w:footnote w:id="196">
    <w:p w14:paraId="5A1006AF" w14:textId="77777777" w:rsidR="001439ED" w:rsidRPr="00FF6E12" w:rsidRDefault="001439ED" w:rsidP="00D817F8">
      <w:pPr>
        <w:pStyle w:val="FootnoteText"/>
      </w:pPr>
      <w:r w:rsidRPr="00FF6E12">
        <w:rPr>
          <w:rStyle w:val="FootnoteReference"/>
        </w:rPr>
        <w:footnoteRef/>
      </w:r>
      <w:r w:rsidRPr="00FF6E12">
        <w:t xml:space="preserve"> Participant 37.</w:t>
      </w:r>
    </w:p>
  </w:footnote>
  <w:footnote w:id="197">
    <w:p w14:paraId="476277AB" w14:textId="43EF0E4D"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20.</w:t>
      </w:r>
    </w:p>
  </w:footnote>
  <w:footnote w:id="198">
    <w:p w14:paraId="3485BBF7" w14:textId="77777777" w:rsidR="00695636" w:rsidRPr="00FF6E12" w:rsidRDefault="00695636" w:rsidP="00D817F8">
      <w:pPr>
        <w:pStyle w:val="FootnoteText"/>
      </w:pPr>
      <w:r w:rsidRPr="00FF6E12">
        <w:rPr>
          <w:rStyle w:val="FootnoteReference"/>
        </w:rPr>
        <w:footnoteRef/>
      </w:r>
      <w:r w:rsidRPr="00FF6E12">
        <w:t xml:space="preserve"> Participant 1.</w:t>
      </w:r>
    </w:p>
  </w:footnote>
  <w:footnote w:id="199">
    <w:p w14:paraId="0988B592" w14:textId="576036A1"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22.</w:t>
      </w:r>
    </w:p>
  </w:footnote>
  <w:footnote w:id="200">
    <w:p w14:paraId="5CAA566A" w14:textId="64BB75C4"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12.</w:t>
      </w:r>
    </w:p>
  </w:footnote>
  <w:footnote w:id="201">
    <w:p w14:paraId="0DC1F914" w14:textId="09C097C0"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32.</w:t>
      </w:r>
    </w:p>
  </w:footnote>
  <w:footnote w:id="202">
    <w:p w14:paraId="657D1C33" w14:textId="24D06416"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20.</w:t>
      </w:r>
    </w:p>
  </w:footnote>
  <w:footnote w:id="203">
    <w:p w14:paraId="0BAFC99D" w14:textId="2E602713"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31.</w:t>
      </w:r>
    </w:p>
  </w:footnote>
  <w:footnote w:id="204">
    <w:p w14:paraId="71D653E4" w14:textId="43C091A0"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10.</w:t>
      </w:r>
    </w:p>
  </w:footnote>
  <w:footnote w:id="205">
    <w:p w14:paraId="465D3316" w14:textId="7CB0038D"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5.</w:t>
      </w:r>
    </w:p>
  </w:footnote>
  <w:footnote w:id="206">
    <w:p w14:paraId="007DA425" w14:textId="1DC3F47C" w:rsidR="00695636" w:rsidRPr="00FF6E12" w:rsidRDefault="00695636" w:rsidP="00D817F8">
      <w:pPr>
        <w:pStyle w:val="FootnoteText"/>
      </w:pPr>
      <w:r w:rsidRPr="00FF6E12">
        <w:rPr>
          <w:rStyle w:val="FootnoteReference"/>
        </w:rPr>
        <w:footnoteRef/>
      </w:r>
      <w:r w:rsidRPr="00FF6E12">
        <w:t xml:space="preserve"> </w:t>
      </w:r>
      <w:r w:rsidR="002A786C" w:rsidRPr="00FF6E12">
        <w:t>Participant</w:t>
      </w:r>
      <w:r w:rsidRPr="00FF6E12">
        <w:t xml:space="preserve"> 21.</w:t>
      </w:r>
    </w:p>
  </w:footnote>
  <w:footnote w:id="207">
    <w:p w14:paraId="6F0EC80D" w14:textId="5E28CFC0" w:rsidR="00695636" w:rsidRPr="00FF6E12" w:rsidRDefault="00695636" w:rsidP="00D817F8">
      <w:pPr>
        <w:pStyle w:val="FootnoteText"/>
      </w:pPr>
      <w:r w:rsidRPr="00FF6E12">
        <w:rPr>
          <w:rStyle w:val="FootnoteReference"/>
        </w:rPr>
        <w:footnoteRef/>
      </w:r>
      <w:r w:rsidRPr="00FF6E12">
        <w:t xml:space="preserve"> See </w:t>
      </w:r>
      <w:r w:rsidR="0066515E" w:rsidRPr="00FF6E12">
        <w:t>[</w:t>
      </w:r>
      <w:r w:rsidR="00CA443E">
        <w:fldChar w:fldCharType="begin"/>
      </w:r>
      <w:r w:rsidR="00CA443E">
        <w:instrText xml:space="preserve"> REF _Ref218252956 \r \h </w:instrText>
      </w:r>
      <w:r w:rsidR="00CA443E">
        <w:fldChar w:fldCharType="separate"/>
      </w:r>
      <w:r w:rsidR="007D7830">
        <w:t>3.5</w:t>
      </w:r>
      <w:r w:rsidR="00CA443E">
        <w:fldChar w:fldCharType="end"/>
      </w:r>
      <w:r w:rsidR="0066515E" w:rsidRPr="00FF6E12">
        <w:t>]</w:t>
      </w:r>
      <w:r w:rsidR="00BA6013" w:rsidRPr="00FF6E12">
        <w:t xml:space="preserve"> and</w:t>
      </w:r>
      <w:r w:rsidR="00BA14C8" w:rsidRPr="00FF6E12">
        <w:t xml:space="preserve"> Appendix </w:t>
      </w:r>
      <w:r w:rsidR="00820707" w:rsidRPr="00FF6E12">
        <w:t>F</w:t>
      </w:r>
      <w:r w:rsidRPr="00FF6E12">
        <w:t xml:space="preserve"> for a discussion of treatment literature.</w:t>
      </w:r>
    </w:p>
  </w:footnote>
  <w:footnote w:id="208">
    <w:p w14:paraId="251D85CC" w14:textId="20B85658" w:rsidR="00695636" w:rsidRPr="00FF6E12" w:rsidRDefault="00695636" w:rsidP="00D817F8">
      <w:pPr>
        <w:pStyle w:val="FootnoteText"/>
      </w:pPr>
      <w:r w:rsidRPr="00FF6E12">
        <w:rPr>
          <w:rStyle w:val="FootnoteReference"/>
        </w:rPr>
        <w:footnoteRef/>
      </w:r>
      <w:r w:rsidRPr="00FF6E12">
        <w:t xml:space="preserve"> See Kelly Richards, </w:t>
      </w:r>
      <w:r w:rsidRPr="00A920EC">
        <w:rPr>
          <w:i/>
          <w:iCs/>
        </w:rPr>
        <w:t xml:space="preserve">Technical and Background Paper: Measuring Juvenile Recidivism in Australia </w:t>
      </w:r>
      <w:r w:rsidRPr="00FF6E12">
        <w:t>(</w:t>
      </w:r>
      <w:r w:rsidR="00BA6013" w:rsidRPr="00FF6E12">
        <w:t xml:space="preserve">Australian Institute of Criminology </w:t>
      </w:r>
      <w:r w:rsidRPr="00FF6E12">
        <w:t xml:space="preserve">Reports, Technical and Background Paper 44, 2011), 5–6; Tim Bateman and Alexandra Wigzell, ‘Exploring Recent Trends in Youth Justice Reconvictions: A Challenge to the Complexity Thesis’ (2019) </w:t>
      </w:r>
      <w:r w:rsidRPr="00A920EC">
        <w:rPr>
          <w:i/>
          <w:iCs/>
        </w:rPr>
        <w:t>Youth Justice</w:t>
      </w:r>
      <w:r w:rsidRPr="00FF6E12">
        <w:t xml:space="preserve"> 1,</w:t>
      </w:r>
      <w:r w:rsidR="00907998" w:rsidRPr="00FF6E12">
        <w:t xml:space="preserve"> </w:t>
      </w:r>
      <w:r w:rsidRPr="00FF6E12">
        <w:t>6.</w:t>
      </w:r>
    </w:p>
  </w:footnote>
  <w:footnote w:id="209">
    <w:p w14:paraId="78A2B7DA" w14:textId="47A48E36" w:rsidR="00695636" w:rsidRPr="00FF6E12" w:rsidRDefault="00695636" w:rsidP="00D817F8">
      <w:pPr>
        <w:pStyle w:val="FootnoteText"/>
      </w:pPr>
      <w:r w:rsidRPr="00FF6E12">
        <w:rPr>
          <w:rStyle w:val="FootnoteReference"/>
          <w:rFonts w:cs="Times New Roman"/>
        </w:rPr>
        <w:footnoteRef/>
      </w:r>
      <w:r w:rsidRPr="00FF6E12">
        <w:t xml:space="preserve"> Kathleen Daly et al, </w:t>
      </w:r>
      <w:r w:rsidR="00BA6013" w:rsidRPr="00FF6E12">
        <w:t>‘</w:t>
      </w:r>
      <w:r w:rsidRPr="00FF6E12">
        <w:t>Youth sex offending, recidivism and restorative justice: Comparing court and conference cases</w:t>
      </w:r>
      <w:r w:rsidR="00BA6013" w:rsidRPr="00FF6E12">
        <w:t>’</w:t>
      </w:r>
      <w:r w:rsidRPr="00FF6E12">
        <w:t xml:space="preserve"> (2013) 46(2) </w:t>
      </w:r>
      <w:r w:rsidRPr="00FF6E12">
        <w:rPr>
          <w:i/>
        </w:rPr>
        <w:t>Australian and New Zealand Journal of Criminology</w:t>
      </w:r>
      <w:r w:rsidRPr="00FF6E12">
        <w:t xml:space="preserve"> 241</w:t>
      </w:r>
      <w:r w:rsidR="00BA6013" w:rsidRPr="00FF6E12">
        <w:t>–</w:t>
      </w:r>
      <w:r w:rsidRPr="00FF6E12">
        <w:t>267.</w:t>
      </w:r>
    </w:p>
  </w:footnote>
  <w:footnote w:id="210">
    <w:p w14:paraId="157410BF" w14:textId="01A9F3C3" w:rsidR="00695636" w:rsidRPr="00FF6E12" w:rsidRDefault="00695636" w:rsidP="00D817F8">
      <w:pPr>
        <w:pStyle w:val="FootnoteText"/>
      </w:pPr>
      <w:r w:rsidRPr="00FF6E12">
        <w:rPr>
          <w:rStyle w:val="FootnoteReference"/>
        </w:rPr>
        <w:footnoteRef/>
      </w:r>
      <w:r w:rsidRPr="00FF6E12">
        <w:t xml:space="preserve"> </w:t>
      </w:r>
      <w:r w:rsidR="00BA6013" w:rsidRPr="00FF6E12">
        <w:t xml:space="preserve">Michael C Seto and Martin L Lalumière, ‘Sexual Offending in Youth: A Developmental and Socioecological Perspective’ (2010) 22(2) </w:t>
      </w:r>
      <w:r w:rsidR="00BA6013" w:rsidRPr="00FF6E12">
        <w:rPr>
          <w:i/>
          <w:iCs/>
        </w:rPr>
        <w:t>Sexual Abuse: A Journal of Research and Treatment</w:t>
      </w:r>
      <w:r w:rsidR="00BA6013" w:rsidRPr="00FF6E12">
        <w:t xml:space="preserve"> 197</w:t>
      </w:r>
      <w:r w:rsidRPr="00FF6E12">
        <w:t>.</w:t>
      </w:r>
    </w:p>
  </w:footnote>
  <w:footnote w:id="211">
    <w:p w14:paraId="20B32E41" w14:textId="3FC6D2E9" w:rsidR="00695636" w:rsidRPr="00FF6E12" w:rsidRDefault="00695636" w:rsidP="00D817F8">
      <w:pPr>
        <w:pStyle w:val="FootnoteText"/>
      </w:pPr>
      <w:r w:rsidRPr="00FF6E12">
        <w:rPr>
          <w:rStyle w:val="FootnoteReference"/>
        </w:rPr>
        <w:footnoteRef/>
      </w:r>
      <w:r w:rsidRPr="00FF6E12">
        <w:t xml:space="preserve"> TASC, </w:t>
      </w:r>
      <w:r w:rsidRPr="00FF6E12">
        <w:rPr>
          <w:i/>
          <w:iCs/>
        </w:rPr>
        <w:t xml:space="preserve">Sentencing Youth Offenders: Research Paper </w:t>
      </w:r>
      <w:r w:rsidRPr="00FF6E12">
        <w:t>(</w:t>
      </w:r>
      <w:r w:rsidR="00E321EA" w:rsidRPr="00FF6E12">
        <w:t>2021</w:t>
      </w:r>
      <w:r w:rsidRPr="00FF6E12">
        <w:t>) 2</w:t>
      </w:r>
      <w:r w:rsidR="00BA6013" w:rsidRPr="00FF6E12">
        <w:t>,</w:t>
      </w:r>
      <w:r w:rsidRPr="00FF6E12">
        <w:t xml:space="preserve"> referring to Kelly Richards and Murray Lee, ‘Beyond the “Three Dogmas of Juvenile Justice”: A Response to Weatherburn, McGrath and Bartels’ (2013) 36(3) </w:t>
      </w:r>
      <w:r w:rsidRPr="00FF6E12">
        <w:rPr>
          <w:i/>
          <w:iCs/>
        </w:rPr>
        <w:t>University of New South Wales Law Journal</w:t>
      </w:r>
      <w:r w:rsidRPr="00FF6E12">
        <w:t xml:space="preserve"> 839, 850.</w:t>
      </w:r>
    </w:p>
  </w:footnote>
  <w:footnote w:id="212">
    <w:p w14:paraId="1502364D" w14:textId="290FA1A1" w:rsidR="00695636" w:rsidRPr="00FF6E12" w:rsidRDefault="00695636" w:rsidP="00D817F8">
      <w:pPr>
        <w:pStyle w:val="FootnoteText"/>
      </w:pPr>
      <w:r w:rsidRPr="00FF6E12">
        <w:rPr>
          <w:rStyle w:val="FootnoteReference"/>
        </w:rPr>
        <w:footnoteRef/>
      </w:r>
      <w:r w:rsidRPr="00FF6E12">
        <w:t xml:space="preserve"> Richards and Lee</w:t>
      </w:r>
      <w:r w:rsidR="00BA6013" w:rsidRPr="00FF6E12">
        <w:t xml:space="preserve"> (n </w:t>
      </w:r>
      <w:r w:rsidR="00BA6013" w:rsidRPr="00FF6E12">
        <w:fldChar w:fldCharType="begin"/>
      </w:r>
      <w:r w:rsidR="00BA6013" w:rsidRPr="00FF6E12">
        <w:instrText xml:space="preserve"> NOTEREF _Ref217931664 \h </w:instrText>
      </w:r>
      <w:r w:rsidR="00BA6013" w:rsidRPr="00FF6E12">
        <w:fldChar w:fldCharType="separate"/>
      </w:r>
      <w:r w:rsidR="007D7830">
        <w:t>210</w:t>
      </w:r>
      <w:r w:rsidR="00BA6013" w:rsidRPr="00FF6E12">
        <w:fldChar w:fldCharType="end"/>
      </w:r>
      <w:r w:rsidR="00BA6013" w:rsidRPr="00FF6E12">
        <w:t>)</w:t>
      </w:r>
      <w:r w:rsidRPr="00FF6E12">
        <w:t xml:space="preserve">, 852 quoting Lesley McAra and Susan McVie, ‘Youth Justice? Impact of System Contact on Patterns of Desistance from Offending’ (2007) 4 European Journal of Criminology 315, 319. See also Lesley McAra and Susan McVie, ‘Youth Crime and Justice: Key Messages for the Edinburgh Study of Youth Transitions and Crime’ (2010) 10 </w:t>
      </w:r>
      <w:r w:rsidRPr="00FF6E12">
        <w:rPr>
          <w:i/>
          <w:iCs/>
        </w:rPr>
        <w:t>Criminology and Criminal Justice</w:t>
      </w:r>
      <w:r w:rsidRPr="00FF6E12">
        <w:t xml:space="preserve"> 179</w:t>
      </w:r>
      <w:r w:rsidR="0060474D" w:rsidRPr="00FF6E12">
        <w:t>.</w:t>
      </w:r>
    </w:p>
  </w:footnote>
  <w:footnote w:id="213">
    <w:p w14:paraId="10E9F4C7" w14:textId="58BB7AB9" w:rsidR="00695636" w:rsidRPr="00FF6E12" w:rsidRDefault="00695636" w:rsidP="00D817F8">
      <w:pPr>
        <w:pStyle w:val="FootnoteText"/>
      </w:pPr>
      <w:r w:rsidRPr="00FF6E12">
        <w:rPr>
          <w:rStyle w:val="FootnoteReference"/>
        </w:rPr>
        <w:footnoteRef/>
      </w:r>
      <w:r w:rsidRPr="00FF6E12">
        <w:t xml:space="preserve"> </w:t>
      </w:r>
      <w:r w:rsidR="00BA6013" w:rsidRPr="00FF6E12">
        <w:t xml:space="preserve">Richards and Lee (n </w:t>
      </w:r>
      <w:r w:rsidR="00BA6013" w:rsidRPr="00FF6E12">
        <w:fldChar w:fldCharType="begin"/>
      </w:r>
      <w:r w:rsidR="00BA6013" w:rsidRPr="00FF6E12">
        <w:instrText xml:space="preserve"> NOTEREF _Ref217931664 \h </w:instrText>
      </w:r>
      <w:r w:rsidR="00BA6013" w:rsidRPr="00FF6E12">
        <w:fldChar w:fldCharType="separate"/>
      </w:r>
      <w:r w:rsidR="007D7830">
        <w:t>210</w:t>
      </w:r>
      <w:r w:rsidR="00BA6013" w:rsidRPr="00FF6E12">
        <w:fldChar w:fldCharType="end"/>
      </w:r>
      <w:r w:rsidR="00BA6013" w:rsidRPr="00FF6E12">
        <w:t xml:space="preserve">) </w:t>
      </w:r>
      <w:r w:rsidRPr="00FF6E12">
        <w:t>852</w:t>
      </w:r>
      <w:r w:rsidR="0060474D" w:rsidRPr="00FF6E12">
        <w:t>–</w:t>
      </w:r>
      <w:r w:rsidRPr="00FF6E12">
        <w:t>853.</w:t>
      </w:r>
    </w:p>
  </w:footnote>
  <w:footnote w:id="214">
    <w:p w14:paraId="7A6030BC" w14:textId="1BFC2B57" w:rsidR="00695636" w:rsidRPr="00FF6E12" w:rsidRDefault="00695636" w:rsidP="00D817F8">
      <w:pPr>
        <w:pStyle w:val="FootnoteText"/>
      </w:pPr>
      <w:r w:rsidRPr="00FF6E12">
        <w:rPr>
          <w:rStyle w:val="FootnoteReference"/>
        </w:rPr>
        <w:footnoteRef/>
      </w:r>
      <w:r w:rsidRPr="00FF6E12">
        <w:t xml:space="preserve"> </w:t>
      </w:r>
      <w:r w:rsidR="00BA6013" w:rsidRPr="00FF6E12">
        <w:t xml:space="preserve">Royal Commission into Institutional Responses to Child Sexual Abuse (n </w:t>
      </w:r>
      <w:r w:rsidR="00BA6013" w:rsidRPr="00FF6E12">
        <w:fldChar w:fldCharType="begin"/>
      </w:r>
      <w:r w:rsidR="00BA6013" w:rsidRPr="00FF6E12">
        <w:instrText xml:space="preserve"> NOTEREF _Ref217902398 \h </w:instrText>
      </w:r>
      <w:r w:rsidR="00BA6013" w:rsidRPr="00FF6E12">
        <w:fldChar w:fldCharType="separate"/>
      </w:r>
      <w:r w:rsidR="007D7830">
        <w:t>13</w:t>
      </w:r>
      <w:r w:rsidR="00BA6013" w:rsidRPr="00FF6E12">
        <w:fldChar w:fldCharType="end"/>
      </w:r>
      <w:r w:rsidR="00BA6013" w:rsidRPr="00FF6E12">
        <w:t xml:space="preserve">) vol 10 </w:t>
      </w:r>
      <w:r w:rsidRPr="00FF6E12">
        <w:t>[2.10.2].</w:t>
      </w:r>
    </w:p>
  </w:footnote>
  <w:footnote w:id="215">
    <w:p w14:paraId="573A9036" w14:textId="0CBF4E21" w:rsidR="00695636" w:rsidRPr="00FF6E12" w:rsidRDefault="00695636" w:rsidP="00D817F8">
      <w:pPr>
        <w:pStyle w:val="FootnoteText"/>
      </w:pPr>
      <w:r w:rsidRPr="00FF6E12">
        <w:rPr>
          <w:rStyle w:val="FootnoteReference"/>
        </w:rPr>
        <w:footnoteRef/>
      </w:r>
      <w:r w:rsidRPr="00FF6E12">
        <w:t xml:space="preserve"> </w:t>
      </w:r>
      <w:r w:rsidR="002D58EF" w:rsidRPr="00FF6E12">
        <w:t xml:space="preserve">Shane M Butler and Michael C Seto, ‘Distinguishing Two Types of Adolescent Sex Offenders’ (2002) 14(1) </w:t>
      </w:r>
      <w:r w:rsidR="002D58EF" w:rsidRPr="00FF6E12">
        <w:rPr>
          <w:i/>
          <w:iCs/>
        </w:rPr>
        <w:t>Sexual Abuse: A Journal of Research and Treatment</w:t>
      </w:r>
      <w:r w:rsidR="002D58EF" w:rsidRPr="00FF6E12">
        <w:t xml:space="preserve"> 19</w:t>
      </w:r>
      <w:r w:rsidRPr="00FF6E12">
        <w:t>.</w:t>
      </w:r>
    </w:p>
  </w:footnote>
  <w:footnote w:id="216">
    <w:p w14:paraId="7CBB4174" w14:textId="770D6F96" w:rsidR="00695636" w:rsidRPr="00FF6E12" w:rsidRDefault="00695636" w:rsidP="00D817F8">
      <w:pPr>
        <w:pStyle w:val="FootnoteText"/>
      </w:pPr>
      <w:r w:rsidRPr="00FF6E12">
        <w:rPr>
          <w:rStyle w:val="FootnoteReference"/>
          <w:rFonts w:cs="Times New Roman"/>
        </w:rPr>
        <w:footnoteRef/>
      </w:r>
      <w:r w:rsidRPr="00FF6E12">
        <w:t xml:space="preserve"> Chantal van den Berg, Catrien Bijleveld and Jan Hendriks, </w:t>
      </w:r>
      <w:r w:rsidR="002D58EF" w:rsidRPr="00FF6E12">
        <w:t>‘</w:t>
      </w:r>
      <w:r w:rsidRPr="00FF6E12">
        <w:t>The juvenile sex offender: Criminal careers and life events</w:t>
      </w:r>
      <w:r w:rsidR="002D58EF" w:rsidRPr="00FF6E12">
        <w:t>’</w:t>
      </w:r>
      <w:r w:rsidRPr="00FF6E12">
        <w:t xml:space="preserve"> (2017) 29(1) </w:t>
      </w:r>
      <w:r w:rsidRPr="00FF6E12">
        <w:rPr>
          <w:i/>
        </w:rPr>
        <w:t>Sexual Abuse: A Journal of Research and Treatment</w:t>
      </w:r>
      <w:r w:rsidRPr="00FF6E12">
        <w:t xml:space="preserve"> 81</w:t>
      </w:r>
      <w:r w:rsidR="002D58EF" w:rsidRPr="00FF6E12">
        <w:t>–</w:t>
      </w:r>
      <w:r w:rsidRPr="00FF6E12">
        <w:t>101.</w:t>
      </w:r>
    </w:p>
  </w:footnote>
  <w:footnote w:id="217">
    <w:p w14:paraId="36CAF72D" w14:textId="367398BE" w:rsidR="00695636" w:rsidRPr="00FF6E12" w:rsidRDefault="00695636" w:rsidP="00D817F8">
      <w:pPr>
        <w:pStyle w:val="FootnoteText"/>
      </w:pPr>
      <w:r w:rsidRPr="00FF6E12">
        <w:rPr>
          <w:rStyle w:val="FootnoteReference"/>
          <w:rFonts w:cs="Times New Roman"/>
        </w:rPr>
        <w:footnoteRef/>
      </w:r>
      <w:r w:rsidRPr="00FF6E12">
        <w:t xml:space="preserve"> Amanda M Fanniff et al, </w:t>
      </w:r>
      <w:r w:rsidR="002D58EF" w:rsidRPr="00FF6E12">
        <w:t>‘</w:t>
      </w:r>
      <w:r w:rsidRPr="00FF6E12">
        <w:t>Risk and outcomes: Are adolescents charged with sex offenses different from other adolescent offenders?</w:t>
      </w:r>
      <w:r w:rsidR="002D58EF" w:rsidRPr="00FF6E12">
        <w:t>’</w:t>
      </w:r>
      <w:r w:rsidRPr="00FF6E12">
        <w:t xml:space="preserve"> (2017) 46(7) </w:t>
      </w:r>
      <w:r w:rsidRPr="00FF6E12">
        <w:rPr>
          <w:i/>
        </w:rPr>
        <w:t>Journal of Youth and Adolescence</w:t>
      </w:r>
      <w:r w:rsidRPr="00FF6E12">
        <w:t xml:space="preserve"> 1394</w:t>
      </w:r>
      <w:r w:rsidR="002D58EF" w:rsidRPr="00FF6E12">
        <w:t>–</w:t>
      </w:r>
      <w:r w:rsidRPr="00FF6E12">
        <w:t>1423.</w:t>
      </w:r>
    </w:p>
  </w:footnote>
  <w:footnote w:id="218">
    <w:p w14:paraId="237952E4" w14:textId="41895263" w:rsidR="00695636" w:rsidRPr="00FF6E12" w:rsidRDefault="00695636" w:rsidP="00D817F8">
      <w:pPr>
        <w:pStyle w:val="FootnoteText"/>
      </w:pPr>
      <w:r w:rsidRPr="00FF6E12">
        <w:rPr>
          <w:rStyle w:val="FootnoteReference"/>
        </w:rPr>
        <w:footnoteRef/>
      </w:r>
      <w:r w:rsidRPr="00FF6E12">
        <w:t xml:space="preserve"> </w:t>
      </w:r>
      <w:r w:rsidR="002D58EF" w:rsidRPr="00FF6E12">
        <w:t xml:space="preserve">Claire </w:t>
      </w:r>
      <w:r w:rsidRPr="00FF6E12">
        <w:t xml:space="preserve">Hargreaves and </w:t>
      </w:r>
      <w:r w:rsidR="002D58EF" w:rsidRPr="00FF6E12">
        <w:t xml:space="preserve">Brian </w:t>
      </w:r>
      <w:r w:rsidRPr="00FF6E12">
        <w:t xml:space="preserve">Francis , ‘The Long Term Recidivism Risk of Young Sexual Offenders in England and Wales – Enduring Risk or Redemption?’ (2014) 42 </w:t>
      </w:r>
      <w:r w:rsidRPr="00FF6E12">
        <w:rPr>
          <w:i/>
          <w:iCs/>
        </w:rPr>
        <w:t xml:space="preserve">Journal of Criminal Justice </w:t>
      </w:r>
      <w:r w:rsidRPr="00FF6E12">
        <w:t>164</w:t>
      </w:r>
      <w:r w:rsidR="002D58EF" w:rsidRPr="00FF6E12">
        <w:t>–</w:t>
      </w:r>
      <w:r w:rsidRPr="00FF6E12">
        <w:t>172, 164.</w:t>
      </w:r>
    </w:p>
  </w:footnote>
  <w:footnote w:id="219">
    <w:p w14:paraId="006DAAA1" w14:textId="32C5A191" w:rsidR="00695636" w:rsidRPr="00FF6E12" w:rsidRDefault="00695636" w:rsidP="00D817F8">
      <w:pPr>
        <w:pStyle w:val="FootnoteText"/>
      </w:pPr>
      <w:r w:rsidRPr="00FF6E12">
        <w:rPr>
          <w:rStyle w:val="FootnoteReference"/>
          <w:rFonts w:cs="Times New Roman"/>
        </w:rPr>
        <w:footnoteRef/>
      </w:r>
      <w:r w:rsidRPr="00FF6E12">
        <w:t xml:space="preserve"> Marcel Aebi et al, </w:t>
      </w:r>
      <w:r w:rsidR="002D58EF" w:rsidRPr="00FF6E12">
        <w:t>‘</w:t>
      </w:r>
      <w:r w:rsidRPr="00FF6E12">
        <w:t>Criminal history and future offending of juveniles convicted of the possession of child pornography</w:t>
      </w:r>
      <w:r w:rsidR="002D58EF" w:rsidRPr="00FF6E12">
        <w:t>’</w:t>
      </w:r>
      <w:r w:rsidRPr="00FF6E12">
        <w:t xml:space="preserve"> (2014) 26(4) </w:t>
      </w:r>
      <w:r w:rsidRPr="00FF6E12">
        <w:rPr>
          <w:i/>
        </w:rPr>
        <w:t>Sexual Abuse: A Journal of Research and Treatment</w:t>
      </w:r>
      <w:r w:rsidRPr="00FF6E12">
        <w:t xml:space="preserve"> 375</w:t>
      </w:r>
      <w:r w:rsidR="002D58EF" w:rsidRPr="00FF6E12">
        <w:t>–</w:t>
      </w:r>
      <w:r w:rsidRPr="00FF6E12">
        <w:t>390.</w:t>
      </w:r>
    </w:p>
  </w:footnote>
  <w:footnote w:id="220">
    <w:p w14:paraId="0A37A601" w14:textId="7FEABBCF" w:rsidR="00695636" w:rsidRPr="00FF6E12" w:rsidRDefault="00695636" w:rsidP="00D817F8">
      <w:pPr>
        <w:pStyle w:val="FootnoteText"/>
      </w:pPr>
      <w:r w:rsidRPr="00FF6E12">
        <w:rPr>
          <w:rStyle w:val="FootnoteReference"/>
        </w:rPr>
        <w:footnoteRef/>
      </w:r>
      <w:r w:rsidRPr="00FF6E12">
        <w:t xml:space="preserve"> M</w:t>
      </w:r>
      <w:r w:rsidR="008044FA" w:rsidRPr="00FF6E12">
        <w:t>ichael</w:t>
      </w:r>
      <w:r w:rsidRPr="00FF6E12">
        <w:t xml:space="preserve"> Caldwell</w:t>
      </w:r>
      <w:r w:rsidR="008044FA" w:rsidRPr="00FF6E12">
        <w:t>,</w:t>
      </w:r>
      <w:r w:rsidRPr="00FF6E12">
        <w:t xml:space="preserve"> ‘Quantifying the decline in juvenile sexual recidivism rates’ (2016) 22(4) </w:t>
      </w:r>
      <w:r w:rsidRPr="00FF6E12">
        <w:rPr>
          <w:i/>
          <w:iCs/>
        </w:rPr>
        <w:t xml:space="preserve">Psychology, Public Policy and Law </w:t>
      </w:r>
      <w:r w:rsidRPr="00FF6E12">
        <w:t>414.</w:t>
      </w:r>
    </w:p>
  </w:footnote>
  <w:footnote w:id="221">
    <w:p w14:paraId="13E81ABB" w14:textId="51E5FF68" w:rsidR="00695636" w:rsidRPr="00FF6E12" w:rsidRDefault="00695636" w:rsidP="00D817F8">
      <w:pPr>
        <w:pStyle w:val="FootnoteText"/>
      </w:pPr>
      <w:r w:rsidRPr="00FF6E12">
        <w:rPr>
          <w:rStyle w:val="FootnoteReference"/>
          <w:rFonts w:cs="Times New Roman"/>
        </w:rPr>
        <w:footnoteRef/>
      </w:r>
      <w:r w:rsidRPr="00FF6E12">
        <w:t xml:space="preserve"> Patrick Lussier et al, </w:t>
      </w:r>
      <w:r w:rsidR="008044FA" w:rsidRPr="00FF6E12">
        <w:t>‘</w:t>
      </w:r>
      <w:r w:rsidRPr="00FF6E12">
        <w:t>A meta-analysis of trends in general, sexual, and violent recidivism among youth with histories of sex offending</w:t>
      </w:r>
      <w:r w:rsidR="008044FA" w:rsidRPr="00FF6E12">
        <w:t>’</w:t>
      </w:r>
      <w:r w:rsidRPr="00FF6E12">
        <w:t xml:space="preserve"> (2023) 25(1) </w:t>
      </w:r>
      <w:r w:rsidRPr="00FF6E12">
        <w:rPr>
          <w:i/>
        </w:rPr>
        <w:t>Trauma, Violence &amp; Abuse</w:t>
      </w:r>
      <w:r w:rsidRPr="00FF6E12">
        <w:t xml:space="preserve"> 1.</w:t>
      </w:r>
    </w:p>
  </w:footnote>
  <w:footnote w:id="222">
    <w:p w14:paraId="4A5636E9" w14:textId="6EFD68FC" w:rsidR="00695636" w:rsidRPr="00FF6E12" w:rsidRDefault="00695636" w:rsidP="00D817F8">
      <w:pPr>
        <w:pStyle w:val="FootnoteText"/>
      </w:pPr>
      <w:r w:rsidRPr="00FF6E12">
        <w:rPr>
          <w:rStyle w:val="FootnoteReference"/>
          <w:rFonts w:cs="Times New Roman"/>
        </w:rPr>
        <w:footnoteRef/>
      </w:r>
      <w:r w:rsidRPr="00FF6E12">
        <w:t xml:space="preserve"> See Evan McCuish and Patrick Lussier, </w:t>
      </w:r>
      <w:r w:rsidR="008044FA" w:rsidRPr="00FF6E12">
        <w:t>‘</w:t>
      </w:r>
      <w:r w:rsidRPr="00FF6E12">
        <w:t>Unfinished stories: From juvenile sex offenders to juvenile sex offending through a developmental life course perspective</w:t>
      </w:r>
      <w:r w:rsidR="008044FA" w:rsidRPr="00FF6E12">
        <w:t>’</w:t>
      </w:r>
      <w:r w:rsidRPr="00FF6E12">
        <w:t xml:space="preserve"> (2017) 37 </w:t>
      </w:r>
      <w:r w:rsidRPr="00FF6E12">
        <w:rPr>
          <w:i/>
        </w:rPr>
        <w:t>Aggression and Violent Behavior</w:t>
      </w:r>
      <w:r w:rsidRPr="00FF6E12">
        <w:t xml:space="preserve"> 71; Patrick Lussier and Arjan Blokland, </w:t>
      </w:r>
      <w:r w:rsidR="008044FA" w:rsidRPr="00FF6E12">
        <w:t>‘</w:t>
      </w:r>
      <w:r w:rsidRPr="00FF6E12">
        <w:t>The adolescence-adulthood transition and Robins's continuity paradox: Criminal career patterns of juvenile and adult sex offenders in a prospective longitudinal birth cohort study</w:t>
      </w:r>
      <w:r w:rsidR="008044FA" w:rsidRPr="00FF6E12">
        <w:t>’</w:t>
      </w:r>
      <w:r w:rsidRPr="00FF6E12">
        <w:t xml:space="preserve"> (2014) 42(2) </w:t>
      </w:r>
      <w:r w:rsidRPr="00FF6E12">
        <w:rPr>
          <w:i/>
        </w:rPr>
        <w:t>Journal of Criminal Justice</w:t>
      </w:r>
      <w:r w:rsidRPr="00FF6E12">
        <w:t xml:space="preserve"> 153.</w:t>
      </w:r>
    </w:p>
  </w:footnote>
  <w:footnote w:id="223">
    <w:p w14:paraId="688568F6" w14:textId="01288CCD" w:rsidR="00695636" w:rsidRPr="00FF6E12" w:rsidRDefault="00695636" w:rsidP="00D817F8">
      <w:pPr>
        <w:pStyle w:val="FootnoteText"/>
      </w:pPr>
      <w:r w:rsidRPr="00FF6E12">
        <w:rPr>
          <w:rStyle w:val="FootnoteReference"/>
          <w:rFonts w:cs="Times New Roman"/>
        </w:rPr>
        <w:footnoteRef/>
      </w:r>
      <w:r w:rsidRPr="00FF6E12">
        <w:t xml:space="preserve"> Patrick Lussier and Arjan Blokland, </w:t>
      </w:r>
      <w:r w:rsidR="008044FA" w:rsidRPr="00FF6E12">
        <w:t xml:space="preserve">(n </w:t>
      </w:r>
      <w:r w:rsidR="008044FA" w:rsidRPr="00FF6E12">
        <w:fldChar w:fldCharType="begin"/>
      </w:r>
      <w:r w:rsidR="008044FA" w:rsidRPr="00FF6E12">
        <w:instrText xml:space="preserve"> NOTEREF _Ref217932148 \h </w:instrText>
      </w:r>
      <w:r w:rsidR="008044FA" w:rsidRPr="00FF6E12">
        <w:fldChar w:fldCharType="separate"/>
      </w:r>
      <w:r w:rsidR="007D7830">
        <w:t>221</w:t>
      </w:r>
      <w:r w:rsidR="008044FA" w:rsidRPr="00FF6E12">
        <w:fldChar w:fldCharType="end"/>
      </w:r>
      <w:r w:rsidR="008044FA" w:rsidRPr="00FF6E12">
        <w:t>)</w:t>
      </w:r>
      <w:r w:rsidRPr="00FF6E12">
        <w:t xml:space="preserve">. See also Franklin E Zimring et al, </w:t>
      </w:r>
      <w:r w:rsidR="008044FA" w:rsidRPr="00FF6E12">
        <w:t>‘</w:t>
      </w:r>
      <w:r w:rsidRPr="00FF6E12">
        <w:t>Investigating the continuity of sex offending: Evidence from the second Philadelphia birth cohort</w:t>
      </w:r>
      <w:r w:rsidR="008044FA" w:rsidRPr="00FF6E12">
        <w:t>’</w:t>
      </w:r>
      <w:r w:rsidRPr="00FF6E12">
        <w:t xml:space="preserve"> (2009) 26(1) </w:t>
      </w:r>
      <w:r w:rsidRPr="00FF6E12">
        <w:rPr>
          <w:i/>
        </w:rPr>
        <w:t>Justice Quarterly</w:t>
      </w:r>
      <w:r w:rsidRPr="00FF6E12">
        <w:t xml:space="preserve"> 58</w:t>
      </w:r>
      <w:r w:rsidR="008044FA" w:rsidRPr="00FF6E12">
        <w:t>–</w:t>
      </w:r>
      <w:r w:rsidRPr="00FF6E12">
        <w:t>76.</w:t>
      </w:r>
    </w:p>
  </w:footnote>
  <w:footnote w:id="224">
    <w:p w14:paraId="6118A57E" w14:textId="60011149" w:rsidR="00695636" w:rsidRPr="00FF6E12" w:rsidRDefault="00695636" w:rsidP="00D817F8">
      <w:pPr>
        <w:pStyle w:val="FootnoteText"/>
      </w:pPr>
      <w:r w:rsidRPr="00FF6E12">
        <w:rPr>
          <w:rStyle w:val="FootnoteReference"/>
        </w:rPr>
        <w:footnoteRef/>
      </w:r>
      <w:r w:rsidRPr="00FF6E12">
        <w:t xml:space="preserve"> </w:t>
      </w:r>
      <w:r w:rsidR="008044FA" w:rsidRPr="00FF6E12">
        <w:t xml:space="preserve">Sarah Paquette and Sébastien Brouillette-Alarie, ‘Online Sexual Offending Against Children: Recidivism Rates and Predictors’ (2024) 37(6) </w:t>
      </w:r>
      <w:r w:rsidR="008044FA" w:rsidRPr="00FF6E12">
        <w:rPr>
          <w:i/>
          <w:iCs/>
        </w:rPr>
        <w:t>Sexual Abuse: A Journal of Research and Treatment</w:t>
      </w:r>
      <w:r w:rsidR="008044FA" w:rsidRPr="00FF6E12">
        <w:t xml:space="preserve"> 635 &lt;</w:t>
      </w:r>
      <w:r w:rsidR="008044FA" w:rsidRPr="00A920EC">
        <w:t>https://doi.org/10.1177/10790632241309631</w:t>
      </w:r>
      <w:r w:rsidR="008044FA" w:rsidRPr="00FF6E12">
        <w:t>&gt;</w:t>
      </w:r>
      <w:r w:rsidRPr="00FF6E12">
        <w:t>.</w:t>
      </w:r>
    </w:p>
  </w:footnote>
  <w:footnote w:id="225">
    <w:p w14:paraId="0991C3D8" w14:textId="1E328235" w:rsidR="00695636" w:rsidRPr="00FF6E12" w:rsidRDefault="00695636" w:rsidP="00D817F8">
      <w:pPr>
        <w:pStyle w:val="FootnoteText"/>
      </w:pPr>
      <w:r w:rsidRPr="00FF6E12">
        <w:rPr>
          <w:rStyle w:val="FootnoteReference"/>
        </w:rPr>
        <w:footnoteRef/>
      </w:r>
      <w:r w:rsidRPr="00FF6E12">
        <w:t xml:space="preserve"> </w:t>
      </w:r>
      <w:r w:rsidR="008044FA" w:rsidRPr="00FF6E12">
        <w:t>Ibid</w:t>
      </w:r>
      <w:r w:rsidRPr="00FF6E12">
        <w:t xml:space="preserve"> </w:t>
      </w:r>
      <w:r w:rsidR="008E265D">
        <w:t>646</w:t>
      </w:r>
      <w:r w:rsidRPr="00FF6E12">
        <w:t xml:space="preserve">, </w:t>
      </w:r>
      <w:r w:rsidR="003D4222">
        <w:t>651</w:t>
      </w:r>
      <w:r w:rsidRPr="00FF6E12">
        <w:t xml:space="preserve">. It was noted that </w:t>
      </w:r>
      <w:r w:rsidR="00B55C48">
        <w:t>t</w:t>
      </w:r>
      <w:r w:rsidRPr="00FF6E12">
        <w:t>his might suggest a ‘preference for direct contact for those having access to children in their immediate environment, yet it could also be attributed to a substantial number of online crimes going undetected by law enforcement. It is plausible that these individuals simply evaded the scrutiny of law enforcement as it relates to their online activities’</w:t>
      </w:r>
      <w:r w:rsidR="008044FA" w:rsidRPr="00FF6E12">
        <w:t>:</w:t>
      </w:r>
      <w:r w:rsidRPr="00FF6E12">
        <w:t xml:space="preserve"> </w:t>
      </w:r>
      <w:r w:rsidR="003D4222">
        <w:t>651</w:t>
      </w:r>
      <w:r w:rsidRPr="00FF6E12">
        <w:t>.</w:t>
      </w:r>
    </w:p>
  </w:footnote>
  <w:footnote w:id="226">
    <w:p w14:paraId="3812EC9E" w14:textId="39BFF34B" w:rsidR="00695636" w:rsidRPr="00FF6E12" w:rsidRDefault="00695636" w:rsidP="00D817F8">
      <w:pPr>
        <w:pStyle w:val="FootnoteText"/>
      </w:pPr>
      <w:r w:rsidRPr="00FF6E12">
        <w:rPr>
          <w:rStyle w:val="FootnoteReference"/>
          <w:rFonts w:cs="Times New Roman"/>
        </w:rPr>
        <w:footnoteRef/>
      </w:r>
      <w:r w:rsidRPr="00FF6E12">
        <w:t xml:space="preserve"> Kathleen Daly et al</w:t>
      </w:r>
      <w:r w:rsidR="008044FA" w:rsidRPr="00FF6E12">
        <w:t xml:space="preserve"> (n </w:t>
      </w:r>
      <w:r w:rsidR="008044FA" w:rsidRPr="00FF6E12">
        <w:fldChar w:fldCharType="begin"/>
      </w:r>
      <w:r w:rsidR="008044FA" w:rsidRPr="00FF6E12">
        <w:instrText xml:space="preserve"> NOTEREF _Ref217932366 \h </w:instrText>
      </w:r>
      <w:r w:rsidR="008044FA" w:rsidRPr="00FF6E12">
        <w:fldChar w:fldCharType="separate"/>
      </w:r>
      <w:r w:rsidR="007D7830">
        <w:t>208</w:t>
      </w:r>
      <w:r w:rsidR="008044FA" w:rsidRPr="00FF6E12">
        <w:fldChar w:fldCharType="end"/>
      </w:r>
      <w:r w:rsidR="008044FA" w:rsidRPr="00FF6E12">
        <w:t>)</w:t>
      </w:r>
      <w:r w:rsidRPr="00FF6E12">
        <w:t>.</w:t>
      </w:r>
    </w:p>
  </w:footnote>
  <w:footnote w:id="227">
    <w:p w14:paraId="490C3740" w14:textId="6EED44D0" w:rsidR="00695636" w:rsidRPr="00FF6E12" w:rsidRDefault="00695636" w:rsidP="00D817F8">
      <w:pPr>
        <w:pStyle w:val="FootnoteText"/>
      </w:pPr>
      <w:r w:rsidRPr="00FF6E12">
        <w:rPr>
          <w:rStyle w:val="FootnoteReference"/>
        </w:rPr>
        <w:footnoteRef/>
      </w:r>
      <w:r w:rsidRPr="00FF6E12">
        <w:t xml:space="preserve"> </w:t>
      </w:r>
      <w:r w:rsidR="00DF4D72">
        <w:t xml:space="preserve">Lesley </w:t>
      </w:r>
      <w:r w:rsidRPr="005748CD">
        <w:t xml:space="preserve">Laing L et al, </w:t>
      </w:r>
      <w:r w:rsidR="00253F8C" w:rsidRPr="005748CD">
        <w:t>Recidivism following Community Based treatment for Non-</w:t>
      </w:r>
      <w:r w:rsidR="001E3FE9" w:rsidRPr="005748CD">
        <w:t>adjudicated</w:t>
      </w:r>
      <w:r w:rsidR="00253F8C" w:rsidRPr="005748CD">
        <w:t xml:space="preserve"> Young People with Sexually Abusive </w:t>
      </w:r>
      <w:r w:rsidR="001E3FE9" w:rsidRPr="005748CD">
        <w:t>Behaviours</w:t>
      </w:r>
      <w:r w:rsidR="00253F8C" w:rsidRPr="005748CD">
        <w:t xml:space="preserve">’ (2014) 6(1) </w:t>
      </w:r>
      <w:r w:rsidR="001E3FE9" w:rsidRPr="005748CD">
        <w:rPr>
          <w:i/>
          <w:iCs/>
        </w:rPr>
        <w:t xml:space="preserve">Sexual Abuse in Australia and New Zealand </w:t>
      </w:r>
      <w:r w:rsidR="005748CD" w:rsidRPr="005748CD">
        <w:t xml:space="preserve">38, </w:t>
      </w:r>
      <w:r w:rsidRPr="005748CD">
        <w:t>43.</w:t>
      </w:r>
    </w:p>
  </w:footnote>
  <w:footnote w:id="228">
    <w:p w14:paraId="74B06185" w14:textId="687EB042" w:rsidR="00695636" w:rsidRPr="00FF6E12" w:rsidRDefault="00695636" w:rsidP="00D817F8">
      <w:pPr>
        <w:pStyle w:val="FootnoteText"/>
      </w:pPr>
      <w:r w:rsidRPr="00FF6E12">
        <w:rPr>
          <w:rStyle w:val="FootnoteReference"/>
        </w:rPr>
        <w:footnoteRef/>
      </w:r>
      <w:r w:rsidRPr="00FF6E12">
        <w:t xml:space="preserve"> Stefan Luebbers et al, ‘Appendix 3: Understanding and Intervening with Youth Offenders: Literature Review’ in </w:t>
      </w:r>
      <w:r w:rsidR="00B46278" w:rsidRPr="00FF6E12">
        <w:t xml:space="preserve">Penny </w:t>
      </w:r>
      <w:r w:rsidRPr="00FF6E12">
        <w:t xml:space="preserve">Armytage and </w:t>
      </w:r>
      <w:r w:rsidR="00B46278" w:rsidRPr="00FF6E12">
        <w:t xml:space="preserve">James </w:t>
      </w:r>
      <w:r w:rsidRPr="00FF6E12">
        <w:t xml:space="preserve">Ogloff, </w:t>
      </w:r>
      <w:r w:rsidRPr="00FF6E12">
        <w:rPr>
          <w:i/>
          <w:iCs/>
        </w:rPr>
        <w:t xml:space="preserve">Youth Justice Review and Strategy: Meeting Needs and Reducing Reoffending – Appendices </w:t>
      </w:r>
      <w:r w:rsidRPr="00FF6E12">
        <w:t>(</w:t>
      </w:r>
      <w:r w:rsidR="00B46278" w:rsidRPr="00FF6E12">
        <w:t xml:space="preserve">Victoria, Department of Justice and Regulation, </w:t>
      </w:r>
      <w:r w:rsidRPr="00FF6E12">
        <w:t>July 2017) 29.</w:t>
      </w:r>
    </w:p>
  </w:footnote>
  <w:footnote w:id="229">
    <w:p w14:paraId="2D9A3244" w14:textId="6FEBD809" w:rsidR="00695636" w:rsidRPr="00FF6E12" w:rsidRDefault="00695636" w:rsidP="00D817F8">
      <w:pPr>
        <w:pStyle w:val="FootnoteText"/>
      </w:pPr>
      <w:r w:rsidRPr="00FF6E12">
        <w:rPr>
          <w:rStyle w:val="FootnoteReference"/>
        </w:rPr>
        <w:footnoteRef/>
      </w:r>
      <w:r w:rsidRPr="00FF6E12">
        <w:t xml:space="preserve"> </w:t>
      </w:r>
      <w:r w:rsidR="00B46278" w:rsidRPr="00FF6E12">
        <w:t>Royal Commission into Institutional Responses to Child Sexual Abuse (n 13) vol 10</w:t>
      </w:r>
      <w:r w:rsidR="000D65A0" w:rsidRPr="00FF6E12">
        <w:t xml:space="preserve"> </w:t>
      </w:r>
      <w:r w:rsidRPr="00FF6E12">
        <w:t xml:space="preserve">[2.10.2]; Nadine McKillop et al, </w:t>
      </w:r>
      <w:r w:rsidR="00B46278" w:rsidRPr="00FF6E12">
        <w:t>‘</w:t>
      </w:r>
      <w:r w:rsidRPr="00FF6E12">
        <w:t>Understanding and preventing the onset of child sexual abuse in adolescence and adulthood</w:t>
      </w:r>
      <w:r w:rsidR="00B46278" w:rsidRPr="00FF6E12">
        <w:t>’</w:t>
      </w:r>
      <w:r w:rsidRPr="00FF6E12">
        <w:t xml:space="preserve"> (2018) 554 </w:t>
      </w:r>
      <w:r w:rsidRPr="00FF6E12">
        <w:rPr>
          <w:i/>
        </w:rPr>
        <w:t>Trends and Issues in Crime and Criminal Justice</w:t>
      </w:r>
      <w:r w:rsidRPr="00FF6E12">
        <w:t xml:space="preserve"> 1</w:t>
      </w:r>
      <w:r w:rsidR="00B46278" w:rsidRPr="00FF6E12">
        <w:t>–</w:t>
      </w:r>
      <w:r w:rsidRPr="00FF6E12">
        <w:t>13.</w:t>
      </w:r>
    </w:p>
  </w:footnote>
  <w:footnote w:id="230">
    <w:p w14:paraId="0F87136D" w14:textId="611C565A" w:rsidR="00695636" w:rsidRPr="00FF6E12" w:rsidRDefault="00695636" w:rsidP="00D817F8">
      <w:pPr>
        <w:pStyle w:val="FootnoteText"/>
      </w:pPr>
      <w:r w:rsidRPr="00FF6E12">
        <w:rPr>
          <w:rStyle w:val="FootnoteReference"/>
          <w:rFonts w:cs="Times New Roman"/>
        </w:rPr>
        <w:footnoteRef/>
      </w:r>
      <w:r w:rsidRPr="00FF6E12">
        <w:t xml:space="preserve"> Nadine McKillop et al, </w:t>
      </w:r>
      <w:r w:rsidR="00B46278" w:rsidRPr="00FF6E12">
        <w:t>‘</w:t>
      </w:r>
      <w:r w:rsidRPr="00FF6E12">
        <w:t>Similarities and differences in adolescence-onset versus adulthood-onset sexual abuse incidents</w:t>
      </w:r>
      <w:r w:rsidR="00B46278" w:rsidRPr="00FF6E12">
        <w:t>’</w:t>
      </w:r>
      <w:r w:rsidRPr="00FF6E12">
        <w:t xml:space="preserve"> (2015) 46(August) </w:t>
      </w:r>
      <w:r w:rsidRPr="00FF6E12">
        <w:rPr>
          <w:i/>
        </w:rPr>
        <w:t>Child Abuse &amp; Neglect</w:t>
      </w:r>
      <w:r w:rsidRPr="00FF6E12">
        <w:t xml:space="preserve"> 37</w:t>
      </w:r>
      <w:r w:rsidR="00B46278" w:rsidRPr="00FF6E12">
        <w:t>–</w:t>
      </w:r>
      <w:r w:rsidRPr="00FF6E12">
        <w:t xml:space="preserve">46. </w:t>
      </w:r>
      <w:r w:rsidR="007868A9" w:rsidRPr="00FF6E12">
        <w:t xml:space="preserve">See also Franklin E Zimring et al </w:t>
      </w:r>
      <w:r w:rsidR="00B46278" w:rsidRPr="00FF6E12">
        <w:t xml:space="preserve">(n </w:t>
      </w:r>
      <w:r w:rsidR="00B46278" w:rsidRPr="00FF6E12">
        <w:fldChar w:fldCharType="begin"/>
      </w:r>
      <w:r w:rsidR="00B46278" w:rsidRPr="00FF6E12">
        <w:instrText xml:space="preserve"> NOTEREF _Ref217976705 \h </w:instrText>
      </w:r>
      <w:r w:rsidR="00B46278" w:rsidRPr="00FF6E12">
        <w:fldChar w:fldCharType="separate"/>
      </w:r>
      <w:r w:rsidR="007D7830">
        <w:t>222</w:t>
      </w:r>
      <w:r w:rsidR="00B46278" w:rsidRPr="00FF6E12">
        <w:fldChar w:fldCharType="end"/>
      </w:r>
      <w:r w:rsidR="00B46278" w:rsidRPr="00FF6E12">
        <w:t>)</w:t>
      </w:r>
      <w:r w:rsidR="007868A9" w:rsidRPr="00FF6E12">
        <w:t>.</w:t>
      </w:r>
    </w:p>
  </w:footnote>
  <w:footnote w:id="231">
    <w:p w14:paraId="4C010354" w14:textId="6F92E17D" w:rsidR="00695636" w:rsidRPr="00FF6E12" w:rsidRDefault="00695636" w:rsidP="00D817F8">
      <w:pPr>
        <w:pStyle w:val="FootnoteText"/>
      </w:pPr>
      <w:r w:rsidRPr="00FF6E12">
        <w:rPr>
          <w:rStyle w:val="FootnoteReference"/>
          <w:rFonts w:cs="Times New Roman"/>
        </w:rPr>
        <w:footnoteRef/>
      </w:r>
      <w:r w:rsidRPr="00FF6E12">
        <w:t xml:space="preserve"> Timea Molnar et al, </w:t>
      </w:r>
      <w:r w:rsidR="00B46278" w:rsidRPr="00FF6E12">
        <w:t>‘</w:t>
      </w:r>
      <w:r w:rsidRPr="00FF6E12">
        <w:t>Patterns of rearrest for Aboriginal and/or Torres St</w:t>
      </w:r>
      <w:r w:rsidR="00D0786A">
        <w:t>r</w:t>
      </w:r>
      <w:r w:rsidRPr="00FF6E12">
        <w:t>ait Islander and non-Indigenous youth who have sexually harmed</w:t>
      </w:r>
      <w:r w:rsidR="00B46278" w:rsidRPr="00FF6E12">
        <w:t>’</w:t>
      </w:r>
      <w:r w:rsidRPr="00FF6E12">
        <w:t xml:space="preserve"> (2021) 27(2) </w:t>
      </w:r>
      <w:r w:rsidRPr="00FF6E12">
        <w:rPr>
          <w:i/>
        </w:rPr>
        <w:t>Journal of Sexual Aggression</w:t>
      </w:r>
      <w:r w:rsidRPr="00FF6E12">
        <w:t xml:space="preserve"> 167</w:t>
      </w:r>
      <w:r w:rsidR="00B46278" w:rsidRPr="00FF6E12">
        <w:t>–</w:t>
      </w:r>
      <w:r w:rsidRPr="00FF6E12">
        <w:t xml:space="preserve">184. Over a </w:t>
      </w:r>
      <w:r w:rsidR="00D0786A" w:rsidRPr="00FF6E12">
        <w:t>ten-year</w:t>
      </w:r>
      <w:r w:rsidRPr="00FF6E12">
        <w:t xml:space="preserve"> period, with intervals at one, two, five, seven and ten</w:t>
      </w:r>
      <w:r w:rsidR="00B46278" w:rsidRPr="00FF6E12">
        <w:t xml:space="preserve"> </w:t>
      </w:r>
      <w:r w:rsidRPr="00FF6E12">
        <w:t>years, the number of young people rearrested for a sexual offence increased from 2 to 8 at five</w:t>
      </w:r>
      <w:r w:rsidR="00B46278" w:rsidRPr="00FF6E12">
        <w:t xml:space="preserve"> </w:t>
      </w:r>
      <w:r w:rsidRPr="00FF6E12">
        <w:t>years before reducing to 3 at ten</w:t>
      </w:r>
      <w:r w:rsidR="00B46278" w:rsidRPr="00FF6E12">
        <w:t xml:space="preserve"> </w:t>
      </w:r>
      <w:r w:rsidRPr="00FF6E12">
        <w:t>years.</w:t>
      </w:r>
    </w:p>
  </w:footnote>
  <w:footnote w:id="232">
    <w:p w14:paraId="5DE99956" w14:textId="6D415836" w:rsidR="00695636" w:rsidRPr="00FF6E12" w:rsidRDefault="00695636" w:rsidP="00D817F8">
      <w:pPr>
        <w:pStyle w:val="FootnoteText"/>
      </w:pPr>
      <w:r w:rsidRPr="00FF6E12">
        <w:rPr>
          <w:rStyle w:val="FootnoteReference"/>
          <w:rFonts w:cs="Times New Roman"/>
        </w:rPr>
        <w:footnoteRef/>
      </w:r>
      <w:r w:rsidRPr="00FF6E12">
        <w:t xml:space="preserve"> See Chris Cunneen, </w:t>
      </w:r>
      <w:r w:rsidR="00B46278" w:rsidRPr="00FF6E12">
        <w:t>‘</w:t>
      </w:r>
      <w:r w:rsidRPr="00FF6E12">
        <w:t>Bringing them home and the contemporary criminalisation of Indigenous young people</w:t>
      </w:r>
      <w:r w:rsidR="00B46278" w:rsidRPr="00FF6E12">
        <w:t>’</w:t>
      </w:r>
      <w:r w:rsidRPr="00FF6E12">
        <w:t xml:space="preserve"> (2008) 12(Special Edition) </w:t>
      </w:r>
      <w:r w:rsidRPr="00FF6E12">
        <w:rPr>
          <w:i/>
        </w:rPr>
        <w:t>Australian Indigenous Law Review</w:t>
      </w:r>
      <w:r w:rsidRPr="00FF6E12">
        <w:t xml:space="preserve"> 46</w:t>
      </w:r>
      <w:r w:rsidR="00B46278" w:rsidRPr="00FF6E12">
        <w:t>–</w:t>
      </w:r>
      <w:r w:rsidRPr="00FF6E12">
        <w:t xml:space="preserve">54; Harry Blagg, </w:t>
      </w:r>
      <w:r w:rsidRPr="00FF6E12">
        <w:rPr>
          <w:i/>
        </w:rPr>
        <w:t>Crime, Aboriginality and the Decolonisation of Justice</w:t>
      </w:r>
      <w:r w:rsidRPr="00FF6E12">
        <w:t xml:space="preserve"> (The Federation Press, 2nd ed, 2016).</w:t>
      </w:r>
    </w:p>
  </w:footnote>
  <w:footnote w:id="233">
    <w:p w14:paraId="21064816" w14:textId="79E04779" w:rsidR="00695636" w:rsidRPr="00FF6E12" w:rsidRDefault="00695636" w:rsidP="00D817F8">
      <w:pPr>
        <w:pStyle w:val="FootnoteText"/>
      </w:pPr>
      <w:r w:rsidRPr="00FF6E12">
        <w:rPr>
          <w:rStyle w:val="FootnoteReference"/>
          <w:rFonts w:cs="Times New Roman"/>
        </w:rPr>
        <w:footnoteRef/>
      </w:r>
      <w:r w:rsidR="002A5AAD">
        <w:t xml:space="preserve"> </w:t>
      </w:r>
      <w:r w:rsidR="00B46278" w:rsidRPr="00FF6E12">
        <w:t xml:space="preserve">Franklin E Zimring et al (n </w:t>
      </w:r>
      <w:r w:rsidR="00B46278" w:rsidRPr="00FF6E12">
        <w:fldChar w:fldCharType="begin"/>
      </w:r>
      <w:r w:rsidR="00B46278" w:rsidRPr="00FF6E12">
        <w:instrText xml:space="preserve"> NOTEREF _Ref217976705 \h </w:instrText>
      </w:r>
      <w:r w:rsidR="00B46278" w:rsidRPr="00FF6E12">
        <w:fldChar w:fldCharType="separate"/>
      </w:r>
      <w:r w:rsidR="007D7830">
        <w:t>222</w:t>
      </w:r>
      <w:r w:rsidR="00B46278" w:rsidRPr="00FF6E12">
        <w:fldChar w:fldCharType="end"/>
      </w:r>
      <w:r w:rsidR="00B46278" w:rsidRPr="00FF6E12">
        <w:t>)</w:t>
      </w:r>
      <w:r w:rsidRPr="00FF6E12">
        <w:t>; Nadine McKillop et al</w:t>
      </w:r>
      <w:r w:rsidR="00B46278" w:rsidRPr="00FF6E12">
        <w:t xml:space="preserve"> (n </w:t>
      </w:r>
      <w:r w:rsidR="00B46278" w:rsidRPr="00FF6E12">
        <w:fldChar w:fldCharType="begin"/>
      </w:r>
      <w:r w:rsidR="00B46278" w:rsidRPr="00FF6E12">
        <w:instrText xml:space="preserve"> NOTEREF _Ref217976881 \h </w:instrText>
      </w:r>
      <w:r w:rsidR="00B46278" w:rsidRPr="00FF6E12">
        <w:fldChar w:fldCharType="separate"/>
      </w:r>
      <w:r w:rsidR="007D7830">
        <w:t>228</w:t>
      </w:r>
      <w:r w:rsidR="00B46278" w:rsidRPr="00FF6E12">
        <w:fldChar w:fldCharType="end"/>
      </w:r>
      <w:r w:rsidR="00B46278" w:rsidRPr="00FF6E12">
        <w:t>)</w:t>
      </w:r>
      <w:r w:rsidRPr="00FF6E12">
        <w:t xml:space="preserve">. See Appendix </w:t>
      </w:r>
      <w:r w:rsidR="00522EE9" w:rsidRPr="00FF6E12">
        <w:t>E</w:t>
      </w:r>
      <w:r w:rsidR="003A65D2" w:rsidRPr="00FF6E12">
        <w:t xml:space="preserve"> </w:t>
      </w:r>
      <w:r w:rsidRPr="00FF6E12">
        <w:t>for a discussion of the typology of youth sexual offenders.</w:t>
      </w:r>
    </w:p>
  </w:footnote>
  <w:footnote w:id="234">
    <w:p w14:paraId="0908290C" w14:textId="22D4E311" w:rsidR="00695636" w:rsidRPr="00FF6E12" w:rsidRDefault="00695636" w:rsidP="00D817F8">
      <w:pPr>
        <w:pStyle w:val="FootnoteText"/>
      </w:pPr>
      <w:r w:rsidRPr="00FF6E12">
        <w:rPr>
          <w:rStyle w:val="FootnoteReference"/>
        </w:rPr>
        <w:footnoteRef/>
      </w:r>
      <w:r w:rsidRPr="00FF6E12">
        <w:t xml:space="preserve"> TSAC, </w:t>
      </w:r>
      <w:r w:rsidRPr="00FF6E12">
        <w:rPr>
          <w:i/>
          <w:iCs/>
        </w:rPr>
        <w:t xml:space="preserve">Mandatory Treatment for Sex Offenders </w:t>
      </w:r>
      <w:r w:rsidRPr="00FF6E12">
        <w:t xml:space="preserve">(Research Paper </w:t>
      </w:r>
      <w:r w:rsidR="0060474D" w:rsidRPr="00FF6E12">
        <w:t>n</w:t>
      </w:r>
      <w:r w:rsidR="000912E3" w:rsidRPr="00FF6E12">
        <w:t>o</w:t>
      </w:r>
      <w:r w:rsidRPr="00FF6E12">
        <w:t xml:space="preserve"> 1, 2016) [2.4].</w:t>
      </w:r>
    </w:p>
  </w:footnote>
  <w:footnote w:id="235">
    <w:p w14:paraId="191B558D" w14:textId="2BF85BC3" w:rsidR="00695636" w:rsidRPr="00FF6E12" w:rsidRDefault="00695636" w:rsidP="00D817F8">
      <w:pPr>
        <w:pStyle w:val="FootnoteText"/>
      </w:pPr>
      <w:r w:rsidRPr="00FF6E12">
        <w:rPr>
          <w:rStyle w:val="FootnoteReference"/>
        </w:rPr>
        <w:footnoteRef/>
      </w:r>
      <w:r w:rsidRPr="00FF6E12">
        <w:t xml:space="preserve"> </w:t>
      </w:r>
      <w:r w:rsidR="00B46278" w:rsidRPr="00FF6E12">
        <w:t>See Royal Commission into Institutional Responses to Child Sexual Abuse (n 13) vol 10</w:t>
      </w:r>
      <w:r w:rsidR="000D65A0" w:rsidRPr="00FF6E12">
        <w:t xml:space="preserve"> </w:t>
      </w:r>
      <w:r w:rsidRPr="00FF6E12">
        <w:t>[2.10.2]</w:t>
      </w:r>
      <w:r w:rsidR="00B46278" w:rsidRPr="00FF6E12">
        <w:t>,</w:t>
      </w:r>
      <w:r w:rsidRPr="00FF6E12">
        <w:t xml:space="preserve"> providing an overview of the relevant studies. See further </w:t>
      </w:r>
      <w:r w:rsidR="000D65A0" w:rsidRPr="00FF6E12">
        <w:t>[</w:t>
      </w:r>
      <w:r w:rsidR="000B05FE" w:rsidRPr="00FF6E12">
        <w:t xml:space="preserve">3.5]; </w:t>
      </w:r>
      <w:r w:rsidR="00B46278" w:rsidRPr="00FF6E12">
        <w:t xml:space="preserve">see </w:t>
      </w:r>
      <w:r w:rsidR="000B05FE" w:rsidRPr="00FF6E12">
        <w:t xml:space="preserve">Appendix </w:t>
      </w:r>
      <w:r w:rsidR="00522EE9" w:rsidRPr="00FF6E12">
        <w:t>F</w:t>
      </w:r>
      <w:r w:rsidR="000B05FE" w:rsidRPr="00FF6E12">
        <w:t xml:space="preserve"> </w:t>
      </w:r>
      <w:r w:rsidRPr="00FF6E12">
        <w:t>for discussion of effectiveness of therapeutic interventions.</w:t>
      </w:r>
    </w:p>
  </w:footnote>
  <w:footnote w:id="236">
    <w:p w14:paraId="48ADD1CC" w14:textId="3E54D784" w:rsidR="00695636" w:rsidRPr="00FF6E12" w:rsidRDefault="00695636" w:rsidP="00D817F8">
      <w:pPr>
        <w:pStyle w:val="FootnoteText"/>
      </w:pPr>
      <w:r w:rsidRPr="00FF6E12">
        <w:rPr>
          <w:rStyle w:val="FootnoteReference"/>
        </w:rPr>
        <w:footnoteRef/>
      </w:r>
      <w:r w:rsidRPr="00FF6E12">
        <w:t xml:space="preserve"> </w:t>
      </w:r>
      <w:r w:rsidR="00B46278" w:rsidRPr="00FF6E12">
        <w:t>Royal Commission into Institutional Responses to Child Sexual Abuse (n 13)</w:t>
      </w:r>
      <w:r w:rsidR="00573142">
        <w:t xml:space="preserve"> vol 1</w:t>
      </w:r>
      <w:r w:rsidR="00B46278" w:rsidRPr="00FF6E12">
        <w:t xml:space="preserve"> </w:t>
      </w:r>
      <w:r w:rsidRPr="00FF6E12">
        <w:rPr>
          <w:i/>
          <w:iCs/>
        </w:rPr>
        <w:t>Preface and Executive Summary</w:t>
      </w:r>
      <w:r w:rsidRPr="00FF6E12">
        <w:t>,</w:t>
      </w:r>
      <w:r w:rsidR="00B46278" w:rsidRPr="00FF6E12">
        <w:t xml:space="preserve"> </w:t>
      </w:r>
      <w:r w:rsidRPr="00FF6E12">
        <w:t>36</w:t>
      </w:r>
      <w:r w:rsidR="00573142">
        <w:t>.</w:t>
      </w:r>
    </w:p>
  </w:footnote>
  <w:footnote w:id="237">
    <w:p w14:paraId="4F565534" w14:textId="4F92B670" w:rsidR="00695636" w:rsidRPr="00FF6E12" w:rsidRDefault="00695636" w:rsidP="00D817F8">
      <w:pPr>
        <w:pStyle w:val="FootnoteText"/>
      </w:pPr>
      <w:r w:rsidRPr="00FF6E12">
        <w:rPr>
          <w:rStyle w:val="FootnoteReference"/>
        </w:rPr>
        <w:footnoteRef/>
      </w:r>
      <w:r w:rsidRPr="00FF6E12">
        <w:t xml:space="preserve"> </w:t>
      </w:r>
      <w:r w:rsidR="00B46278" w:rsidRPr="00FF6E12">
        <w:t xml:space="preserve">Tasmanian </w:t>
      </w:r>
      <w:r w:rsidR="00483EF6" w:rsidRPr="00FF6E12">
        <w:t xml:space="preserve">Commission of Inquiry </w:t>
      </w:r>
      <w:r w:rsidR="00B46278" w:rsidRPr="00FF6E12">
        <w:t xml:space="preserve">(n </w:t>
      </w:r>
      <w:r w:rsidR="00B46278" w:rsidRPr="00FF6E12">
        <w:fldChar w:fldCharType="begin"/>
      </w:r>
      <w:r w:rsidR="00B46278" w:rsidRPr="00FF6E12">
        <w:instrText xml:space="preserve"> NOTEREF _Ref217902008 \h </w:instrText>
      </w:r>
      <w:r w:rsidR="00B46278" w:rsidRPr="00FF6E12">
        <w:fldChar w:fldCharType="separate"/>
      </w:r>
      <w:r w:rsidR="007D7830">
        <w:t>9</w:t>
      </w:r>
      <w:r w:rsidR="00B46278" w:rsidRPr="00FF6E12">
        <w:fldChar w:fldCharType="end"/>
      </w:r>
      <w:r w:rsidR="00B46278" w:rsidRPr="00FF6E12">
        <w:t xml:space="preserve">) </w:t>
      </w:r>
      <w:r w:rsidRPr="00FF6E12">
        <w:t>vol 7 ch 1</w:t>
      </w:r>
      <w:r w:rsidR="00FE2CE0" w:rsidRPr="00FF6E12">
        <w:t xml:space="preserve"> </w:t>
      </w:r>
      <w:r w:rsidR="00483EF6" w:rsidRPr="00FF6E12">
        <w:t>[</w:t>
      </w:r>
      <w:r w:rsidRPr="00FF6E12">
        <w:t>6 8</w:t>
      </w:r>
      <w:r w:rsidR="00483EF6" w:rsidRPr="00FF6E12">
        <w:t>]</w:t>
      </w:r>
      <w:r w:rsidR="00B46278" w:rsidRPr="00FF6E12">
        <w:t xml:space="preserve"> </w:t>
      </w:r>
      <w:r w:rsidRPr="00FF6E12">
        <w:t>citation omitted.</w:t>
      </w:r>
    </w:p>
  </w:footnote>
  <w:footnote w:id="238">
    <w:p w14:paraId="3E0F7A6A" w14:textId="71C75275" w:rsidR="00695636" w:rsidRPr="00FF6E12" w:rsidRDefault="00695636" w:rsidP="00A920EC">
      <w:pPr>
        <w:pStyle w:val="FootnoteText"/>
      </w:pPr>
      <w:r w:rsidRPr="00FF6E12">
        <w:rPr>
          <w:rStyle w:val="FootnoteReference"/>
        </w:rPr>
        <w:footnoteRef/>
      </w:r>
      <w:r w:rsidRPr="00FF6E12">
        <w:t xml:space="preserve"> </w:t>
      </w:r>
      <w:r w:rsidR="00520A56" w:rsidRPr="00FF6E12">
        <w:t>Hackett</w:t>
      </w:r>
      <w:r w:rsidR="00E650C2" w:rsidRPr="00FF6E12">
        <w:t xml:space="preserve"> et al (n </w:t>
      </w:r>
      <w:r w:rsidR="00E650C2" w:rsidRPr="00FF6E12">
        <w:fldChar w:fldCharType="begin"/>
      </w:r>
      <w:r w:rsidR="00E650C2" w:rsidRPr="00FF6E12">
        <w:instrText xml:space="preserve"> NOTEREF _Ref217977090 \h </w:instrText>
      </w:r>
      <w:r w:rsidR="00E650C2" w:rsidRPr="00FF6E12">
        <w:fldChar w:fldCharType="separate"/>
      </w:r>
      <w:r w:rsidR="007D7830">
        <w:t>5</w:t>
      </w:r>
      <w:r w:rsidR="00E650C2" w:rsidRPr="00FF6E12">
        <w:fldChar w:fldCharType="end"/>
      </w:r>
      <w:r w:rsidR="00E650C2" w:rsidRPr="00FF6E12">
        <w:t>)</w:t>
      </w:r>
      <w:r w:rsidR="00520A56" w:rsidRPr="00FF6E12">
        <w:t>.</w:t>
      </w:r>
    </w:p>
  </w:footnote>
  <w:footnote w:id="239">
    <w:p w14:paraId="72D81C22" w14:textId="29840F66" w:rsidR="00695636" w:rsidRPr="00FF6E12" w:rsidRDefault="00695636">
      <w:pPr>
        <w:pStyle w:val="FootnoteText"/>
      </w:pPr>
      <w:r w:rsidRPr="00FF6E12">
        <w:rPr>
          <w:rStyle w:val="FootnoteReference"/>
        </w:rPr>
        <w:footnoteRef/>
      </w:r>
      <w:r w:rsidRPr="00FF6E12">
        <w:t xml:space="preserve"> </w:t>
      </w:r>
      <w:r w:rsidR="00E650C2" w:rsidRPr="00FF6E12">
        <w:t xml:space="preserve">Alexander et al </w:t>
      </w:r>
      <w:r w:rsidR="00CD518B" w:rsidRPr="00FF6E12">
        <w:t xml:space="preserve">(n </w:t>
      </w:r>
      <w:r w:rsidR="00CD518B" w:rsidRPr="00FF6E12">
        <w:fldChar w:fldCharType="begin"/>
      </w:r>
      <w:r w:rsidR="00CD518B" w:rsidRPr="00FF6E12">
        <w:instrText xml:space="preserve"> NOTEREF _Ref217980275 \h </w:instrText>
      </w:r>
      <w:r w:rsidR="00CD518B" w:rsidRPr="00FF6E12">
        <w:fldChar w:fldCharType="separate"/>
      </w:r>
      <w:r w:rsidR="007D7830">
        <w:t>181</w:t>
      </w:r>
      <w:r w:rsidR="00CD518B" w:rsidRPr="00FF6E12">
        <w:fldChar w:fldCharType="end"/>
      </w:r>
      <w:r w:rsidR="00CD518B" w:rsidRPr="00FF6E12">
        <w:t>).</w:t>
      </w:r>
    </w:p>
  </w:footnote>
  <w:footnote w:id="240">
    <w:p w14:paraId="67BC2635" w14:textId="6A3363FE" w:rsidR="00695636" w:rsidRPr="00FF6E12" w:rsidRDefault="00695636">
      <w:pPr>
        <w:pStyle w:val="FootnoteText"/>
      </w:pPr>
      <w:r w:rsidRPr="00FF6E12">
        <w:rPr>
          <w:rStyle w:val="FootnoteReference"/>
        </w:rPr>
        <w:footnoteRef/>
      </w:r>
      <w:r w:rsidR="00F02C2D" w:rsidRPr="00FF6E12">
        <w:t xml:space="preserve"> </w:t>
      </w:r>
      <w:r w:rsidR="00AE2FDE" w:rsidRPr="00FF6E12">
        <w:t>Mathews et al</w:t>
      </w:r>
      <w:r w:rsidR="00F02C2D" w:rsidRPr="00FF6E12">
        <w:t xml:space="preserve"> (n </w:t>
      </w:r>
      <w:r w:rsidR="00F02C2D" w:rsidRPr="00FF6E12">
        <w:fldChar w:fldCharType="begin"/>
      </w:r>
      <w:r w:rsidR="00F02C2D" w:rsidRPr="00FF6E12">
        <w:instrText xml:space="preserve"> NOTEREF _Ref217901142 \h </w:instrText>
      </w:r>
      <w:r w:rsidR="00F02C2D" w:rsidRPr="00FF6E12">
        <w:fldChar w:fldCharType="separate"/>
      </w:r>
      <w:r w:rsidR="007D7830">
        <w:t>2</w:t>
      </w:r>
      <w:r w:rsidR="00F02C2D" w:rsidRPr="00FF6E12">
        <w:fldChar w:fldCharType="end"/>
      </w:r>
      <w:r w:rsidR="00F02C2D" w:rsidRPr="00FF6E12">
        <w:t>)</w:t>
      </w:r>
      <w:r w:rsidR="00AE2FDE" w:rsidRPr="00FF6E12">
        <w:t>.</w:t>
      </w:r>
    </w:p>
  </w:footnote>
  <w:footnote w:id="241">
    <w:p w14:paraId="40457409" w14:textId="188334F0" w:rsidR="00695636" w:rsidRPr="00FF6E12" w:rsidRDefault="00695636" w:rsidP="00A920EC">
      <w:pPr>
        <w:pStyle w:val="FootnoteText"/>
      </w:pPr>
      <w:r w:rsidRPr="00FF6E12">
        <w:rPr>
          <w:rStyle w:val="FootnoteReference"/>
        </w:rPr>
        <w:footnoteRef/>
      </w:r>
      <w:r w:rsidRPr="00FF6E12">
        <w:t xml:space="preserve"> Relevant tasks included: Community Conference (CC), Community Service Undertaking (CSU), Bail Support Plan (BSP), Supported Bail (SBO), Deferred Sentence (DEF), Pre-Sentence Report (PSR), Release and Adjourn with Conditions (RAC), Probation Order (PRO), Suspended Detention Order (SDO), Community Service Order (CSO), Supervised Release order (SRO), Remand Order (RO), Detention Order (YDO), Prisoner on Remand (POR), </w:t>
      </w:r>
      <w:r w:rsidR="00E73B0A" w:rsidRPr="00FF6E12">
        <w:t xml:space="preserve">and </w:t>
      </w:r>
      <w:r w:rsidRPr="00FF6E12">
        <w:t>Prisoner on Sentence (POS).</w:t>
      </w:r>
    </w:p>
  </w:footnote>
  <w:footnote w:id="242">
    <w:p w14:paraId="43815097" w14:textId="4203FCDC" w:rsidR="00695636" w:rsidRPr="00FF6E12" w:rsidRDefault="00695636">
      <w:pPr>
        <w:pStyle w:val="FootnoteText"/>
      </w:pPr>
      <w:r w:rsidRPr="00FF6E12">
        <w:rPr>
          <w:rStyle w:val="FootnoteReference"/>
        </w:rPr>
        <w:footnoteRef/>
      </w:r>
      <w:r w:rsidRPr="00FF6E12">
        <w:t xml:space="preserve"> </w:t>
      </w:r>
      <w:r w:rsidR="00E73B0A" w:rsidRPr="00FF6E12">
        <w:t>Note</w:t>
      </w:r>
      <w:r w:rsidRPr="00FF6E12">
        <w:t xml:space="preserve"> that </w:t>
      </w:r>
      <w:r w:rsidR="00F02C2D" w:rsidRPr="00FF6E12">
        <w:t xml:space="preserve">the </w:t>
      </w:r>
      <w:r w:rsidRPr="00FF6E12">
        <w:t xml:space="preserve">offences included are </w:t>
      </w:r>
      <w:r w:rsidR="00F02C2D" w:rsidRPr="00FF6E12">
        <w:t xml:space="preserve">described </w:t>
      </w:r>
      <w:r w:rsidRPr="00FF6E12">
        <w:t>in the ANZSOC 2023 Division ‘03 Sexual Offences’. O</w:t>
      </w:r>
      <w:r w:rsidRPr="00A920EC">
        <w:t>ffence data is subject to data quality concerns and</w:t>
      </w:r>
      <w:r w:rsidR="00E73B0A" w:rsidRPr="00FF6E12">
        <w:t>,</w:t>
      </w:r>
      <w:r w:rsidRPr="00A920EC">
        <w:t xml:space="preserve"> as such</w:t>
      </w:r>
      <w:r w:rsidR="00E73B0A" w:rsidRPr="00FF6E12">
        <w:t>,</w:t>
      </w:r>
      <w:r w:rsidRPr="00A920EC">
        <w:t xml:space="preserve"> should be interpreted with a high degree of caution, especially in relation to repeat tasks. In addition,</w:t>
      </w:r>
      <w:r w:rsidRPr="00FF6E12">
        <w:t xml:space="preserve"> </w:t>
      </w:r>
      <w:r w:rsidRPr="00A920EC">
        <w:t>any YJIS task that commenced after the start of the base sexual offending task is included as a repeat task. Repeat task data should be interpreted with a high degree of caution and not compared to other sources.</w:t>
      </w:r>
    </w:p>
  </w:footnote>
  <w:footnote w:id="243">
    <w:p w14:paraId="2A6209BB" w14:textId="3B48C0DF" w:rsidR="00940B47" w:rsidRPr="00FF6E12" w:rsidRDefault="00940B47" w:rsidP="00A920EC">
      <w:pPr>
        <w:pStyle w:val="FootnoteText"/>
      </w:pPr>
      <w:r w:rsidRPr="00FF6E12">
        <w:rPr>
          <w:rStyle w:val="FootnoteReference"/>
        </w:rPr>
        <w:footnoteRef/>
      </w:r>
      <w:r w:rsidRPr="00FF6E12">
        <w:t xml:space="preserve"> </w:t>
      </w:r>
      <w:r w:rsidR="00AF356C" w:rsidRPr="00FF6E12">
        <w:t xml:space="preserve">Tasmanian Commission of Inquiry (n </w:t>
      </w:r>
      <w:r w:rsidR="00AF356C" w:rsidRPr="00FF6E12">
        <w:fldChar w:fldCharType="begin"/>
      </w:r>
      <w:r w:rsidR="00AF356C" w:rsidRPr="00FF6E12">
        <w:instrText xml:space="preserve"> NOTEREF _Ref217902008 \h </w:instrText>
      </w:r>
      <w:r w:rsidR="00AF356C" w:rsidRPr="00FF6E12">
        <w:fldChar w:fldCharType="separate"/>
      </w:r>
      <w:r w:rsidR="007D7830">
        <w:t>9</w:t>
      </w:r>
      <w:r w:rsidR="00AF356C" w:rsidRPr="00FF6E12">
        <w:fldChar w:fldCharType="end"/>
      </w:r>
      <w:r w:rsidR="00AF356C" w:rsidRPr="00FF6E12">
        <w:t>); Royal Commission into Institutional Responses to Child Sexual Abuse (n 13) vol 10</w:t>
      </w:r>
      <w:r w:rsidR="007D7BDC" w:rsidRPr="00FF6E12">
        <w:t xml:space="preserve"> </w:t>
      </w:r>
      <w:r w:rsidRPr="00FF6E12">
        <w:t>[4.1].</w:t>
      </w:r>
    </w:p>
  </w:footnote>
  <w:footnote w:id="244">
    <w:p w14:paraId="6807E9AF" w14:textId="671AFEA1" w:rsidR="00940B47" w:rsidRPr="00FF6E12" w:rsidRDefault="00940B47" w:rsidP="00A920EC">
      <w:pPr>
        <w:pStyle w:val="FootnoteText"/>
      </w:pPr>
      <w:r w:rsidRPr="00FF6E12">
        <w:rPr>
          <w:rStyle w:val="FootnoteReference"/>
        </w:rPr>
        <w:footnoteRef/>
      </w:r>
      <w:r w:rsidRPr="00FF6E12">
        <w:t xml:space="preserve"> </w:t>
      </w:r>
      <w:r w:rsidR="001332C7" w:rsidRPr="00FF6E12">
        <w:t>Ibid</w:t>
      </w:r>
      <w:r w:rsidR="00AF356C" w:rsidRPr="00FF6E12">
        <w:t xml:space="preserve"> vol</w:t>
      </w:r>
      <w:r w:rsidRPr="00FF6E12">
        <w:t xml:space="preserve"> 7 </w:t>
      </w:r>
      <w:r w:rsidR="00AF356C" w:rsidRPr="00FF6E12">
        <w:t xml:space="preserve">ch </w:t>
      </w:r>
      <w:r w:rsidRPr="00FF6E12">
        <w:t>16. See also Victorian Law Reform Commission</w:t>
      </w:r>
      <w:r w:rsidR="00AF356C" w:rsidRPr="00FF6E12">
        <w:t xml:space="preserve"> (‘VLRC’)</w:t>
      </w:r>
      <w:r w:rsidRPr="00FF6E12">
        <w:t xml:space="preserve">, </w:t>
      </w:r>
      <w:r w:rsidRPr="00A920EC">
        <w:rPr>
          <w:i/>
          <w:iCs/>
        </w:rPr>
        <w:t>Improving the Justice System Response to Sexual Offences</w:t>
      </w:r>
      <w:r w:rsidRPr="00FF6E12">
        <w:t xml:space="preserve"> (Report, 2021) Recommendation 32. See also </w:t>
      </w:r>
      <w:r w:rsidR="00AF356C" w:rsidRPr="00FF6E12">
        <w:t>Royal Commission into Institutional Responses to Child Sexual Abuse (n 13) vol 5</w:t>
      </w:r>
      <w:r w:rsidRPr="00FF6E12">
        <w:t xml:space="preserve"> </w:t>
      </w:r>
      <w:r w:rsidR="00AF356C" w:rsidRPr="00FF6E12">
        <w:t xml:space="preserve">ch </w:t>
      </w:r>
      <w:r w:rsidRPr="00FF6E12">
        <w:t>12</w:t>
      </w:r>
      <w:r w:rsidR="00AF356C" w:rsidRPr="00FF6E12">
        <w:t>.</w:t>
      </w:r>
    </w:p>
  </w:footnote>
  <w:footnote w:id="245">
    <w:p w14:paraId="129CC02C" w14:textId="595DA31A" w:rsidR="00940B47" w:rsidRPr="00FF6E12" w:rsidRDefault="00940B47" w:rsidP="00A920EC">
      <w:pPr>
        <w:pStyle w:val="FootnoteText"/>
      </w:pPr>
      <w:r w:rsidRPr="00FF6E12">
        <w:rPr>
          <w:rStyle w:val="FootnoteReference"/>
        </w:rPr>
        <w:footnoteRef/>
      </w:r>
      <w:r w:rsidRPr="00FF6E12">
        <w:t xml:space="preserve"> </w:t>
      </w:r>
      <w:r w:rsidR="0051390F" w:rsidRPr="00FF6E12">
        <w:t>DECYP</w:t>
      </w:r>
      <w:r w:rsidR="00AF356C" w:rsidRPr="00FF6E12">
        <w:t xml:space="preserve"> (n </w:t>
      </w:r>
      <w:r w:rsidR="00AF356C" w:rsidRPr="00FF6E12">
        <w:fldChar w:fldCharType="begin"/>
      </w:r>
      <w:r w:rsidR="00AF356C" w:rsidRPr="00FF6E12">
        <w:instrText xml:space="preserve"> NOTEREF _Ref217907385 \h </w:instrText>
      </w:r>
      <w:r w:rsidR="00AF356C" w:rsidRPr="00FF6E12">
        <w:fldChar w:fldCharType="separate"/>
      </w:r>
      <w:r w:rsidR="007D7830">
        <w:t>35</w:t>
      </w:r>
      <w:r w:rsidR="00AF356C" w:rsidRPr="00FF6E12">
        <w:fldChar w:fldCharType="end"/>
      </w:r>
      <w:r w:rsidR="00AF356C" w:rsidRPr="00FF6E12">
        <w:t>)</w:t>
      </w:r>
      <w:r w:rsidRPr="00FF6E12">
        <w:t>.</w:t>
      </w:r>
    </w:p>
  </w:footnote>
  <w:footnote w:id="246">
    <w:p w14:paraId="7813BE2B" w14:textId="2F2FC898" w:rsidR="00F62D14" w:rsidRPr="00FF6E12" w:rsidRDefault="00F62D14" w:rsidP="00A920EC">
      <w:pPr>
        <w:pStyle w:val="FootnoteText"/>
      </w:pPr>
      <w:r w:rsidRPr="00FF6E12">
        <w:rPr>
          <w:rStyle w:val="FootnoteReference"/>
        </w:rPr>
        <w:footnoteRef/>
      </w:r>
      <w:r w:rsidRPr="00FF6E12">
        <w:t xml:space="preserve"> </w:t>
      </w:r>
      <w:r w:rsidR="00AF356C" w:rsidRPr="00FF6E12">
        <w:t>Ibid</w:t>
      </w:r>
      <w:r w:rsidR="0051390F" w:rsidRPr="00FF6E12">
        <w:t xml:space="preserve"> T</w:t>
      </w:r>
      <w:r w:rsidRPr="00FF6E12">
        <w:t>heme 3.</w:t>
      </w:r>
    </w:p>
  </w:footnote>
  <w:footnote w:id="247">
    <w:p w14:paraId="22850ED6" w14:textId="6A91A6C7" w:rsidR="00940B47" w:rsidRPr="00FF6E12" w:rsidRDefault="00940B47" w:rsidP="00A920EC">
      <w:pPr>
        <w:pStyle w:val="FootnoteText"/>
      </w:pPr>
      <w:r w:rsidRPr="00FF6E12">
        <w:rPr>
          <w:rStyle w:val="FootnoteReference"/>
        </w:rPr>
        <w:footnoteRef/>
      </w:r>
      <w:r w:rsidRPr="00FF6E12">
        <w:t xml:space="preserve"> </w:t>
      </w:r>
      <w:r w:rsidR="00AF356C" w:rsidRPr="00FF6E12">
        <w:t xml:space="preserve">Royal Commission into Institutional Responses to Child Sexual Abuse (n 13) vol 10 </w:t>
      </w:r>
      <w:r w:rsidRPr="00FF6E12">
        <w:t>[4.2.1]. Recommendation 10.1.</w:t>
      </w:r>
    </w:p>
  </w:footnote>
  <w:footnote w:id="248">
    <w:p w14:paraId="6596D9B8" w14:textId="7F6F31B4" w:rsidR="00940B47" w:rsidRPr="00FF6E12" w:rsidRDefault="00940B47" w:rsidP="00A920EC">
      <w:pPr>
        <w:pStyle w:val="FootnoteText"/>
      </w:pPr>
      <w:r w:rsidRPr="00FF6E12">
        <w:rPr>
          <w:rStyle w:val="FootnoteReference"/>
        </w:rPr>
        <w:footnoteRef/>
      </w:r>
      <w:r w:rsidRPr="00FF6E12">
        <w:t xml:space="preserve"> </w:t>
      </w:r>
      <w:r w:rsidR="00AF356C" w:rsidRPr="00FF6E12">
        <w:t>Ibid.</w:t>
      </w:r>
    </w:p>
  </w:footnote>
  <w:footnote w:id="249">
    <w:p w14:paraId="672B479A" w14:textId="3A1D336B" w:rsidR="00940B47" w:rsidRPr="00FF6E12" w:rsidRDefault="00940B47" w:rsidP="00A920EC">
      <w:pPr>
        <w:pStyle w:val="FootnoteText"/>
      </w:pPr>
      <w:r w:rsidRPr="00FF6E12">
        <w:rPr>
          <w:rStyle w:val="FootnoteReference"/>
        </w:rPr>
        <w:footnoteRef/>
      </w:r>
      <w:r w:rsidRPr="00FF6E12">
        <w:t xml:space="preserve"> </w:t>
      </w:r>
      <w:r w:rsidR="00AF356C" w:rsidRPr="00FF6E12">
        <w:t>Ibid</w:t>
      </w:r>
      <w:r w:rsidRPr="00FF6E12">
        <w:t xml:space="preserve"> [4.3.1].</w:t>
      </w:r>
    </w:p>
  </w:footnote>
  <w:footnote w:id="250">
    <w:p w14:paraId="0266BE09" w14:textId="091F1BBB" w:rsidR="00940B47" w:rsidRPr="00FF6E12" w:rsidRDefault="00940B47">
      <w:pPr>
        <w:pStyle w:val="FootnoteText"/>
      </w:pPr>
      <w:r w:rsidRPr="00FF6E12">
        <w:rPr>
          <w:rStyle w:val="FootnoteReference"/>
        </w:rPr>
        <w:footnoteRef/>
      </w:r>
      <w:r w:rsidRPr="00FF6E12">
        <w:t xml:space="preserve"> </w:t>
      </w:r>
      <w:r w:rsidR="00AF356C" w:rsidRPr="00FF6E12">
        <w:t>Ibid</w:t>
      </w:r>
      <w:r w:rsidRPr="00FF6E12">
        <w:t xml:space="preserve"> [4.4].</w:t>
      </w:r>
    </w:p>
  </w:footnote>
  <w:footnote w:id="251">
    <w:p w14:paraId="3A94FFA4" w14:textId="37D78E03" w:rsidR="00940B47" w:rsidRPr="00FF6E12" w:rsidRDefault="00940B47">
      <w:pPr>
        <w:pStyle w:val="FootnoteText"/>
      </w:pPr>
      <w:r w:rsidRPr="00FF6E12">
        <w:rPr>
          <w:rStyle w:val="FootnoteReference"/>
        </w:rPr>
        <w:footnoteRef/>
      </w:r>
      <w:r w:rsidRPr="00FF6E12">
        <w:t xml:space="preserve"> </w:t>
      </w:r>
      <w:r w:rsidR="00F37623" w:rsidRPr="00FF6E12">
        <w:t xml:space="preserve">See </w:t>
      </w:r>
      <w:r w:rsidR="00AF356C" w:rsidRPr="00FF6E12">
        <w:t>Royal Commission into Institutional Responses to Child Sexual Abuse (n 13)</w:t>
      </w:r>
      <w:r w:rsidR="00E64EE5" w:rsidRPr="00FF6E12">
        <w:t>.</w:t>
      </w:r>
    </w:p>
  </w:footnote>
  <w:footnote w:id="252">
    <w:p w14:paraId="1CCD9DA9" w14:textId="562C5723" w:rsidR="00C83C8C" w:rsidRPr="00FF6E12" w:rsidRDefault="00C83C8C">
      <w:pPr>
        <w:pStyle w:val="FootnoteText"/>
      </w:pPr>
      <w:r w:rsidRPr="00FF6E12">
        <w:rPr>
          <w:rStyle w:val="FootnoteReference"/>
        </w:rPr>
        <w:footnoteRef/>
      </w:r>
      <w:r w:rsidRPr="00FF6E12">
        <w:t xml:space="preserve"> See discussion at </w:t>
      </w:r>
      <w:r w:rsidR="006A3D2E" w:rsidRPr="00FF6E12">
        <w:t>[</w:t>
      </w:r>
      <w:r w:rsidR="00CA443E">
        <w:fldChar w:fldCharType="begin"/>
      </w:r>
      <w:r w:rsidR="00CA443E">
        <w:instrText xml:space="preserve"> REF _Ref218253548 \r \h </w:instrText>
      </w:r>
      <w:r w:rsidR="00CA443E">
        <w:fldChar w:fldCharType="separate"/>
      </w:r>
      <w:r w:rsidR="007D7830">
        <w:t>4.2</w:t>
      </w:r>
      <w:r w:rsidR="00CA443E">
        <w:fldChar w:fldCharType="end"/>
      </w:r>
      <w:r w:rsidR="006A3D2E" w:rsidRPr="00FF6E12">
        <w:t>]</w:t>
      </w:r>
      <w:r w:rsidRPr="00FF6E12">
        <w:t xml:space="preserve">. It is also noted that a person may not be criminally responsible on the basis of their mental capacity, see Tasmania Law Reform Institute, </w:t>
      </w:r>
      <w:r w:rsidRPr="00FF6E12">
        <w:rPr>
          <w:i/>
          <w:iCs/>
        </w:rPr>
        <w:t>Review of the Defence of Insanity</w:t>
      </w:r>
      <w:r w:rsidRPr="00FF6E12">
        <w:t xml:space="preserve"> </w:t>
      </w:r>
      <w:r w:rsidRPr="00FF6E12">
        <w:rPr>
          <w:i/>
          <w:iCs/>
        </w:rPr>
        <w:t>in s 16</w:t>
      </w:r>
      <w:r w:rsidR="00687BA0" w:rsidRPr="00FF6E12">
        <w:rPr>
          <w:i/>
          <w:iCs/>
        </w:rPr>
        <w:t xml:space="preserve"> </w:t>
      </w:r>
      <w:r w:rsidRPr="00FF6E12">
        <w:rPr>
          <w:i/>
          <w:iCs/>
        </w:rPr>
        <w:t xml:space="preserve">of the Criminal Coe and Fitness to Plead </w:t>
      </w:r>
      <w:r w:rsidRPr="00FF6E12">
        <w:t>(Final Report no 28, 2019) for a discussion of the Tasmanian law relating to insanity and fitness to stand trial.</w:t>
      </w:r>
    </w:p>
  </w:footnote>
  <w:footnote w:id="253">
    <w:p w14:paraId="17261BC9" w14:textId="7A23B421" w:rsidR="00C83C8C" w:rsidRPr="00FF6E12" w:rsidRDefault="00C83C8C">
      <w:pPr>
        <w:pStyle w:val="FootnoteText"/>
      </w:pPr>
      <w:r w:rsidRPr="00FF6E12">
        <w:rPr>
          <w:rStyle w:val="FootnoteReference"/>
        </w:rPr>
        <w:footnoteRef/>
      </w:r>
      <w:r w:rsidRPr="00FF6E12">
        <w:t xml:space="preserve"> This is discussed in Part </w:t>
      </w:r>
      <w:r w:rsidR="00DB3289" w:rsidRPr="00FF6E12">
        <w:t>6</w:t>
      </w:r>
      <w:r w:rsidRPr="00FF6E12">
        <w:t>.</w:t>
      </w:r>
    </w:p>
  </w:footnote>
  <w:footnote w:id="254">
    <w:p w14:paraId="2C04BB1F" w14:textId="71020138" w:rsidR="00C83C8C" w:rsidRPr="00FF6E12" w:rsidRDefault="00C83C8C">
      <w:pPr>
        <w:pStyle w:val="FootnoteText"/>
      </w:pPr>
      <w:r w:rsidRPr="00FF6E12">
        <w:rPr>
          <w:rStyle w:val="FootnoteReference"/>
        </w:rPr>
        <w:footnoteRef/>
      </w:r>
      <w:r w:rsidRPr="00FF6E12">
        <w:t xml:space="preserve"> See </w:t>
      </w:r>
      <w:r w:rsidR="00AF356C" w:rsidRPr="00FF6E12">
        <w:t xml:space="preserve">Tasmanian Commission of Inquiry (n </w:t>
      </w:r>
      <w:r w:rsidR="00AF356C" w:rsidRPr="00FF6E12">
        <w:fldChar w:fldCharType="begin"/>
      </w:r>
      <w:r w:rsidR="00AF356C" w:rsidRPr="00FF6E12">
        <w:instrText xml:space="preserve"> NOTEREF _Ref217902008 \h </w:instrText>
      </w:r>
      <w:r w:rsidR="00AF356C" w:rsidRPr="00FF6E12">
        <w:fldChar w:fldCharType="separate"/>
      </w:r>
      <w:r w:rsidR="007D7830">
        <w:t>9</w:t>
      </w:r>
      <w:r w:rsidR="00AF356C" w:rsidRPr="00FF6E12">
        <w:fldChar w:fldCharType="end"/>
      </w:r>
      <w:r w:rsidR="00AF356C" w:rsidRPr="00FF6E12">
        <w:t xml:space="preserve">) </w:t>
      </w:r>
      <w:r w:rsidRPr="00FF6E12">
        <w:t>vol 7 ch 16, 6.</w:t>
      </w:r>
    </w:p>
  </w:footnote>
  <w:footnote w:id="255">
    <w:p w14:paraId="1CC2FC33" w14:textId="02B5265D" w:rsidR="00940B47" w:rsidRPr="00FF6E12" w:rsidRDefault="00940B47">
      <w:pPr>
        <w:pStyle w:val="FootnoteText"/>
      </w:pPr>
      <w:r w:rsidRPr="00FF6E12">
        <w:rPr>
          <w:rStyle w:val="FootnoteReference"/>
        </w:rPr>
        <w:footnoteRef/>
      </w:r>
      <w:r w:rsidRPr="00FF6E12">
        <w:t xml:space="preserve"> </w:t>
      </w:r>
      <w:r w:rsidR="00DB3289" w:rsidRPr="00FF6E12">
        <w:rPr>
          <w:i/>
          <w:iCs/>
        </w:rPr>
        <w:t>Children, Young Persons and Their Families Act 1997</w:t>
      </w:r>
      <w:r w:rsidR="00DB3289" w:rsidRPr="00FF6E12">
        <w:t xml:space="preserve"> (Tas) s</w:t>
      </w:r>
      <w:r w:rsidRPr="00FF6E12">
        <w:t xml:space="preserve"> 4</w:t>
      </w:r>
      <w:r w:rsidR="00DB3289" w:rsidRPr="00FF6E12">
        <w:t>.</w:t>
      </w:r>
      <w:r w:rsidRPr="00FF6E12">
        <w:t xml:space="preserve"> See also </w:t>
      </w:r>
      <w:r w:rsidR="0060474D" w:rsidRPr="00FF6E12">
        <w:rPr>
          <w:i/>
          <w:iCs/>
        </w:rPr>
        <w:t>Children, Young Persons and Their Families Act 1997</w:t>
      </w:r>
      <w:r w:rsidR="0060474D" w:rsidRPr="00FF6E12">
        <w:t xml:space="preserve"> (Tas) </w:t>
      </w:r>
      <w:r w:rsidRPr="00FF6E12">
        <w:t>s 3 (definition of ‘abuse’)</w:t>
      </w:r>
      <w:r w:rsidR="0060474D" w:rsidRPr="00FF6E12">
        <w:t>.</w:t>
      </w:r>
    </w:p>
  </w:footnote>
  <w:footnote w:id="256">
    <w:p w14:paraId="7F51F05D" w14:textId="0E859DDB" w:rsidR="00940B47" w:rsidRPr="00FF6E12" w:rsidRDefault="00940B47" w:rsidP="00A920EC">
      <w:pPr>
        <w:pStyle w:val="FootnoteText"/>
      </w:pPr>
      <w:r w:rsidRPr="00FF6E12">
        <w:rPr>
          <w:rStyle w:val="FootnoteReference"/>
        </w:rPr>
        <w:footnoteRef/>
      </w:r>
      <w:r w:rsidRPr="00FF6E12">
        <w:t xml:space="preserve"> </w:t>
      </w:r>
      <w:r w:rsidR="0060474D" w:rsidRPr="00FF6E12">
        <w:t xml:space="preserve">Royal Commission into Institutional Responses to Child Sexual Abuse (n </w:t>
      </w:r>
      <w:r w:rsidR="0060474D" w:rsidRPr="00FF6E12">
        <w:fldChar w:fldCharType="begin"/>
      </w:r>
      <w:r w:rsidR="0060474D" w:rsidRPr="00FF6E12">
        <w:instrText xml:space="preserve"> NOTEREF _Ref217902398 \h </w:instrText>
      </w:r>
      <w:r w:rsidR="0060474D" w:rsidRPr="00FF6E12">
        <w:fldChar w:fldCharType="separate"/>
      </w:r>
      <w:r w:rsidR="007D7830">
        <w:t>13</w:t>
      </w:r>
      <w:r w:rsidR="0060474D" w:rsidRPr="00FF6E12">
        <w:fldChar w:fldCharType="end"/>
      </w:r>
      <w:r w:rsidR="0060474D" w:rsidRPr="00FF6E12">
        <w:t xml:space="preserve">) vol 10 </w:t>
      </w:r>
      <w:r w:rsidRPr="00FF6E12">
        <w:t>[3.3.2]</w:t>
      </w:r>
    </w:p>
  </w:footnote>
  <w:footnote w:id="257">
    <w:p w14:paraId="65ED08F2" w14:textId="4F16DA1A" w:rsidR="00940B47" w:rsidRPr="00FF6E12" w:rsidRDefault="00940B47" w:rsidP="00A920EC">
      <w:pPr>
        <w:pStyle w:val="FootnoteText"/>
      </w:pPr>
      <w:r w:rsidRPr="00FF6E12">
        <w:rPr>
          <w:rStyle w:val="FootnoteReference"/>
        </w:rPr>
        <w:footnoteRef/>
      </w:r>
      <w:r w:rsidRPr="00FF6E12">
        <w:t xml:space="preserve"> AIHW, </w:t>
      </w:r>
      <w:r w:rsidRPr="00FF6E12">
        <w:rPr>
          <w:i/>
          <w:iCs/>
        </w:rPr>
        <w:t xml:space="preserve">Young People under Youth Justice Supervision and their Interaction with the Child Protection System 2022–23 </w:t>
      </w:r>
      <w:r w:rsidRPr="00FF6E12">
        <w:t>(</w:t>
      </w:r>
      <w:r w:rsidR="0060474D" w:rsidRPr="00FF6E12">
        <w:t xml:space="preserve">AIHW, Report, </w:t>
      </w:r>
      <w:r w:rsidRPr="00FF6E12">
        <w:t>2024) &lt;</w:t>
      </w:r>
      <w:r w:rsidR="0060474D" w:rsidRPr="00A920EC">
        <w:t>https://www.aihw.gov.au/reports/youth-justice/young-people-youth-justice-supervision-2022-23/summary</w:t>
      </w:r>
      <w:r w:rsidRPr="00FF6E12">
        <w:t xml:space="preserve">&gt;; </w:t>
      </w:r>
      <w:r w:rsidR="00747120" w:rsidRPr="00FF6E12">
        <w:t>Tasmania Legal Aid</w:t>
      </w:r>
      <w:r w:rsidR="0060474D" w:rsidRPr="00FF6E12">
        <w:t xml:space="preserve"> (‘TLA’)</w:t>
      </w:r>
      <w:r w:rsidR="00747120" w:rsidRPr="00FF6E12">
        <w:t xml:space="preserve">, </w:t>
      </w:r>
      <w:r w:rsidR="00747120" w:rsidRPr="00FF6E12">
        <w:rPr>
          <w:i/>
          <w:iCs/>
        </w:rPr>
        <w:t xml:space="preserve">Children First: Children in the Child safety and Youth Justice System </w:t>
      </w:r>
      <w:r w:rsidR="00747120" w:rsidRPr="00FF6E12">
        <w:t>(</w:t>
      </w:r>
      <w:r w:rsidR="0060474D" w:rsidRPr="00FF6E12">
        <w:t xml:space="preserve">TLA, Report, </w:t>
      </w:r>
      <w:r w:rsidR="00747120" w:rsidRPr="00FF6E12">
        <w:t>2021)</w:t>
      </w:r>
      <w:r w:rsidR="000F71B8" w:rsidRPr="00FF6E12">
        <w:t xml:space="preserve"> &lt;https://www.legalaid.tas.gov.au/wp-content/uploads/2024/06/Children-First-Report.pdf &gt; </w:t>
      </w:r>
      <w:r w:rsidRPr="00FF6E12">
        <w:t>4 [2.3.9].</w:t>
      </w:r>
    </w:p>
  </w:footnote>
  <w:footnote w:id="258">
    <w:p w14:paraId="517D1470" w14:textId="6E6E1B2D" w:rsidR="00940B47" w:rsidRPr="00FF6E12" w:rsidRDefault="00940B47">
      <w:pPr>
        <w:pStyle w:val="FootnoteText"/>
      </w:pPr>
      <w:r w:rsidRPr="00FF6E12">
        <w:rPr>
          <w:rStyle w:val="FootnoteReference"/>
        </w:rPr>
        <w:footnoteRef/>
      </w:r>
      <w:r w:rsidR="006A3D2E" w:rsidRPr="00FF6E12">
        <w:t>AIHW</w:t>
      </w:r>
      <w:r w:rsidR="0060474D" w:rsidRPr="00FF6E12">
        <w:t xml:space="preserve"> (n </w:t>
      </w:r>
      <w:r w:rsidR="0060474D" w:rsidRPr="00FF6E12">
        <w:fldChar w:fldCharType="begin"/>
      </w:r>
      <w:r w:rsidR="0060474D" w:rsidRPr="00FF6E12">
        <w:instrText xml:space="preserve"> NOTEREF _Ref217979243 \h </w:instrText>
      </w:r>
      <w:r w:rsidR="0060474D" w:rsidRPr="00FF6E12">
        <w:fldChar w:fldCharType="separate"/>
      </w:r>
      <w:r w:rsidR="007D7830">
        <w:t>256</w:t>
      </w:r>
      <w:r w:rsidR="0060474D" w:rsidRPr="00FF6E12">
        <w:fldChar w:fldCharType="end"/>
      </w:r>
      <w:r w:rsidR="0060474D" w:rsidRPr="00FF6E12">
        <w:t>)</w:t>
      </w:r>
      <w:r w:rsidR="00442E16" w:rsidRPr="00FF6E12">
        <w:t>:</w:t>
      </w:r>
      <w:r w:rsidRPr="00FF6E12">
        <w:t xml:space="preserve"> </w:t>
      </w:r>
      <w:r w:rsidR="00442E16" w:rsidRPr="00FF6E12">
        <w:t>f</w:t>
      </w:r>
      <w:r w:rsidRPr="00FF6E12">
        <w:t>or example, in 2022</w:t>
      </w:r>
      <w:r w:rsidR="0060474D" w:rsidRPr="00FF6E12">
        <w:t>–</w:t>
      </w:r>
      <w:r w:rsidRPr="00FF6E12">
        <w:t>23, there were 199 young people under youth justice supervision in Tasmania, and 2</w:t>
      </w:r>
      <w:r w:rsidR="0060474D" w:rsidRPr="00FF6E12">
        <w:t>,</w:t>
      </w:r>
      <w:r w:rsidRPr="00FF6E12">
        <w:t xml:space="preserve">312 children receiving child protection services. TLA’s files from 2007 </w:t>
      </w:r>
      <w:r w:rsidRPr="00BE6AF6">
        <w:t>to 20</w:t>
      </w:r>
      <w:r w:rsidR="0060474D" w:rsidRPr="00BE6AF6">
        <w:t>2</w:t>
      </w:r>
      <w:r w:rsidR="00BE6AF6" w:rsidRPr="00BE6AF6">
        <w:t>0</w:t>
      </w:r>
      <w:r w:rsidRPr="00BE6AF6">
        <w:t xml:space="preserve"> indicate</w:t>
      </w:r>
      <w:r w:rsidRPr="00FF6E12">
        <w:t xml:space="preserve"> that ‘of the almost 3600 individual child safety client helped during [this] period, only about 10% (388) also had a youth justice file’</w:t>
      </w:r>
      <w:r w:rsidR="00442E16" w:rsidRPr="00FF6E12">
        <w:t>:</w:t>
      </w:r>
      <w:r w:rsidRPr="00FF6E12">
        <w:t xml:space="preserve"> 9.</w:t>
      </w:r>
    </w:p>
  </w:footnote>
  <w:footnote w:id="259">
    <w:p w14:paraId="4685F570" w14:textId="00B68510" w:rsidR="00940B47" w:rsidRPr="00FF6E12" w:rsidRDefault="00940B47">
      <w:pPr>
        <w:pStyle w:val="FootnoteText"/>
      </w:pPr>
      <w:r w:rsidRPr="00FF6E12">
        <w:rPr>
          <w:rStyle w:val="FootnoteReference"/>
        </w:rPr>
        <w:footnoteRef/>
      </w:r>
      <w:r w:rsidRPr="00FF6E12">
        <w:t xml:space="preserve"> AIHW</w:t>
      </w:r>
      <w:r w:rsidR="00442E16" w:rsidRPr="00FF6E12">
        <w:t xml:space="preserve"> (n </w:t>
      </w:r>
      <w:r w:rsidR="00442E16" w:rsidRPr="00FF6E12">
        <w:fldChar w:fldCharType="begin"/>
      </w:r>
      <w:r w:rsidR="00442E16" w:rsidRPr="00FF6E12">
        <w:instrText xml:space="preserve"> NOTEREF _Ref217979243 \h </w:instrText>
      </w:r>
      <w:r w:rsidR="00442E16" w:rsidRPr="00FF6E12">
        <w:fldChar w:fldCharType="separate"/>
      </w:r>
      <w:r w:rsidR="007D7830">
        <w:t>256</w:t>
      </w:r>
      <w:r w:rsidR="00442E16" w:rsidRPr="00FF6E12">
        <w:fldChar w:fldCharType="end"/>
      </w:r>
      <w:r w:rsidR="00442E16" w:rsidRPr="00FF6E12">
        <w:t>)</w:t>
      </w:r>
      <w:r w:rsidRPr="00FF6E12">
        <w:t>.</w:t>
      </w:r>
    </w:p>
  </w:footnote>
  <w:footnote w:id="260">
    <w:p w14:paraId="1C25A0FB" w14:textId="2A5BB795" w:rsidR="00940B47" w:rsidRPr="00FF6E12" w:rsidRDefault="00940B47">
      <w:pPr>
        <w:pStyle w:val="FootnoteText"/>
      </w:pPr>
      <w:r w:rsidRPr="00FF6E12">
        <w:rPr>
          <w:rStyle w:val="FootnoteReference"/>
        </w:rPr>
        <w:footnoteRef/>
      </w:r>
      <w:r w:rsidRPr="00FF6E12">
        <w:t xml:space="preserve"> </w:t>
      </w:r>
      <w:r w:rsidR="00442E16" w:rsidRPr="00FF6E12">
        <w:t>Ibid</w:t>
      </w:r>
      <w:r w:rsidRPr="00FF6E12">
        <w:t xml:space="preserve"> </w:t>
      </w:r>
      <w:r w:rsidR="00442E16" w:rsidRPr="00FF6E12">
        <w:t>[</w:t>
      </w:r>
      <w:r w:rsidRPr="00FF6E12">
        <w:t>1.1</w:t>
      </w:r>
      <w:r w:rsidR="00442E16" w:rsidRPr="00FF6E12">
        <w:t>]</w:t>
      </w:r>
      <w:r w:rsidRPr="00FF6E12">
        <w:t>.</w:t>
      </w:r>
    </w:p>
  </w:footnote>
  <w:footnote w:id="261">
    <w:p w14:paraId="6A9D881C" w14:textId="397BB904" w:rsidR="00940B47" w:rsidRPr="00FF6E12" w:rsidRDefault="00940B47">
      <w:pPr>
        <w:pStyle w:val="FootnoteText"/>
      </w:pPr>
      <w:r w:rsidRPr="00FF6E12">
        <w:rPr>
          <w:rStyle w:val="FootnoteReference"/>
        </w:rPr>
        <w:footnoteRef/>
      </w:r>
      <w:r w:rsidRPr="00FF6E12">
        <w:t xml:space="preserve"> </w:t>
      </w:r>
      <w:r w:rsidR="00442E16" w:rsidRPr="00FF6E12">
        <w:t>Ibid</w:t>
      </w:r>
      <w:r w:rsidR="00120D05" w:rsidRPr="00FF6E12">
        <w:t xml:space="preserve"> </w:t>
      </w:r>
      <w:r w:rsidR="00442E16" w:rsidRPr="00FF6E12">
        <w:t xml:space="preserve">Tables </w:t>
      </w:r>
      <w:r w:rsidRPr="00FF6E12">
        <w:t>S2, S5. The total percentage included an investigated notification, a care and protection order or out of home care.</w:t>
      </w:r>
    </w:p>
  </w:footnote>
  <w:footnote w:id="262">
    <w:p w14:paraId="387B8C97" w14:textId="5A75A2F9" w:rsidR="00940B47" w:rsidRPr="00FF6E12" w:rsidRDefault="00940B47">
      <w:pPr>
        <w:pStyle w:val="FootnoteText"/>
      </w:pPr>
      <w:r w:rsidRPr="00FF6E12">
        <w:rPr>
          <w:rStyle w:val="FootnoteReference"/>
        </w:rPr>
        <w:footnoteRef/>
      </w:r>
      <w:r w:rsidRPr="00FF6E12">
        <w:t xml:space="preserve"> </w:t>
      </w:r>
      <w:r w:rsidR="00442E16" w:rsidRPr="00FF6E12">
        <w:t>Ibid</w:t>
      </w:r>
      <w:r w:rsidR="00F13D17" w:rsidRPr="00FF6E12">
        <w:t xml:space="preserve"> </w:t>
      </w:r>
      <w:r w:rsidRPr="00FF6E12">
        <w:t xml:space="preserve">Table S8. </w:t>
      </w:r>
    </w:p>
  </w:footnote>
  <w:footnote w:id="263">
    <w:p w14:paraId="76CD3E57" w14:textId="37D7C9E9" w:rsidR="00940B47" w:rsidRPr="00FF6E12" w:rsidRDefault="00940B47">
      <w:pPr>
        <w:pStyle w:val="FootnoteText"/>
      </w:pPr>
      <w:r w:rsidRPr="00FF6E12">
        <w:rPr>
          <w:rStyle w:val="FootnoteReference"/>
        </w:rPr>
        <w:footnoteRef/>
      </w:r>
      <w:r w:rsidRPr="00FF6E12">
        <w:t xml:space="preserve"> </w:t>
      </w:r>
      <w:r w:rsidR="00442E16" w:rsidRPr="00FF6E12">
        <w:t xml:space="preserve">TLA (n </w:t>
      </w:r>
      <w:r w:rsidR="00442E16" w:rsidRPr="00FF6E12">
        <w:fldChar w:fldCharType="begin"/>
      </w:r>
      <w:r w:rsidR="00442E16" w:rsidRPr="00FF6E12">
        <w:instrText xml:space="preserve"> NOTEREF _Ref217979243 \h </w:instrText>
      </w:r>
      <w:r w:rsidR="00442E16" w:rsidRPr="00FF6E12">
        <w:fldChar w:fldCharType="separate"/>
      </w:r>
      <w:r w:rsidR="007D7830">
        <w:t>256</w:t>
      </w:r>
      <w:r w:rsidR="00442E16" w:rsidRPr="00FF6E12">
        <w:fldChar w:fldCharType="end"/>
      </w:r>
      <w:r w:rsidR="00442E16" w:rsidRPr="00FF6E12">
        <w:t>) 4</w:t>
      </w:r>
      <w:r w:rsidRPr="00FF6E12">
        <w:t>.</w:t>
      </w:r>
    </w:p>
  </w:footnote>
  <w:footnote w:id="264">
    <w:p w14:paraId="3ADD865E" w14:textId="2FF93C04" w:rsidR="00940B47" w:rsidRPr="00FF6E12" w:rsidRDefault="00940B47">
      <w:pPr>
        <w:pStyle w:val="FootnoteText"/>
      </w:pPr>
      <w:r w:rsidRPr="00FF6E12">
        <w:rPr>
          <w:rStyle w:val="FootnoteReference"/>
        </w:rPr>
        <w:footnoteRef/>
      </w:r>
      <w:r w:rsidRPr="00FF6E12">
        <w:t xml:space="preserve"> See </w:t>
      </w:r>
      <w:r w:rsidR="00442E16" w:rsidRPr="00FF6E12">
        <w:t xml:space="preserve">Royal Commission into Institutional Responses to Child Sexual Abuse (n </w:t>
      </w:r>
      <w:r w:rsidR="00442E16" w:rsidRPr="00FF6E12">
        <w:fldChar w:fldCharType="begin"/>
      </w:r>
      <w:r w:rsidR="00442E16" w:rsidRPr="00FF6E12">
        <w:instrText xml:space="preserve"> NOTEREF _Ref217902398 \h </w:instrText>
      </w:r>
      <w:r w:rsidR="00442E16" w:rsidRPr="00FF6E12">
        <w:fldChar w:fldCharType="separate"/>
      </w:r>
      <w:r w:rsidR="007D7830">
        <w:t>13</w:t>
      </w:r>
      <w:r w:rsidR="00442E16" w:rsidRPr="00FF6E12">
        <w:fldChar w:fldCharType="end"/>
      </w:r>
      <w:r w:rsidR="00442E16" w:rsidRPr="00FF6E12">
        <w:t>) v</w:t>
      </w:r>
      <w:r w:rsidRPr="00FF6E12">
        <w:t xml:space="preserve">ol 10, </w:t>
      </w:r>
      <w:r w:rsidR="00442E16" w:rsidRPr="00FF6E12">
        <w:t xml:space="preserve">pt </w:t>
      </w:r>
      <w:r w:rsidRPr="00FF6E12">
        <w:t>5.</w:t>
      </w:r>
    </w:p>
  </w:footnote>
  <w:footnote w:id="265">
    <w:p w14:paraId="5F789A3D" w14:textId="63B07E55" w:rsidR="00940B47" w:rsidRPr="00FF6E12" w:rsidRDefault="00940B47">
      <w:pPr>
        <w:pStyle w:val="FootnoteText"/>
      </w:pPr>
      <w:r w:rsidRPr="00FF6E12">
        <w:rPr>
          <w:rStyle w:val="FootnoteReference"/>
          <w:rFonts w:cs="Times New Roman"/>
        </w:rPr>
        <w:footnoteRef/>
      </w:r>
      <w:r w:rsidRPr="00FF6E12">
        <w:t xml:space="preserve"> Marcel Aebi et al, </w:t>
      </w:r>
      <w:r w:rsidR="00442E16" w:rsidRPr="00FF6E12">
        <w:t>‘</w:t>
      </w:r>
      <w:r w:rsidRPr="00FF6E12">
        <w:t>What kind of therapy works with juveniles who have sexually offended? A randomized-controlled trial of two versions of a specialized cognitive behavioral outpatient treatment program</w:t>
      </w:r>
      <w:r w:rsidR="00442E16" w:rsidRPr="00FF6E12">
        <w:t>’</w:t>
      </w:r>
      <w:r w:rsidRPr="00FF6E12">
        <w:t xml:space="preserve"> (2022) 34(8) </w:t>
      </w:r>
      <w:r w:rsidRPr="00FF6E12">
        <w:rPr>
          <w:i/>
        </w:rPr>
        <w:t>Sexual Abuse</w:t>
      </w:r>
      <w:r w:rsidRPr="00FF6E12">
        <w:t xml:space="preserve"> 973</w:t>
      </w:r>
      <w:r w:rsidR="00442E16" w:rsidRPr="00FF6E12">
        <w:t>–</w:t>
      </w:r>
      <w:r w:rsidRPr="00FF6E12">
        <w:t>1002</w:t>
      </w:r>
      <w:r w:rsidR="00442E16" w:rsidRPr="00FF6E12">
        <w:t>;</w:t>
      </w:r>
      <w:r w:rsidRPr="00FF6E12">
        <w:t xml:space="preserve"> Nancy G Calleja, </w:t>
      </w:r>
      <w:r w:rsidR="00442E16" w:rsidRPr="00FF6E12">
        <w:t>‘</w:t>
      </w:r>
      <w:r w:rsidRPr="00FF6E12">
        <w:t>Developmentally-informed treatment for adolescent sex offenders: an effectiveness evaluation of the Forward-Focused Model</w:t>
      </w:r>
      <w:r w:rsidR="00442E16" w:rsidRPr="00FF6E12">
        <w:t>’</w:t>
      </w:r>
      <w:r w:rsidRPr="00FF6E12">
        <w:t xml:space="preserve"> (2022) 61(2) </w:t>
      </w:r>
      <w:r w:rsidRPr="00FF6E12">
        <w:rPr>
          <w:i/>
        </w:rPr>
        <w:t>Journal of Offender Rehabilitation</w:t>
      </w:r>
      <w:r w:rsidRPr="00FF6E12">
        <w:t xml:space="preserve"> 106</w:t>
      </w:r>
      <w:r w:rsidR="00442E16" w:rsidRPr="00FF6E12">
        <w:t>–</w:t>
      </w:r>
      <w:r w:rsidRPr="00FF6E12">
        <w:t>120.</w:t>
      </w:r>
    </w:p>
  </w:footnote>
  <w:footnote w:id="266">
    <w:p w14:paraId="30C20B0D" w14:textId="5B4B9179" w:rsidR="00940B47" w:rsidRPr="00FF6E12" w:rsidRDefault="00940B47">
      <w:pPr>
        <w:pStyle w:val="FootnoteText"/>
      </w:pPr>
      <w:r w:rsidRPr="00FF6E12">
        <w:rPr>
          <w:rStyle w:val="FootnoteReference"/>
        </w:rPr>
        <w:footnoteRef/>
      </w:r>
      <w:r w:rsidRPr="00FF6E12">
        <w:t xml:space="preserve"> </w:t>
      </w:r>
      <w:r w:rsidR="00442E16" w:rsidRPr="00FF6E12">
        <w:t xml:space="preserve">AIHW (n </w:t>
      </w:r>
      <w:r w:rsidR="00442E16" w:rsidRPr="00FF6E12">
        <w:fldChar w:fldCharType="begin"/>
      </w:r>
      <w:r w:rsidR="00442E16" w:rsidRPr="00FF6E12">
        <w:instrText xml:space="preserve"> NOTEREF _Ref217979646 \h </w:instrText>
      </w:r>
      <w:r w:rsidR="00442E16" w:rsidRPr="00FF6E12">
        <w:fldChar w:fldCharType="separate"/>
      </w:r>
      <w:r w:rsidR="007D7830">
        <w:t>83</w:t>
      </w:r>
      <w:r w:rsidR="00442E16" w:rsidRPr="00FF6E12">
        <w:fldChar w:fldCharType="end"/>
      </w:r>
      <w:r w:rsidR="00442E16" w:rsidRPr="00FF6E12">
        <w:t>).</w:t>
      </w:r>
    </w:p>
  </w:footnote>
  <w:footnote w:id="267">
    <w:p w14:paraId="1F2EB2FD" w14:textId="37359E97" w:rsidR="00940B47" w:rsidRPr="00FF6E12" w:rsidRDefault="00940B47" w:rsidP="00A920EC">
      <w:pPr>
        <w:pStyle w:val="FootnoteText"/>
      </w:pPr>
      <w:r w:rsidRPr="00FF6E12">
        <w:rPr>
          <w:rStyle w:val="FootnoteReference"/>
        </w:rPr>
        <w:footnoteRef/>
      </w:r>
      <w:r w:rsidRPr="00FF6E12">
        <w:t xml:space="preserve"> </w:t>
      </w:r>
      <w:r w:rsidR="00C0260E" w:rsidRPr="00FF6E12">
        <w:t>Seto</w:t>
      </w:r>
      <w:r w:rsidR="00442E16" w:rsidRPr="00FF6E12">
        <w:t xml:space="preserve"> and</w:t>
      </w:r>
      <w:r w:rsidR="00C0260E" w:rsidRPr="00FF6E12">
        <w:t xml:space="preserve"> Lalumière</w:t>
      </w:r>
      <w:r w:rsidR="00442E16" w:rsidRPr="00FF6E12">
        <w:t xml:space="preserve"> (n </w:t>
      </w:r>
      <w:r w:rsidR="00442E16" w:rsidRPr="00FF6E12">
        <w:fldChar w:fldCharType="begin"/>
      </w:r>
      <w:r w:rsidR="00442E16" w:rsidRPr="00FF6E12">
        <w:instrText xml:space="preserve"> NOTEREF _Ref217979715 \h </w:instrText>
      </w:r>
      <w:r w:rsidR="00442E16" w:rsidRPr="00FF6E12">
        <w:fldChar w:fldCharType="separate"/>
      </w:r>
      <w:r w:rsidR="007D7830">
        <w:t>209</w:t>
      </w:r>
      <w:r w:rsidR="00442E16" w:rsidRPr="00FF6E12">
        <w:fldChar w:fldCharType="end"/>
      </w:r>
      <w:r w:rsidR="00442E16" w:rsidRPr="00FF6E12">
        <w:t>)</w:t>
      </w:r>
      <w:r w:rsidRPr="00FF6E12">
        <w:t>.</w:t>
      </w:r>
    </w:p>
  </w:footnote>
  <w:footnote w:id="268">
    <w:p w14:paraId="5D954F67" w14:textId="64ECCEE5" w:rsidR="00940B47" w:rsidRPr="00FF6E12" w:rsidRDefault="00940B47" w:rsidP="00A920EC">
      <w:pPr>
        <w:pStyle w:val="FootnoteText"/>
      </w:pPr>
      <w:r w:rsidRPr="00FF6E12">
        <w:rPr>
          <w:rStyle w:val="FootnoteReference"/>
        </w:rPr>
        <w:footnoteRef/>
      </w:r>
      <w:r w:rsidRPr="00FF6E12">
        <w:t xml:space="preserve"> </w:t>
      </w:r>
      <w:r w:rsidR="00442E16" w:rsidRPr="00FF6E12">
        <w:t xml:space="preserve">Frederich </w:t>
      </w:r>
      <w:r w:rsidR="00C22BDC" w:rsidRPr="00FF6E12">
        <w:t>L</w:t>
      </w:r>
      <w:r w:rsidR="00442E16" w:rsidRPr="00FF6E12">
        <w:t>ö</w:t>
      </w:r>
      <w:r w:rsidR="00C22BDC" w:rsidRPr="00FF6E12">
        <w:t>sel</w:t>
      </w:r>
      <w:r w:rsidR="00442E16" w:rsidRPr="00FF6E12">
        <w:t xml:space="preserve"> and Thomas</w:t>
      </w:r>
      <w:r w:rsidR="00C22BDC" w:rsidRPr="00FF6E12">
        <w:t xml:space="preserve"> Bliesener, </w:t>
      </w:r>
      <w:r w:rsidR="00442E16" w:rsidRPr="00FF6E12">
        <w:t>‘</w:t>
      </w:r>
      <w:r w:rsidR="00C22BDC" w:rsidRPr="00FF6E12">
        <w:t>The development of juvenile sexual offenders: A review of</w:t>
      </w:r>
      <w:r w:rsidR="00CD518B" w:rsidRPr="00FF6E12">
        <w:t xml:space="preserve"> </w:t>
      </w:r>
      <w:r w:rsidR="00C22BDC" w:rsidRPr="00FF6E12">
        <w:t>the literature</w:t>
      </w:r>
      <w:r w:rsidR="00442E16" w:rsidRPr="00FF6E12">
        <w:t>’ (1994) 1(1)</w:t>
      </w:r>
      <w:r w:rsidR="00C22BDC" w:rsidRPr="00FF6E12">
        <w:t xml:space="preserve"> </w:t>
      </w:r>
      <w:r w:rsidR="00C22BDC" w:rsidRPr="00FF6E12">
        <w:rPr>
          <w:i/>
          <w:iCs/>
        </w:rPr>
        <w:t>Journal of Sexual Aggression</w:t>
      </w:r>
      <w:r w:rsidR="00C22BDC" w:rsidRPr="00FF6E12">
        <w:t>, 55</w:t>
      </w:r>
      <w:r w:rsidRPr="00FF6E12">
        <w:t>.</w:t>
      </w:r>
    </w:p>
  </w:footnote>
  <w:footnote w:id="269">
    <w:p w14:paraId="441404CD" w14:textId="1D3C88D9" w:rsidR="00940B47" w:rsidRPr="00FF6E12" w:rsidRDefault="00940B47" w:rsidP="00A920EC">
      <w:pPr>
        <w:pStyle w:val="FootnoteText"/>
      </w:pPr>
      <w:r w:rsidRPr="00C05ED2">
        <w:rPr>
          <w:rStyle w:val="FootnoteReference"/>
        </w:rPr>
        <w:footnoteRef/>
      </w:r>
      <w:r w:rsidRPr="00C05ED2">
        <w:t xml:space="preserve"> </w:t>
      </w:r>
      <w:r w:rsidR="00442E16" w:rsidRPr="00C05ED2">
        <w:t>I</w:t>
      </w:r>
      <w:r w:rsidR="00C05ED2" w:rsidRPr="00C05ED2">
        <w:t>sabella</w:t>
      </w:r>
      <w:r w:rsidR="00442E16" w:rsidRPr="00C05ED2">
        <w:t xml:space="preserve"> </w:t>
      </w:r>
      <w:r w:rsidR="00720EE1" w:rsidRPr="00C05ED2">
        <w:t xml:space="preserve">McVilly, </w:t>
      </w:r>
      <w:r w:rsidR="00442E16" w:rsidRPr="00C05ED2">
        <w:t>A</w:t>
      </w:r>
      <w:r w:rsidR="00C05ED2" w:rsidRPr="00C05ED2">
        <w:t>my</w:t>
      </w:r>
      <w:r w:rsidR="00442E16" w:rsidRPr="00C05ED2">
        <w:t xml:space="preserve"> </w:t>
      </w:r>
      <w:r w:rsidR="00720EE1" w:rsidRPr="00C05ED2">
        <w:t>Washington</w:t>
      </w:r>
      <w:r w:rsidR="00442E16" w:rsidRPr="00C05ED2">
        <w:t xml:space="preserve"> </w:t>
      </w:r>
      <w:r w:rsidR="00ED4AA7" w:rsidRPr="00C05ED2">
        <w:t>and</w:t>
      </w:r>
      <w:r w:rsidR="00720EE1" w:rsidRPr="00C05ED2">
        <w:t xml:space="preserve"> </w:t>
      </w:r>
      <w:r w:rsidR="00442E16" w:rsidRPr="00C05ED2">
        <w:t>K</w:t>
      </w:r>
      <w:r w:rsidR="00C05ED2" w:rsidRPr="00C05ED2">
        <w:t>imberly</w:t>
      </w:r>
      <w:r w:rsidR="00442E16" w:rsidRPr="00C05ED2">
        <w:t xml:space="preserve"> </w:t>
      </w:r>
      <w:r w:rsidR="00720EE1" w:rsidRPr="00C05ED2">
        <w:t>Norris</w:t>
      </w:r>
      <w:r w:rsidR="00442E16" w:rsidRPr="00C05ED2">
        <w:t>,</w:t>
      </w:r>
      <w:r w:rsidR="00720EE1" w:rsidRPr="00C05ED2">
        <w:t xml:space="preserve"> </w:t>
      </w:r>
      <w:r w:rsidR="00720EE1" w:rsidRPr="00C05ED2">
        <w:rPr>
          <w:i/>
          <w:iCs/>
        </w:rPr>
        <w:t>Interventions</w:t>
      </w:r>
      <w:r w:rsidR="00720EE1" w:rsidRPr="00A920EC">
        <w:rPr>
          <w:i/>
          <w:iCs/>
        </w:rPr>
        <w:t xml:space="preserve"> to Support Youths with</w:t>
      </w:r>
      <w:r w:rsidR="00442E16" w:rsidRPr="00A920EC">
        <w:rPr>
          <w:i/>
          <w:iCs/>
        </w:rPr>
        <w:t xml:space="preserve"> </w:t>
      </w:r>
      <w:r w:rsidR="00720EE1" w:rsidRPr="00A920EC">
        <w:rPr>
          <w:i/>
          <w:iCs/>
        </w:rPr>
        <w:t>Harmful Sexual Behaviour: A Systematic Review</w:t>
      </w:r>
      <w:r w:rsidR="00720EE1" w:rsidRPr="00FF6E12">
        <w:t xml:space="preserve"> </w:t>
      </w:r>
      <w:r w:rsidR="00442E16" w:rsidRPr="00FF6E12">
        <w:t>(</w:t>
      </w:r>
      <w:r w:rsidR="00720EE1" w:rsidRPr="00FF6E12">
        <w:t>Unpublished Master</w:t>
      </w:r>
      <w:r w:rsidR="00A46B49">
        <w:t>’</w:t>
      </w:r>
      <w:r w:rsidR="00720EE1" w:rsidRPr="00FF6E12">
        <w:t>s Thesis, University of Tasmania</w:t>
      </w:r>
      <w:r w:rsidR="00442E16" w:rsidRPr="00FF6E12">
        <w:t>, 2024)</w:t>
      </w:r>
      <w:r w:rsidRPr="00FF6E12">
        <w:t>.</w:t>
      </w:r>
    </w:p>
  </w:footnote>
  <w:footnote w:id="270">
    <w:p w14:paraId="4F08F2E8" w14:textId="37D93791" w:rsidR="00940B47" w:rsidRPr="00FF6E12" w:rsidRDefault="00940B47">
      <w:pPr>
        <w:pStyle w:val="FootnoteText"/>
      </w:pPr>
      <w:r w:rsidRPr="00FF6E12">
        <w:rPr>
          <w:rStyle w:val="FootnoteReference"/>
        </w:rPr>
        <w:footnoteRef/>
      </w:r>
      <w:r w:rsidRPr="00FF6E12">
        <w:t xml:space="preserve"> </w:t>
      </w:r>
      <w:r w:rsidR="00CD518B" w:rsidRPr="00FF6E12">
        <w:t xml:space="preserve">Donald Andrews, James Bonta and J Stephen Wormith, ‘The Risk-Need-Responsivity (RNR) Model: Does Adding the Good Lives Model Contribute to Effective Crime Prevention?’ (2011) 38(7) </w:t>
      </w:r>
      <w:r w:rsidR="00CD518B" w:rsidRPr="00A920EC">
        <w:rPr>
          <w:i/>
          <w:iCs/>
        </w:rPr>
        <w:t xml:space="preserve">Criminal Justice and Behavior </w:t>
      </w:r>
      <w:r w:rsidR="00CD518B" w:rsidRPr="00FF6E12">
        <w:t>735</w:t>
      </w:r>
      <w:r w:rsidR="000361E8" w:rsidRPr="00FF6E12">
        <w:t>.</w:t>
      </w:r>
    </w:p>
  </w:footnote>
  <w:footnote w:id="271">
    <w:p w14:paraId="0721AEC0" w14:textId="0C13DC45" w:rsidR="00F30012" w:rsidRPr="00FF6E12" w:rsidRDefault="00F30012">
      <w:pPr>
        <w:pStyle w:val="FootnoteText"/>
      </w:pPr>
      <w:r w:rsidRPr="00FF6E12">
        <w:rPr>
          <w:rStyle w:val="FootnoteReference"/>
        </w:rPr>
        <w:footnoteRef/>
      </w:r>
      <w:r w:rsidRPr="00FF6E12">
        <w:t xml:space="preserve"> </w:t>
      </w:r>
      <w:r w:rsidR="00B73FCF">
        <w:t>McVilly et al</w:t>
      </w:r>
      <w:r w:rsidR="00B51CDD">
        <w:t xml:space="preserve"> (n </w:t>
      </w:r>
      <w:r w:rsidR="00B51CDD">
        <w:fldChar w:fldCharType="begin"/>
      </w:r>
      <w:r w:rsidR="00B51CDD">
        <w:instrText xml:space="preserve"> NOTEREF _Ref219130815 \h </w:instrText>
      </w:r>
      <w:r w:rsidR="00B51CDD">
        <w:fldChar w:fldCharType="separate"/>
      </w:r>
      <w:r w:rsidR="007D7830">
        <w:t>268</w:t>
      </w:r>
      <w:r w:rsidR="00B51CDD">
        <w:fldChar w:fldCharType="end"/>
      </w:r>
      <w:r w:rsidR="00B51CDD">
        <w:t>).</w:t>
      </w:r>
    </w:p>
  </w:footnote>
  <w:footnote w:id="272">
    <w:p w14:paraId="255B7E3B" w14:textId="4EB844B2" w:rsidR="00940B47" w:rsidRPr="00FF6E12" w:rsidRDefault="00940B47">
      <w:pPr>
        <w:pStyle w:val="FootnoteText"/>
      </w:pPr>
      <w:r w:rsidRPr="00FF6E12">
        <w:rPr>
          <w:rStyle w:val="FootnoteReference"/>
        </w:rPr>
        <w:footnoteRef/>
      </w:r>
      <w:r w:rsidRPr="00FF6E12">
        <w:t xml:space="preserve"> Troy Allard et al, </w:t>
      </w:r>
      <w:r w:rsidR="00CD518B" w:rsidRPr="00FF6E12">
        <w:t>‘</w:t>
      </w:r>
      <w:r w:rsidRPr="00FF6E12">
        <w:t xml:space="preserve">Responding to youth sexual offending: A field-based practice model that </w:t>
      </w:r>
      <w:r w:rsidR="00CD518B" w:rsidRPr="00FF6E12">
        <w:t>“</w:t>
      </w:r>
      <w:r w:rsidRPr="00FF6E12">
        <w:t>closes the gap</w:t>
      </w:r>
      <w:r w:rsidR="00CD518B" w:rsidRPr="00FF6E12">
        <w:t>”</w:t>
      </w:r>
      <w:r w:rsidRPr="00FF6E12">
        <w:t xml:space="preserve"> on sexual recidivism among Indigenous and non-Indigenous males</w:t>
      </w:r>
      <w:r w:rsidR="00CD518B" w:rsidRPr="00FF6E12">
        <w:t>’</w:t>
      </w:r>
      <w:r w:rsidRPr="00FF6E12">
        <w:t xml:space="preserve"> (2016) 22(1) </w:t>
      </w:r>
      <w:r w:rsidRPr="00FF6E12">
        <w:rPr>
          <w:i/>
        </w:rPr>
        <w:t>Journal of Sexual Aggression</w:t>
      </w:r>
      <w:r w:rsidRPr="00FF6E12">
        <w:t xml:space="preserve"> 82</w:t>
      </w:r>
      <w:r w:rsidR="00CD518B" w:rsidRPr="00FF6E12">
        <w:t>–</w:t>
      </w:r>
      <w:r w:rsidRPr="00FF6E12">
        <w:t>94.</w:t>
      </w:r>
    </w:p>
  </w:footnote>
  <w:footnote w:id="273">
    <w:p w14:paraId="42067001" w14:textId="288CB253" w:rsidR="00940B47" w:rsidRPr="00FF6E12" w:rsidRDefault="00940B47">
      <w:pPr>
        <w:pStyle w:val="FootnoteText"/>
        <w:rPr>
          <w:rFonts w:cs="Times New Roman"/>
        </w:rPr>
      </w:pPr>
      <w:r w:rsidRPr="00FF6E12">
        <w:rPr>
          <w:rStyle w:val="FootnoteReference"/>
          <w:rFonts w:cs="Times New Roman"/>
        </w:rPr>
        <w:footnoteRef/>
      </w:r>
      <w:r w:rsidRPr="00FF6E12">
        <w:rPr>
          <w:rFonts w:cs="Times New Roman"/>
        </w:rPr>
        <w:t xml:space="preserve"> </w:t>
      </w:r>
      <w:r w:rsidR="001D79A3" w:rsidRPr="00FF6E12">
        <w:t>Blackley and Bartels</w:t>
      </w:r>
      <w:r w:rsidR="008F04AC" w:rsidRPr="00FF6E12">
        <w:t xml:space="preserve"> (n </w:t>
      </w:r>
      <w:r w:rsidR="008F04AC" w:rsidRPr="00FF6E12">
        <w:fldChar w:fldCharType="begin"/>
      </w:r>
      <w:r w:rsidR="008F04AC" w:rsidRPr="00FF6E12">
        <w:instrText xml:space="preserve"> NOTEREF _Ref218004465 \h </w:instrText>
      </w:r>
      <w:r w:rsidR="008F04AC" w:rsidRPr="00FF6E12">
        <w:fldChar w:fldCharType="separate"/>
      </w:r>
      <w:r w:rsidR="007D7830">
        <w:t>6</w:t>
      </w:r>
      <w:r w:rsidR="008F04AC" w:rsidRPr="00FF6E12">
        <w:fldChar w:fldCharType="end"/>
      </w:r>
      <w:r w:rsidR="008F04AC" w:rsidRPr="00FF6E12">
        <w:t>)</w:t>
      </w:r>
      <w:r w:rsidRPr="00FF6E12">
        <w:rPr>
          <w:rFonts w:cs="Times New Roman"/>
        </w:rPr>
        <w:t>.</w:t>
      </w:r>
    </w:p>
  </w:footnote>
  <w:footnote w:id="274">
    <w:p w14:paraId="0C03B6A6" w14:textId="1A1A9EB7" w:rsidR="00940B47" w:rsidRPr="00FF6E12" w:rsidRDefault="00940B47">
      <w:pPr>
        <w:pStyle w:val="FootnoteText"/>
      </w:pPr>
      <w:r w:rsidRPr="00FF6E12">
        <w:rPr>
          <w:rStyle w:val="FootnoteReference"/>
        </w:rPr>
        <w:footnoteRef/>
      </w:r>
      <w:r w:rsidRPr="00FF6E12">
        <w:t xml:space="preserve"> See Appendix </w:t>
      </w:r>
      <w:r w:rsidR="00225A02" w:rsidRPr="00FF6E12">
        <w:t>F</w:t>
      </w:r>
      <w:r w:rsidRPr="00FF6E12">
        <w:t xml:space="preserve"> for more details</w:t>
      </w:r>
    </w:p>
  </w:footnote>
  <w:footnote w:id="275">
    <w:p w14:paraId="0582C172" w14:textId="334BE04C" w:rsidR="00940B47" w:rsidRPr="00FF6E12" w:rsidRDefault="00940B47" w:rsidP="00A920EC">
      <w:pPr>
        <w:pStyle w:val="FootnoteText"/>
      </w:pPr>
      <w:r w:rsidRPr="00FF6E12">
        <w:rPr>
          <w:rStyle w:val="FootnoteReference"/>
        </w:rPr>
        <w:footnoteRef/>
      </w:r>
      <w:r w:rsidRPr="00FF6E12">
        <w:t xml:space="preserve"> </w:t>
      </w:r>
      <w:r w:rsidR="00256785" w:rsidRPr="00FF6E12">
        <w:t xml:space="preserve">Alexander </w:t>
      </w:r>
      <w:r w:rsidR="00CD518B" w:rsidRPr="00FF6E12">
        <w:t xml:space="preserve">et al (n </w:t>
      </w:r>
      <w:r w:rsidR="00CD518B" w:rsidRPr="00FF6E12">
        <w:fldChar w:fldCharType="begin"/>
      </w:r>
      <w:r w:rsidR="00CD518B" w:rsidRPr="00FF6E12">
        <w:instrText xml:space="preserve"> NOTEREF _Ref217980275 \h </w:instrText>
      </w:r>
      <w:r w:rsidR="00CD518B" w:rsidRPr="00FF6E12">
        <w:fldChar w:fldCharType="separate"/>
      </w:r>
      <w:r w:rsidR="007D7830">
        <w:t>181</w:t>
      </w:r>
      <w:r w:rsidR="00CD518B" w:rsidRPr="00FF6E12">
        <w:fldChar w:fldCharType="end"/>
      </w:r>
      <w:r w:rsidR="00CD518B" w:rsidRPr="00FF6E12">
        <w:t>)</w:t>
      </w:r>
      <w:r w:rsidRPr="00FF6E12">
        <w:t>.</w:t>
      </w:r>
    </w:p>
  </w:footnote>
  <w:footnote w:id="276">
    <w:p w14:paraId="0443DC4E" w14:textId="76B958C6" w:rsidR="00940B47" w:rsidRPr="00FF6E12" w:rsidRDefault="00940B47">
      <w:pPr>
        <w:pStyle w:val="FootnoteText"/>
      </w:pPr>
      <w:r w:rsidRPr="00FF6E12">
        <w:rPr>
          <w:rStyle w:val="FootnoteReference"/>
        </w:rPr>
        <w:footnoteRef/>
      </w:r>
      <w:r w:rsidRPr="00FF6E12">
        <w:t xml:space="preserve"> </w:t>
      </w:r>
      <w:r w:rsidR="00655A42" w:rsidRPr="00FF6E12">
        <w:t>Hackett</w:t>
      </w:r>
      <w:r w:rsidR="00E650C2" w:rsidRPr="00FF6E12">
        <w:t xml:space="preserve"> et al (n </w:t>
      </w:r>
      <w:r w:rsidR="00E650C2" w:rsidRPr="00FF6E12">
        <w:fldChar w:fldCharType="begin"/>
      </w:r>
      <w:r w:rsidR="00E650C2" w:rsidRPr="00FF6E12">
        <w:instrText xml:space="preserve"> NOTEREF _Ref217977090 \h </w:instrText>
      </w:r>
      <w:r w:rsidR="00E650C2" w:rsidRPr="00FF6E12">
        <w:fldChar w:fldCharType="separate"/>
      </w:r>
      <w:r w:rsidR="007D7830">
        <w:t>5</w:t>
      </w:r>
      <w:r w:rsidR="00E650C2" w:rsidRPr="00FF6E12">
        <w:fldChar w:fldCharType="end"/>
      </w:r>
      <w:r w:rsidR="00E650C2" w:rsidRPr="00FF6E12">
        <w:t>)</w:t>
      </w:r>
      <w:r w:rsidRPr="00FF6E12">
        <w:t>.</w:t>
      </w:r>
    </w:p>
  </w:footnote>
  <w:footnote w:id="277">
    <w:p w14:paraId="3A673E0E" w14:textId="04258ED0" w:rsidR="00940B47" w:rsidRPr="00FF6E12" w:rsidRDefault="00940B47">
      <w:pPr>
        <w:pStyle w:val="FootnoteText"/>
      </w:pPr>
      <w:r w:rsidRPr="00FF6E12">
        <w:rPr>
          <w:rStyle w:val="FootnoteReference"/>
        </w:rPr>
        <w:footnoteRef/>
      </w:r>
      <w:r w:rsidRPr="00FF6E12">
        <w:t xml:space="preserve"> </w:t>
      </w:r>
      <w:r w:rsidR="00CD518B" w:rsidRPr="00FF6E12">
        <w:t xml:space="preserve">McInnes et al (n </w:t>
      </w:r>
      <w:r w:rsidR="00CD518B" w:rsidRPr="00FF6E12">
        <w:fldChar w:fldCharType="begin"/>
      </w:r>
      <w:r w:rsidR="00CD518B" w:rsidRPr="00FF6E12">
        <w:instrText xml:space="preserve"> NOTEREF _Ref217929634 \h </w:instrText>
      </w:r>
      <w:r w:rsidR="00CD518B" w:rsidRPr="00FF6E12">
        <w:fldChar w:fldCharType="separate"/>
      </w:r>
      <w:r w:rsidR="007D7830">
        <w:t>55</w:t>
      </w:r>
      <w:r w:rsidR="00CD518B" w:rsidRPr="00FF6E12">
        <w:fldChar w:fldCharType="end"/>
      </w:r>
      <w:r w:rsidR="00CD518B" w:rsidRPr="00FF6E12">
        <w:t>)</w:t>
      </w:r>
      <w:r w:rsidRPr="00FF6E12">
        <w:t>. This report sets out information about the PAST program in detail.</w:t>
      </w:r>
    </w:p>
  </w:footnote>
  <w:footnote w:id="278">
    <w:p w14:paraId="25C46EE3" w14:textId="318D54B2" w:rsidR="00940B47" w:rsidRPr="00FF6E12" w:rsidRDefault="00940B47">
      <w:pPr>
        <w:pStyle w:val="FootnoteText"/>
      </w:pPr>
      <w:r w:rsidRPr="00FF6E12">
        <w:rPr>
          <w:rStyle w:val="FootnoteReference"/>
        </w:rPr>
        <w:footnoteRef/>
      </w:r>
      <w:r w:rsidRPr="00FF6E12">
        <w:t xml:space="preserve"> </w:t>
      </w:r>
      <w:r w:rsidR="00CD518B" w:rsidRPr="00FF6E12">
        <w:t>Ibid</w:t>
      </w:r>
      <w:r w:rsidR="00E60099" w:rsidRPr="00FF6E12">
        <w:t xml:space="preserve"> </w:t>
      </w:r>
      <w:r w:rsidRPr="00FF6E12">
        <w:t xml:space="preserve">26. </w:t>
      </w:r>
    </w:p>
  </w:footnote>
  <w:footnote w:id="279">
    <w:p w14:paraId="7BDEBF19" w14:textId="4171D301" w:rsidR="00940B47" w:rsidRPr="00FF6E12" w:rsidRDefault="00940B47">
      <w:pPr>
        <w:pStyle w:val="FootnoteText"/>
      </w:pPr>
      <w:r w:rsidRPr="00FF6E12">
        <w:rPr>
          <w:rStyle w:val="FootnoteReference"/>
        </w:rPr>
        <w:footnoteRef/>
      </w:r>
      <w:r w:rsidRPr="00FF6E12">
        <w:t xml:space="preserve"> </w:t>
      </w:r>
      <w:r w:rsidR="00CD518B" w:rsidRPr="00FF6E12">
        <w:t>Ibid</w:t>
      </w:r>
      <w:r w:rsidR="00EE2345" w:rsidRPr="00FF6E12">
        <w:t xml:space="preserve"> </w:t>
      </w:r>
      <w:r w:rsidRPr="00FF6E12">
        <w:t>14, 26.</w:t>
      </w:r>
    </w:p>
  </w:footnote>
  <w:footnote w:id="280">
    <w:p w14:paraId="2B560A9C" w14:textId="46B8946F" w:rsidR="00940B47" w:rsidRPr="00FF6E12" w:rsidRDefault="00940B47">
      <w:pPr>
        <w:pStyle w:val="FootnoteText"/>
      </w:pPr>
      <w:r w:rsidRPr="00FF6E12">
        <w:rPr>
          <w:rStyle w:val="FootnoteReference"/>
        </w:rPr>
        <w:footnoteRef/>
      </w:r>
      <w:r w:rsidRPr="00FF6E12">
        <w:t xml:space="preserve"> </w:t>
      </w:r>
      <w:r w:rsidR="00CD518B" w:rsidRPr="00FF6E12">
        <w:t>Ibid</w:t>
      </w:r>
      <w:r w:rsidR="00EE2345" w:rsidRPr="00FF6E12">
        <w:t xml:space="preserve"> </w:t>
      </w:r>
      <w:r w:rsidRPr="00FF6E12">
        <w:t>19.</w:t>
      </w:r>
    </w:p>
  </w:footnote>
  <w:footnote w:id="281">
    <w:p w14:paraId="1EE1C523" w14:textId="322337FF" w:rsidR="00940B47" w:rsidRPr="00FF6E12" w:rsidRDefault="00940B47" w:rsidP="00A920EC">
      <w:pPr>
        <w:pStyle w:val="FootnoteText"/>
      </w:pPr>
      <w:r w:rsidRPr="00FF6E12">
        <w:rPr>
          <w:rStyle w:val="FootnoteReference"/>
        </w:rPr>
        <w:footnoteRef/>
      </w:r>
      <w:r w:rsidRPr="00FF6E12">
        <w:t xml:space="preserve"> </w:t>
      </w:r>
      <w:r w:rsidR="00CD518B" w:rsidRPr="00FF6E12">
        <w:t>Ibid</w:t>
      </w:r>
      <w:r w:rsidRPr="00FF6E12">
        <w:t xml:space="preserve"> 47</w:t>
      </w:r>
      <w:r w:rsidR="00CD518B" w:rsidRPr="00FF6E12">
        <w:t>.</w:t>
      </w:r>
    </w:p>
  </w:footnote>
  <w:footnote w:id="282">
    <w:p w14:paraId="37715133" w14:textId="310438A7" w:rsidR="00C76157" w:rsidRPr="00FF6E12" w:rsidRDefault="00C76157"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30</w:t>
      </w:r>
      <w:r w:rsidRPr="00FF6E12">
        <w:t>.</w:t>
      </w:r>
    </w:p>
  </w:footnote>
  <w:footnote w:id="283">
    <w:p w14:paraId="0A7074E1" w14:textId="4C544BC2" w:rsidR="00C76157" w:rsidRPr="00FF6E12" w:rsidRDefault="00C76157">
      <w:pPr>
        <w:pStyle w:val="FootnoteText"/>
      </w:pPr>
      <w:r w:rsidRPr="00FF6E12">
        <w:rPr>
          <w:rStyle w:val="FootnoteReference"/>
        </w:rPr>
        <w:footnoteRef/>
      </w:r>
      <w:r w:rsidRPr="00FF6E12">
        <w:t xml:space="preserve"> </w:t>
      </w:r>
      <w:r w:rsidR="00EE2345" w:rsidRPr="00FF6E12">
        <w:t xml:space="preserve">Participant </w:t>
      </w:r>
      <w:r w:rsidR="004434D2" w:rsidRPr="00FF6E12">
        <w:t>1</w:t>
      </w:r>
      <w:r w:rsidR="00CD518B" w:rsidRPr="00FF6E12">
        <w:t>.</w:t>
      </w:r>
    </w:p>
  </w:footnote>
  <w:footnote w:id="284">
    <w:p w14:paraId="0FCF3593" w14:textId="786614EC" w:rsidR="003F35D9" w:rsidRPr="00FF6E12" w:rsidRDefault="003F35D9">
      <w:pPr>
        <w:pStyle w:val="FootnoteText"/>
      </w:pPr>
      <w:r w:rsidRPr="00FF6E12">
        <w:rPr>
          <w:rStyle w:val="FootnoteReference"/>
        </w:rPr>
        <w:footnoteRef/>
      </w:r>
      <w:r w:rsidRPr="00FF6E12">
        <w:t xml:space="preserve"> </w:t>
      </w:r>
      <w:r w:rsidR="002A786C" w:rsidRPr="00FF6E12">
        <w:t>Participant</w:t>
      </w:r>
      <w:r w:rsidR="004434D2" w:rsidRPr="00FF6E12">
        <w:t xml:space="preserve"> 4</w:t>
      </w:r>
      <w:r w:rsidRPr="00FF6E12">
        <w:t>.</w:t>
      </w:r>
    </w:p>
  </w:footnote>
  <w:footnote w:id="285">
    <w:p w14:paraId="631205CA" w14:textId="7B396D4B" w:rsidR="003F35D9" w:rsidRPr="00FF6E12" w:rsidRDefault="003F35D9">
      <w:pPr>
        <w:pStyle w:val="FootnoteText"/>
      </w:pPr>
      <w:r w:rsidRPr="00FF6E12">
        <w:rPr>
          <w:rStyle w:val="FootnoteReference"/>
        </w:rPr>
        <w:footnoteRef/>
      </w:r>
      <w:r w:rsidRPr="00FF6E12">
        <w:t xml:space="preserve"> </w:t>
      </w:r>
      <w:r w:rsidR="002A786C" w:rsidRPr="00FF6E12">
        <w:t>Participant</w:t>
      </w:r>
      <w:r w:rsidR="00141AFF" w:rsidRPr="00FF6E12">
        <w:t xml:space="preserve"> 8</w:t>
      </w:r>
      <w:r w:rsidRPr="00FF6E12">
        <w:t>.</w:t>
      </w:r>
    </w:p>
  </w:footnote>
  <w:footnote w:id="286">
    <w:p w14:paraId="5654879C" w14:textId="6CF19534" w:rsidR="00940B47" w:rsidRPr="00FF6E12" w:rsidRDefault="00940B47">
      <w:pPr>
        <w:pStyle w:val="FootnoteText"/>
      </w:pPr>
      <w:r w:rsidRPr="00FF6E12">
        <w:rPr>
          <w:rStyle w:val="FootnoteReference"/>
        </w:rPr>
        <w:footnoteRef/>
      </w:r>
      <w:r w:rsidRPr="00FF6E12">
        <w:t xml:space="preserve"> </w:t>
      </w:r>
      <w:r w:rsidR="0089181F" w:rsidRPr="00FF6E12">
        <w:t>Butler</w:t>
      </w:r>
      <w:r w:rsidR="00CD518B" w:rsidRPr="00FF6E12">
        <w:t xml:space="preserve"> and</w:t>
      </w:r>
      <w:r w:rsidR="0089181F" w:rsidRPr="00FF6E12">
        <w:t xml:space="preserve"> Seto</w:t>
      </w:r>
      <w:r w:rsidR="00CD518B" w:rsidRPr="00FF6E12">
        <w:t xml:space="preserve"> (n </w:t>
      </w:r>
      <w:r w:rsidR="00CD518B" w:rsidRPr="00FF6E12">
        <w:fldChar w:fldCharType="begin"/>
      </w:r>
      <w:r w:rsidR="00CD518B" w:rsidRPr="00FF6E12">
        <w:instrText xml:space="preserve"> NOTEREF _Ref217980524 \h </w:instrText>
      </w:r>
      <w:r w:rsidR="00CD518B" w:rsidRPr="00FF6E12">
        <w:fldChar w:fldCharType="separate"/>
      </w:r>
      <w:r w:rsidR="007D7830">
        <w:t>214</w:t>
      </w:r>
      <w:r w:rsidR="00CD518B" w:rsidRPr="00FF6E12">
        <w:fldChar w:fldCharType="end"/>
      </w:r>
      <w:r w:rsidR="00CD518B" w:rsidRPr="00FF6E12">
        <w:t>)</w:t>
      </w:r>
      <w:r w:rsidR="0089181F" w:rsidRPr="00FF6E12">
        <w:t xml:space="preserve"> 19.</w:t>
      </w:r>
    </w:p>
  </w:footnote>
  <w:footnote w:id="287">
    <w:p w14:paraId="03E358D9" w14:textId="1663D292" w:rsidR="00940B47" w:rsidRPr="00FF6E12" w:rsidRDefault="00940B47">
      <w:pPr>
        <w:pStyle w:val="FootnoteText"/>
      </w:pPr>
      <w:r w:rsidRPr="00FF6E12">
        <w:rPr>
          <w:rStyle w:val="FootnoteReference"/>
        </w:rPr>
        <w:footnoteRef/>
      </w:r>
      <w:r w:rsidR="009B3E31" w:rsidRPr="00FF6E12">
        <w:t xml:space="preserve"> DECYP</w:t>
      </w:r>
      <w:r w:rsidR="005006DA" w:rsidRPr="00FF6E12">
        <w:t xml:space="preserve"> </w:t>
      </w:r>
      <w:r w:rsidR="00CD518B" w:rsidRPr="00FF6E12">
        <w:t xml:space="preserve">(n </w:t>
      </w:r>
      <w:r w:rsidR="00CD518B" w:rsidRPr="00FF6E12">
        <w:fldChar w:fldCharType="begin"/>
      </w:r>
      <w:r w:rsidR="00CD518B" w:rsidRPr="00FF6E12">
        <w:instrText xml:space="preserve"> NOTEREF _Ref217907385 \h </w:instrText>
      </w:r>
      <w:r w:rsidR="00CD518B" w:rsidRPr="00FF6E12">
        <w:fldChar w:fldCharType="separate"/>
      </w:r>
      <w:r w:rsidR="007D7830">
        <w:t>35</w:t>
      </w:r>
      <w:r w:rsidR="00CD518B" w:rsidRPr="00FF6E12">
        <w:fldChar w:fldCharType="end"/>
      </w:r>
      <w:r w:rsidR="00CD518B" w:rsidRPr="00FF6E12">
        <w:t xml:space="preserve">) </w:t>
      </w:r>
      <w:r w:rsidRPr="00FF6E12">
        <w:t>Strategy 1.</w:t>
      </w:r>
    </w:p>
  </w:footnote>
  <w:footnote w:id="288">
    <w:p w14:paraId="43D422E5" w14:textId="596A0349" w:rsidR="00940B47" w:rsidRPr="00FF6E12" w:rsidRDefault="00940B47">
      <w:pPr>
        <w:pStyle w:val="FootnoteText"/>
      </w:pPr>
      <w:r w:rsidRPr="00FF6E12">
        <w:rPr>
          <w:rStyle w:val="FootnoteReference"/>
        </w:rPr>
        <w:footnoteRef/>
      </w:r>
      <w:r w:rsidRPr="00FF6E12">
        <w:t xml:space="preserve"> </w:t>
      </w:r>
      <w:r w:rsidR="00CD518B" w:rsidRPr="00FF6E12">
        <w:t>Royal Commission into Institutional Responses to Child Sexual Abuse (n 13) vol 10 pt</w:t>
      </w:r>
      <w:r w:rsidRPr="00FF6E12">
        <w:t xml:space="preserve"> 4 [4.2.2].</w:t>
      </w:r>
    </w:p>
  </w:footnote>
  <w:footnote w:id="289">
    <w:p w14:paraId="3C4B8F85" w14:textId="3F895FC9" w:rsidR="00940B47" w:rsidRPr="00FF6E12" w:rsidRDefault="00940B47">
      <w:pPr>
        <w:pStyle w:val="FootnoteText"/>
      </w:pPr>
      <w:r w:rsidRPr="00FF6E12">
        <w:rPr>
          <w:rStyle w:val="FootnoteReference"/>
        </w:rPr>
        <w:footnoteRef/>
      </w:r>
      <w:r w:rsidRPr="00FF6E12">
        <w:t xml:space="preserve"> </w:t>
      </w:r>
      <w:r w:rsidR="00186EC7" w:rsidRPr="00FF6E12">
        <w:t xml:space="preserve">Gemma </w:t>
      </w:r>
      <w:r w:rsidR="008308CF" w:rsidRPr="00FF6E12">
        <w:t xml:space="preserve">McKibbin, </w:t>
      </w:r>
      <w:r w:rsidR="00186EC7" w:rsidRPr="00FF6E12">
        <w:t xml:space="preserve">Cathy </w:t>
      </w:r>
      <w:r w:rsidR="008308CF" w:rsidRPr="00FF6E12">
        <w:t>Humphreys</w:t>
      </w:r>
      <w:r w:rsidR="00186EC7" w:rsidRPr="00FF6E12">
        <w:t xml:space="preserve"> </w:t>
      </w:r>
      <w:r w:rsidR="00ED4AA7" w:rsidRPr="00FF6E12">
        <w:t>and</w:t>
      </w:r>
      <w:r w:rsidR="008308CF" w:rsidRPr="00FF6E12">
        <w:t xml:space="preserve"> </w:t>
      </w:r>
      <w:r w:rsidR="00186EC7" w:rsidRPr="00FF6E12">
        <w:t xml:space="preserve">Bridget </w:t>
      </w:r>
      <w:r w:rsidR="008308CF" w:rsidRPr="00FF6E12">
        <w:t xml:space="preserve">Hamilton, </w:t>
      </w:r>
      <w:r w:rsidR="00186EC7" w:rsidRPr="00FF6E12">
        <w:t xml:space="preserve">‘“Talking About Child Sexual Abuse Would Have Helped Me”: Young People Who Sexually Abused Reflect on Preventing Harmful Sexual Behavior’ (2017) 70 </w:t>
      </w:r>
      <w:r w:rsidR="00186EC7" w:rsidRPr="00A920EC">
        <w:rPr>
          <w:i/>
          <w:iCs/>
        </w:rPr>
        <w:t>Child Abuse &amp; Neglect</w:t>
      </w:r>
      <w:r w:rsidR="00186EC7" w:rsidRPr="00FF6E12">
        <w:t xml:space="preserve"> 210</w:t>
      </w:r>
      <w:r w:rsidR="00CD518B" w:rsidRPr="00FF6E12">
        <w:t>.</w:t>
      </w:r>
    </w:p>
  </w:footnote>
  <w:footnote w:id="290">
    <w:p w14:paraId="39CDC379" w14:textId="0A36917C" w:rsidR="00940B47" w:rsidRPr="00FF6E12" w:rsidRDefault="00CD518B">
      <w:pPr>
        <w:pStyle w:val="FootnoteText"/>
      </w:pPr>
      <w:r w:rsidRPr="00FF6E12">
        <w:rPr>
          <w:rStyle w:val="FootnoteReference"/>
        </w:rPr>
        <w:footnoteRef/>
      </w:r>
      <w:r w:rsidRPr="00FF6E12">
        <w:t xml:space="preserve"> Royal Commission into Institutional Responses to Child Sexual Abuse (n 13) vol 10 pt</w:t>
      </w:r>
      <w:r w:rsidR="00940B47" w:rsidRPr="00FF6E12">
        <w:t xml:space="preserve"> 4 [4.3.1]</w:t>
      </w:r>
      <w:r w:rsidR="008308CF" w:rsidRPr="00FF6E12">
        <w:t>.</w:t>
      </w:r>
    </w:p>
  </w:footnote>
  <w:footnote w:id="291">
    <w:p w14:paraId="25D0D0DA" w14:textId="4F008F88" w:rsidR="00940B47" w:rsidRPr="00FF6E12" w:rsidRDefault="00940B47">
      <w:pPr>
        <w:pStyle w:val="FootnoteText"/>
      </w:pPr>
      <w:r w:rsidRPr="00FF6E12">
        <w:rPr>
          <w:rStyle w:val="FootnoteReference"/>
        </w:rPr>
        <w:footnoteRef/>
      </w:r>
      <w:r w:rsidRPr="00FF6E12">
        <w:t xml:space="preserve"> </w:t>
      </w:r>
      <w:r w:rsidR="00CD518B" w:rsidRPr="00FF6E12">
        <w:t>Ibid</w:t>
      </w:r>
      <w:r w:rsidRPr="00FF6E12">
        <w:t xml:space="preserve"> [4.2.2], [4.4].</w:t>
      </w:r>
    </w:p>
  </w:footnote>
  <w:footnote w:id="292">
    <w:p w14:paraId="56E8F125" w14:textId="0F0948FF" w:rsidR="00940B47" w:rsidRPr="00FF6E12" w:rsidRDefault="00940B47">
      <w:pPr>
        <w:pStyle w:val="FootnoteText"/>
      </w:pPr>
      <w:r w:rsidRPr="00FF6E12">
        <w:rPr>
          <w:rStyle w:val="FootnoteReference"/>
        </w:rPr>
        <w:footnoteRef/>
      </w:r>
      <w:r w:rsidRPr="00FF6E12">
        <w:t xml:space="preserve"> </w:t>
      </w:r>
      <w:r w:rsidR="005006DA" w:rsidRPr="00FF6E12">
        <w:t xml:space="preserve">McInnes et al (n </w:t>
      </w:r>
      <w:r w:rsidR="005006DA" w:rsidRPr="00FF6E12">
        <w:fldChar w:fldCharType="begin"/>
      </w:r>
      <w:r w:rsidR="005006DA" w:rsidRPr="00FF6E12">
        <w:instrText xml:space="preserve"> NOTEREF _Ref217929634 \h </w:instrText>
      </w:r>
      <w:r w:rsidR="005006DA" w:rsidRPr="00FF6E12">
        <w:fldChar w:fldCharType="separate"/>
      </w:r>
      <w:r w:rsidR="007D7830">
        <w:t>55</w:t>
      </w:r>
      <w:r w:rsidR="005006DA" w:rsidRPr="00FF6E12">
        <w:fldChar w:fldCharType="end"/>
      </w:r>
      <w:r w:rsidR="005006DA" w:rsidRPr="00FF6E12">
        <w:t>).</w:t>
      </w:r>
    </w:p>
  </w:footnote>
  <w:footnote w:id="293">
    <w:p w14:paraId="4177E9E4" w14:textId="5C5AAD72" w:rsidR="00940B47" w:rsidRPr="00FF6E12" w:rsidRDefault="00940B47">
      <w:pPr>
        <w:pStyle w:val="FootnoteText"/>
      </w:pPr>
      <w:r w:rsidRPr="00FF6E12">
        <w:rPr>
          <w:rStyle w:val="FootnoteReference"/>
        </w:rPr>
        <w:footnoteRef/>
      </w:r>
      <w:r w:rsidRPr="00FF6E12">
        <w:t xml:space="preserve"> </w:t>
      </w:r>
      <w:r w:rsidR="005006DA" w:rsidRPr="00FF6E12">
        <w:t>Ibid.</w:t>
      </w:r>
    </w:p>
  </w:footnote>
  <w:footnote w:id="294">
    <w:p w14:paraId="30549450" w14:textId="7254C980" w:rsidR="00940B47" w:rsidRPr="00FF6E12" w:rsidRDefault="00940B47">
      <w:pPr>
        <w:pStyle w:val="FootnoteText"/>
      </w:pPr>
      <w:r w:rsidRPr="00FF6E12">
        <w:rPr>
          <w:rStyle w:val="FootnoteReference"/>
        </w:rPr>
        <w:footnoteRef/>
      </w:r>
      <w:r w:rsidRPr="00FF6E12">
        <w:t xml:space="preserve"> </w:t>
      </w:r>
      <w:r w:rsidR="005006DA" w:rsidRPr="00FF6E12">
        <w:t>Ibid</w:t>
      </w:r>
      <w:r w:rsidRPr="00FF6E12">
        <w:t>.</w:t>
      </w:r>
    </w:p>
  </w:footnote>
  <w:footnote w:id="295">
    <w:p w14:paraId="37CA9BA7" w14:textId="4712A342" w:rsidR="00940B47" w:rsidRPr="00FF6E12" w:rsidRDefault="00940B47">
      <w:pPr>
        <w:pStyle w:val="FootnoteText"/>
      </w:pPr>
      <w:r w:rsidRPr="00FF6E12">
        <w:rPr>
          <w:rStyle w:val="FootnoteReference"/>
        </w:rPr>
        <w:footnoteRef/>
      </w:r>
      <w:r w:rsidRPr="00FF6E12">
        <w:t xml:space="preserve"> For further detail about the theoretical basis of the PAST program, see </w:t>
      </w:r>
      <w:r w:rsidR="005006DA" w:rsidRPr="00FF6E12">
        <w:t xml:space="preserve">ibid </w:t>
      </w:r>
      <w:r w:rsidRPr="00FF6E12">
        <w:t>36–45.</w:t>
      </w:r>
    </w:p>
  </w:footnote>
  <w:footnote w:id="296">
    <w:p w14:paraId="72C2204B" w14:textId="310E03F4" w:rsidR="00940B47" w:rsidRPr="00FF6E12" w:rsidRDefault="00940B47">
      <w:pPr>
        <w:pStyle w:val="FootnoteText"/>
      </w:pPr>
      <w:r w:rsidRPr="00FF6E12">
        <w:rPr>
          <w:rStyle w:val="FootnoteReference"/>
        </w:rPr>
        <w:footnoteRef/>
      </w:r>
      <w:r w:rsidRPr="00FF6E12">
        <w:t xml:space="preserve"> See </w:t>
      </w:r>
      <w:r w:rsidR="005006DA" w:rsidRPr="00FF6E12">
        <w:t xml:space="preserve">ThinkUKnow, </w:t>
      </w:r>
      <w:r w:rsidR="005006DA" w:rsidRPr="00A920EC">
        <w:rPr>
          <w:i/>
          <w:iCs/>
        </w:rPr>
        <w:t>Our program</w:t>
      </w:r>
      <w:r w:rsidR="005006DA" w:rsidRPr="00FF6E12">
        <w:t xml:space="preserve"> (Web page, nd) </w:t>
      </w:r>
      <w:r w:rsidRPr="00FF6E12">
        <w:t>&lt;https://www.thinkuknow.org.au/about/our-program&gt;.</w:t>
      </w:r>
    </w:p>
  </w:footnote>
  <w:footnote w:id="297">
    <w:p w14:paraId="1C5DDA27" w14:textId="59A73A32" w:rsidR="00940B47" w:rsidRPr="00FF6E12" w:rsidRDefault="00940B47">
      <w:pPr>
        <w:pStyle w:val="FootnoteText"/>
      </w:pPr>
      <w:r w:rsidRPr="00FF6E12">
        <w:rPr>
          <w:rStyle w:val="FootnoteReference"/>
        </w:rPr>
        <w:footnoteRef/>
      </w:r>
      <w:r w:rsidRPr="00FF6E12">
        <w:t xml:space="preserve"> ThinkUKnow</w:t>
      </w:r>
      <w:r w:rsidR="005D1E25" w:rsidRPr="00FF6E12">
        <w:t>,</w:t>
      </w:r>
      <w:r w:rsidRPr="00FF6E12">
        <w:t xml:space="preserve"> </w:t>
      </w:r>
      <w:r w:rsidRPr="00A920EC">
        <w:rPr>
          <w:i/>
          <w:iCs/>
        </w:rPr>
        <w:t>Outreach Report 2023–24</w:t>
      </w:r>
      <w:r w:rsidR="00AF19E7" w:rsidRPr="00FF6E12">
        <w:t xml:space="preserve"> (ThinkU</w:t>
      </w:r>
      <w:r w:rsidR="00820FBF">
        <w:t>Kn</w:t>
      </w:r>
      <w:r w:rsidR="00AF19E7" w:rsidRPr="00FF6E12">
        <w:t>ow, 2024)</w:t>
      </w:r>
      <w:r w:rsidRPr="00FF6E12">
        <w:t xml:space="preserve"> 1.</w:t>
      </w:r>
    </w:p>
  </w:footnote>
  <w:footnote w:id="298">
    <w:p w14:paraId="5786DC37" w14:textId="0AB2F1BF" w:rsidR="00940B47" w:rsidRPr="00FF6E12" w:rsidRDefault="00940B47">
      <w:pPr>
        <w:pStyle w:val="FootnoteText"/>
        <w:rPr>
          <w:highlight w:val="yellow"/>
        </w:rPr>
      </w:pPr>
      <w:r w:rsidRPr="00FF6E12">
        <w:rPr>
          <w:rStyle w:val="FootnoteReference"/>
        </w:rPr>
        <w:footnoteRef/>
      </w:r>
      <w:r w:rsidRPr="00FF6E12">
        <w:t xml:space="preserve"> </w:t>
      </w:r>
      <w:r w:rsidR="00AF19E7" w:rsidRPr="00FF6E12">
        <w:t>Ibid</w:t>
      </w:r>
      <w:r w:rsidR="002A09A0" w:rsidRPr="00FF6E12">
        <w:t xml:space="preserve"> </w:t>
      </w:r>
      <w:r w:rsidRPr="00FF6E12">
        <w:t>2.</w:t>
      </w:r>
    </w:p>
  </w:footnote>
  <w:footnote w:id="299">
    <w:p w14:paraId="1E89BAA1" w14:textId="201C0FAA" w:rsidR="004427AA" w:rsidRPr="00FF6E12" w:rsidRDefault="004427AA">
      <w:pPr>
        <w:pStyle w:val="FootnoteText"/>
      </w:pPr>
      <w:r w:rsidRPr="00FF6E12">
        <w:rPr>
          <w:rStyle w:val="FootnoteReference"/>
        </w:rPr>
        <w:footnoteRef/>
      </w:r>
      <w:r w:rsidRPr="00FF6E12">
        <w:t xml:space="preserve"> </w:t>
      </w:r>
      <w:r w:rsidR="00A339C5" w:rsidRPr="00FF6E12">
        <w:t xml:space="preserve">Participant </w:t>
      </w:r>
      <w:r w:rsidR="004151CE" w:rsidRPr="00FF6E12">
        <w:t>4.</w:t>
      </w:r>
    </w:p>
  </w:footnote>
  <w:footnote w:id="300">
    <w:p w14:paraId="6A6F3674" w14:textId="7B20A82B" w:rsidR="00A339C5" w:rsidRPr="00FF6E12" w:rsidRDefault="00A339C5">
      <w:pPr>
        <w:pStyle w:val="FootnoteText"/>
      </w:pPr>
      <w:r w:rsidRPr="00FF6E12">
        <w:rPr>
          <w:rStyle w:val="FootnoteReference"/>
        </w:rPr>
        <w:footnoteRef/>
      </w:r>
      <w:r w:rsidR="7ADDC02D" w:rsidRPr="00FF6E12">
        <w:t xml:space="preserve"> See for example, </w:t>
      </w:r>
      <w:r w:rsidR="001777C5" w:rsidRPr="00FF6E12">
        <w:t xml:space="preserve">ACIL </w:t>
      </w:r>
      <w:r w:rsidR="7ADDC02D" w:rsidRPr="00FF6E12">
        <w:t>Allen</w:t>
      </w:r>
      <w:r w:rsidR="001777C5" w:rsidRPr="00FF6E12">
        <w:t xml:space="preserve"> Consulting</w:t>
      </w:r>
      <w:r w:rsidR="7ADDC02D" w:rsidRPr="00FF6E12">
        <w:t xml:space="preserve">, </w:t>
      </w:r>
      <w:r w:rsidR="7ADDC02D" w:rsidRPr="00A920EC">
        <w:rPr>
          <w:i/>
          <w:iCs/>
        </w:rPr>
        <w:t>Respectful relationships Evaluation 2019-21: Evaluation Summary</w:t>
      </w:r>
      <w:r w:rsidR="7ADDC02D" w:rsidRPr="00FF6E12">
        <w:t xml:space="preserve"> </w:t>
      </w:r>
      <w:r w:rsidR="005006DA" w:rsidRPr="00FF6E12">
        <w:t>(</w:t>
      </w:r>
      <w:r w:rsidR="7ADDC02D" w:rsidRPr="00FF6E12">
        <w:t>Report to Victorian Department of Education and Training</w:t>
      </w:r>
      <w:r w:rsidR="005006DA" w:rsidRPr="00FF6E12">
        <w:t xml:space="preserve">, </w:t>
      </w:r>
      <w:r w:rsidR="001777C5" w:rsidRPr="00FF6E12">
        <w:t xml:space="preserve">June </w:t>
      </w:r>
      <w:r w:rsidR="7ADDC02D" w:rsidRPr="00FF6E12">
        <w:t>2021).</w:t>
      </w:r>
    </w:p>
  </w:footnote>
  <w:footnote w:id="301">
    <w:p w14:paraId="24C983DD" w14:textId="000C1768" w:rsidR="004427AA" w:rsidRPr="00FF6E12" w:rsidRDefault="004427AA">
      <w:pPr>
        <w:pStyle w:val="FootnoteText"/>
      </w:pPr>
      <w:r w:rsidRPr="00FF6E12">
        <w:rPr>
          <w:rStyle w:val="FootnoteReference"/>
        </w:rPr>
        <w:footnoteRef/>
      </w:r>
      <w:r w:rsidRPr="00FF6E12">
        <w:t xml:space="preserve"> </w:t>
      </w:r>
      <w:r w:rsidR="002A786C" w:rsidRPr="00FF6E12">
        <w:t>Participant</w:t>
      </w:r>
      <w:r w:rsidR="004434D2" w:rsidRPr="00FF6E12">
        <w:t xml:space="preserve"> 4</w:t>
      </w:r>
      <w:r w:rsidRPr="00FF6E12">
        <w:t xml:space="preserve">, </w:t>
      </w:r>
      <w:r w:rsidR="002A786C" w:rsidRPr="00FF6E12">
        <w:t>Participant</w:t>
      </w:r>
      <w:r w:rsidR="00141AFF" w:rsidRPr="00FF6E12">
        <w:t xml:space="preserve"> 32</w:t>
      </w:r>
      <w:r w:rsidRPr="00FF6E12">
        <w:t xml:space="preserve">, </w:t>
      </w:r>
      <w:r w:rsidR="002A786C" w:rsidRPr="00FF6E12">
        <w:t>Participant</w:t>
      </w:r>
      <w:r w:rsidR="00141AFF" w:rsidRPr="00FF6E12">
        <w:t xml:space="preserve"> 21</w:t>
      </w:r>
      <w:r w:rsidRPr="00FF6E12">
        <w:t xml:space="preserve">, </w:t>
      </w:r>
      <w:r w:rsidR="002A786C" w:rsidRPr="00FF6E12">
        <w:t>Participant</w:t>
      </w:r>
      <w:r w:rsidR="00141AFF" w:rsidRPr="00FF6E12">
        <w:t xml:space="preserve"> 9</w:t>
      </w:r>
      <w:r w:rsidRPr="00FF6E12">
        <w:t>.</w:t>
      </w:r>
    </w:p>
  </w:footnote>
  <w:footnote w:id="302">
    <w:p w14:paraId="240B4D1B" w14:textId="5062649E" w:rsidR="00432522" w:rsidRPr="00FF6E12" w:rsidRDefault="00432522">
      <w:pPr>
        <w:pStyle w:val="FootnoteText"/>
      </w:pPr>
      <w:r w:rsidRPr="00FF6E12">
        <w:rPr>
          <w:rStyle w:val="FootnoteReference"/>
        </w:rPr>
        <w:footnoteRef/>
      </w:r>
      <w:r w:rsidRPr="00FF6E12">
        <w:t xml:space="preserve"> </w:t>
      </w:r>
      <w:r w:rsidR="002A786C" w:rsidRPr="00FF6E12">
        <w:t>Participant</w:t>
      </w:r>
      <w:r w:rsidR="00141AFF" w:rsidRPr="00FF6E12">
        <w:t xml:space="preserve"> 17</w:t>
      </w:r>
      <w:r w:rsidRPr="00FF6E12">
        <w:t>.</w:t>
      </w:r>
    </w:p>
  </w:footnote>
  <w:footnote w:id="303">
    <w:p w14:paraId="1FE91F87" w14:textId="3F123500" w:rsidR="00432522" w:rsidRPr="00FF6E12" w:rsidRDefault="00432522">
      <w:pPr>
        <w:pStyle w:val="FootnoteText"/>
      </w:pPr>
      <w:r w:rsidRPr="00FF6E12">
        <w:rPr>
          <w:rStyle w:val="FootnoteReference"/>
        </w:rPr>
        <w:footnoteRef/>
      </w:r>
      <w:r w:rsidRPr="00FF6E12">
        <w:t xml:space="preserve"> </w:t>
      </w:r>
      <w:r w:rsidR="002A786C" w:rsidRPr="00FF6E12">
        <w:t>Participant</w:t>
      </w:r>
      <w:r w:rsidR="00141AFF" w:rsidRPr="00FF6E12">
        <w:t xml:space="preserve"> 33</w:t>
      </w:r>
      <w:r w:rsidRPr="00FF6E12">
        <w:t>.</w:t>
      </w:r>
    </w:p>
  </w:footnote>
  <w:footnote w:id="304">
    <w:p w14:paraId="30C43FB9" w14:textId="551F0272" w:rsidR="00432522" w:rsidRPr="00FF6E12" w:rsidRDefault="00432522">
      <w:pPr>
        <w:pStyle w:val="FootnoteText"/>
      </w:pPr>
      <w:r w:rsidRPr="00FF6E12">
        <w:rPr>
          <w:rStyle w:val="FootnoteReference"/>
        </w:rPr>
        <w:footnoteRef/>
      </w:r>
      <w:r w:rsidRPr="00FF6E12">
        <w:t xml:space="preserve"> </w:t>
      </w:r>
      <w:r w:rsidR="002A786C" w:rsidRPr="00FF6E12">
        <w:t>Participant</w:t>
      </w:r>
      <w:r w:rsidR="00141AFF" w:rsidRPr="00FF6E12">
        <w:t xml:space="preserve"> 37</w:t>
      </w:r>
      <w:r w:rsidRPr="00FF6E12">
        <w:t>.</w:t>
      </w:r>
    </w:p>
  </w:footnote>
  <w:footnote w:id="305">
    <w:p w14:paraId="72B26431" w14:textId="397281C8" w:rsidR="00387BF4" w:rsidRPr="00FF6E12" w:rsidRDefault="00387BF4">
      <w:pPr>
        <w:pStyle w:val="FootnoteText"/>
      </w:pPr>
      <w:r w:rsidRPr="00FF6E12">
        <w:rPr>
          <w:rStyle w:val="FootnoteReference"/>
        </w:rPr>
        <w:footnoteRef/>
      </w:r>
      <w:r w:rsidRPr="00FF6E12">
        <w:t xml:space="preserve"> </w:t>
      </w:r>
      <w:r w:rsidR="00263295" w:rsidRPr="00FF6E12">
        <w:t xml:space="preserve">See </w:t>
      </w:r>
      <w:r w:rsidR="000601DB" w:rsidRPr="00FF6E12">
        <w:t>DECYP</w:t>
      </w:r>
      <w:r w:rsidR="001777C5" w:rsidRPr="00FF6E12">
        <w:t xml:space="preserve"> (n </w:t>
      </w:r>
      <w:r w:rsidR="001777C5" w:rsidRPr="00FF6E12">
        <w:fldChar w:fldCharType="begin"/>
      </w:r>
      <w:r w:rsidR="001777C5" w:rsidRPr="00FF6E12">
        <w:instrText xml:space="preserve"> NOTEREF _Ref217907385 \h </w:instrText>
      </w:r>
      <w:r w:rsidR="001777C5" w:rsidRPr="00FF6E12">
        <w:fldChar w:fldCharType="separate"/>
      </w:r>
      <w:r w:rsidR="007D7830">
        <w:t>35</w:t>
      </w:r>
      <w:r w:rsidR="001777C5" w:rsidRPr="00FF6E12">
        <w:fldChar w:fldCharType="end"/>
      </w:r>
      <w:r w:rsidR="001777C5" w:rsidRPr="00FF6E12">
        <w:t>)</w:t>
      </w:r>
      <w:r w:rsidR="000601DB" w:rsidRPr="00FF6E12">
        <w:t xml:space="preserve"> </w:t>
      </w:r>
      <w:r w:rsidR="00263295" w:rsidRPr="00FF6E12">
        <w:t>Strategy 5</w:t>
      </w:r>
      <w:r w:rsidR="00320B0F" w:rsidRPr="00FF6E12">
        <w:t xml:space="preserve">; Appendix </w:t>
      </w:r>
      <w:r w:rsidR="00225A02" w:rsidRPr="00FF6E12">
        <w:t>K</w:t>
      </w:r>
      <w:r w:rsidR="004526E8" w:rsidRPr="00FF6E12">
        <w:t xml:space="preserve"> and </w:t>
      </w:r>
      <w:r w:rsidR="00225A02" w:rsidRPr="00FF6E12">
        <w:t>L</w:t>
      </w:r>
      <w:r w:rsidR="00AB7B62" w:rsidRPr="00FF6E12">
        <w:t>; Tasmania</w:t>
      </w:r>
      <w:r w:rsidR="00EB2814" w:rsidRPr="00FF6E12">
        <w:t>n</w:t>
      </w:r>
      <w:r w:rsidR="00AB7B62" w:rsidRPr="00FF6E12">
        <w:t xml:space="preserve"> Government</w:t>
      </w:r>
      <w:r w:rsidR="00EB2814" w:rsidRPr="00FF6E12">
        <w:t xml:space="preserve"> (n </w:t>
      </w:r>
      <w:r w:rsidR="00EB2814" w:rsidRPr="00FF6E12">
        <w:fldChar w:fldCharType="begin"/>
      </w:r>
      <w:r w:rsidR="00EB2814" w:rsidRPr="00FF6E12">
        <w:instrText xml:space="preserve"> NOTEREF _Ref217905183 \h </w:instrText>
      </w:r>
      <w:r w:rsidR="00EB2814" w:rsidRPr="00FF6E12">
        <w:fldChar w:fldCharType="separate"/>
      </w:r>
      <w:r w:rsidR="007D7830">
        <w:t>11</w:t>
      </w:r>
      <w:r w:rsidR="00EB2814" w:rsidRPr="00FF6E12">
        <w:fldChar w:fldCharType="end"/>
      </w:r>
      <w:r w:rsidR="00EB2814" w:rsidRPr="00FF6E12">
        <w:t>)</w:t>
      </w:r>
      <w:r w:rsidR="00AD2328" w:rsidRPr="00FF6E12">
        <w:t>.</w:t>
      </w:r>
    </w:p>
  </w:footnote>
  <w:footnote w:id="306">
    <w:p w14:paraId="4653BC1A" w14:textId="27F9F430" w:rsidR="009B4D3B" w:rsidRPr="00FF6E12" w:rsidRDefault="009B4D3B" w:rsidP="00A920EC">
      <w:pPr>
        <w:pStyle w:val="FootnoteText"/>
      </w:pPr>
      <w:r w:rsidRPr="00FF6E12">
        <w:rPr>
          <w:rStyle w:val="FootnoteReference"/>
        </w:rPr>
        <w:footnoteRef/>
      </w:r>
      <w:r w:rsidRPr="00FF6E12">
        <w:t xml:space="preserve"> </w:t>
      </w:r>
      <w:r w:rsidR="008B0E7E" w:rsidRPr="00FF6E12">
        <w:t xml:space="preserve">Participant </w:t>
      </w:r>
      <w:r w:rsidR="004434D2" w:rsidRPr="00FF6E12">
        <w:t>1</w:t>
      </w:r>
    </w:p>
  </w:footnote>
  <w:footnote w:id="307">
    <w:p w14:paraId="122E3359" w14:textId="1EE10D2D" w:rsidR="009B4D3B" w:rsidRPr="00FF6E12" w:rsidRDefault="009B4D3B"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6</w:t>
      </w:r>
      <w:r w:rsidRPr="00FF6E12">
        <w:t>.</w:t>
      </w:r>
    </w:p>
  </w:footnote>
  <w:footnote w:id="308">
    <w:p w14:paraId="1C615C76" w14:textId="6CC48D05" w:rsidR="009B4D3B" w:rsidRPr="00FF6E12" w:rsidRDefault="009B4D3B"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33</w:t>
      </w:r>
    </w:p>
  </w:footnote>
  <w:footnote w:id="309">
    <w:p w14:paraId="60702C4D" w14:textId="2C93C230" w:rsidR="009B4D3B" w:rsidRPr="00FF6E12" w:rsidRDefault="009B4D3B"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30</w:t>
      </w:r>
      <w:r w:rsidRPr="00FF6E12">
        <w:t>.</w:t>
      </w:r>
    </w:p>
  </w:footnote>
  <w:footnote w:id="310">
    <w:p w14:paraId="288B3733" w14:textId="36DC19DF" w:rsidR="00FF4181" w:rsidRPr="00FF6E12" w:rsidRDefault="00FF4181" w:rsidP="00A920EC">
      <w:pPr>
        <w:pStyle w:val="FootnoteText"/>
      </w:pPr>
      <w:r w:rsidRPr="00FF6E12">
        <w:rPr>
          <w:rStyle w:val="FootnoteReference"/>
        </w:rPr>
        <w:footnoteRef/>
      </w:r>
      <w:r w:rsidRPr="00FF6E12">
        <w:t xml:space="preserve"> See [</w:t>
      </w:r>
      <w:r w:rsidR="00CA443E">
        <w:fldChar w:fldCharType="begin"/>
      </w:r>
      <w:r w:rsidR="00CA443E">
        <w:instrText xml:space="preserve"> REF _Ref218252972 \r \h </w:instrText>
      </w:r>
      <w:r w:rsidR="00CA443E">
        <w:fldChar w:fldCharType="separate"/>
      </w:r>
      <w:r w:rsidR="007D7830">
        <w:t>6.2</w:t>
      </w:r>
      <w:r w:rsidR="00CA443E">
        <w:fldChar w:fldCharType="end"/>
      </w:r>
      <w:r w:rsidRPr="00FF6E12">
        <w:t>] for a discussion of mandatory reporting.</w:t>
      </w:r>
    </w:p>
  </w:footnote>
  <w:footnote w:id="311">
    <w:p w14:paraId="68CF5A5A" w14:textId="5F0BBAAE" w:rsidR="00C714FA" w:rsidRPr="00FF6E12" w:rsidRDefault="00C714FA">
      <w:pPr>
        <w:pStyle w:val="FootnoteText"/>
      </w:pPr>
      <w:r w:rsidRPr="00FF6E12">
        <w:rPr>
          <w:rStyle w:val="FootnoteReference"/>
        </w:rPr>
        <w:footnoteRef/>
      </w:r>
      <w:r w:rsidRPr="00FF6E12">
        <w:t xml:space="preserve"> </w:t>
      </w:r>
      <w:r w:rsidR="00186EC7" w:rsidRPr="00FF6E12">
        <w:t xml:space="preserve">Royal Commission into Institutional Responses to Child Sexual Abuse (n 13) vol 10 </w:t>
      </w:r>
      <w:r w:rsidRPr="00FF6E12">
        <w:t>[4.2.4].</w:t>
      </w:r>
    </w:p>
  </w:footnote>
  <w:footnote w:id="312">
    <w:p w14:paraId="75CA24EE" w14:textId="514C0056" w:rsidR="00C714FA" w:rsidRPr="00FF6E12" w:rsidRDefault="00C714FA">
      <w:pPr>
        <w:pStyle w:val="FootnoteText"/>
      </w:pPr>
      <w:r w:rsidRPr="00FF6E12">
        <w:rPr>
          <w:rStyle w:val="FootnoteReference"/>
        </w:rPr>
        <w:footnoteRef/>
      </w:r>
      <w:r w:rsidRPr="00FF6E12">
        <w:t xml:space="preserve"> </w:t>
      </w:r>
      <w:r w:rsidR="00186EC7" w:rsidRPr="00FF6E12">
        <w:t>Ibid</w:t>
      </w:r>
      <w:r w:rsidRPr="00FF6E12">
        <w:t>.</w:t>
      </w:r>
    </w:p>
  </w:footnote>
  <w:footnote w:id="313">
    <w:p w14:paraId="7B2B35BF" w14:textId="7F1A72E0" w:rsidR="0033740E" w:rsidRPr="00FF6E12" w:rsidRDefault="0033740E">
      <w:pPr>
        <w:pStyle w:val="FootnoteText"/>
      </w:pPr>
      <w:r w:rsidRPr="00FF6E12">
        <w:rPr>
          <w:rStyle w:val="FootnoteReference"/>
        </w:rPr>
        <w:footnoteRef/>
      </w:r>
      <w:r w:rsidRPr="00FF6E12">
        <w:t xml:space="preserve"> See further Part 5 for a discussion of the broader context of the youth justice system.</w:t>
      </w:r>
    </w:p>
  </w:footnote>
  <w:footnote w:id="314">
    <w:p w14:paraId="447175BA" w14:textId="3AD5194A" w:rsidR="00DF20CC" w:rsidRPr="00FF6E12" w:rsidRDefault="00DF20CC">
      <w:pPr>
        <w:pStyle w:val="FootnoteText"/>
      </w:pPr>
      <w:r w:rsidRPr="00FF6E12">
        <w:rPr>
          <w:rStyle w:val="FootnoteReference"/>
        </w:rPr>
        <w:footnoteRef/>
      </w:r>
      <w:r w:rsidRPr="00FF6E12">
        <w:t xml:space="preserve"> </w:t>
      </w:r>
      <w:r w:rsidR="002A786C" w:rsidRPr="00FF6E12">
        <w:t>Participant</w:t>
      </w:r>
      <w:r w:rsidR="00141AFF" w:rsidRPr="00FF6E12">
        <w:t xml:space="preserve"> 27</w:t>
      </w:r>
      <w:r w:rsidRPr="00FF6E12">
        <w:t>.</w:t>
      </w:r>
    </w:p>
  </w:footnote>
  <w:footnote w:id="315">
    <w:p w14:paraId="4FBE28BA" w14:textId="2D6E2E4D" w:rsidR="00DF20CC" w:rsidRPr="00FF6E12" w:rsidRDefault="00DF20CC"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26</w:t>
      </w:r>
      <w:r w:rsidRPr="00FF6E12">
        <w:t>.</w:t>
      </w:r>
    </w:p>
  </w:footnote>
  <w:footnote w:id="316">
    <w:p w14:paraId="4D2D3E56" w14:textId="6585C580" w:rsidR="00DF20CC" w:rsidRPr="00FF6E12" w:rsidRDefault="00DF20CC">
      <w:pPr>
        <w:pStyle w:val="FootnoteText"/>
      </w:pPr>
      <w:r w:rsidRPr="00FF6E12">
        <w:rPr>
          <w:rStyle w:val="FootnoteReference"/>
        </w:rPr>
        <w:footnoteRef/>
      </w:r>
      <w:r w:rsidRPr="00FF6E12">
        <w:t xml:space="preserve"> </w:t>
      </w:r>
      <w:r w:rsidR="002A786C" w:rsidRPr="00FF6E12">
        <w:t>Participant</w:t>
      </w:r>
      <w:r w:rsidR="00141AFF" w:rsidRPr="00FF6E12">
        <w:t xml:space="preserve"> 12</w:t>
      </w:r>
    </w:p>
  </w:footnote>
  <w:footnote w:id="317">
    <w:p w14:paraId="402986FC" w14:textId="301F6E53" w:rsidR="003E2AF7" w:rsidRPr="00FF6E12" w:rsidRDefault="003E2AF7">
      <w:pPr>
        <w:pStyle w:val="FootnoteText"/>
      </w:pPr>
      <w:r w:rsidRPr="00FF6E12">
        <w:rPr>
          <w:rStyle w:val="FootnoteReference"/>
        </w:rPr>
        <w:footnoteRef/>
      </w:r>
      <w:r w:rsidRPr="00FF6E12">
        <w:t xml:space="preserve"> </w:t>
      </w:r>
      <w:r w:rsidR="002A786C" w:rsidRPr="00FF6E12">
        <w:t>Participant</w:t>
      </w:r>
      <w:r w:rsidR="00141AFF" w:rsidRPr="00FF6E12">
        <w:t xml:space="preserve"> 18</w:t>
      </w:r>
      <w:r w:rsidRPr="00FF6E12">
        <w:t>.</w:t>
      </w:r>
    </w:p>
  </w:footnote>
  <w:footnote w:id="318">
    <w:p w14:paraId="142C459F" w14:textId="3E86F9B6" w:rsidR="003E2AF7" w:rsidRPr="00FF6E12" w:rsidRDefault="003E2AF7">
      <w:pPr>
        <w:pStyle w:val="FootnoteText"/>
      </w:pPr>
      <w:r w:rsidRPr="00FF6E12">
        <w:rPr>
          <w:rStyle w:val="FootnoteReference"/>
        </w:rPr>
        <w:footnoteRef/>
      </w:r>
      <w:r w:rsidRPr="00FF6E12">
        <w:t xml:space="preserve"> </w:t>
      </w:r>
      <w:r w:rsidR="002A786C" w:rsidRPr="00FF6E12">
        <w:t>Participant</w:t>
      </w:r>
      <w:r w:rsidR="00141AFF" w:rsidRPr="00FF6E12">
        <w:t xml:space="preserve"> 23</w:t>
      </w:r>
      <w:r w:rsidRPr="00FF6E12">
        <w:t>.</w:t>
      </w:r>
    </w:p>
  </w:footnote>
  <w:footnote w:id="319">
    <w:p w14:paraId="01779099" w14:textId="711F18D4" w:rsidR="003E2AF7" w:rsidRPr="00FF6E12" w:rsidRDefault="003E2AF7">
      <w:pPr>
        <w:pStyle w:val="FootnoteText"/>
      </w:pPr>
      <w:r w:rsidRPr="00FF6E12">
        <w:rPr>
          <w:rStyle w:val="FootnoteReference"/>
        </w:rPr>
        <w:footnoteRef/>
      </w:r>
      <w:r w:rsidRPr="00FF6E12">
        <w:t xml:space="preserve"> </w:t>
      </w:r>
      <w:r w:rsidR="002A786C" w:rsidRPr="00FF6E12">
        <w:t>Participant</w:t>
      </w:r>
      <w:r w:rsidR="00141AFF" w:rsidRPr="00FF6E12">
        <w:t xml:space="preserve"> 30</w:t>
      </w:r>
      <w:r w:rsidRPr="00FF6E12">
        <w:t>.</w:t>
      </w:r>
    </w:p>
  </w:footnote>
  <w:footnote w:id="320">
    <w:p w14:paraId="28AA1F1D" w14:textId="106D1C7A" w:rsidR="00BD670F" w:rsidRPr="00FF6E12" w:rsidRDefault="00BD670F">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w:t>
      </w:r>
      <w:r w:rsidRPr="00FF6E12">
        <w:t xml:space="preserve">ol 8 </w:t>
      </w:r>
      <w:r w:rsidR="00A214D5" w:rsidRPr="00FF6E12">
        <w:t xml:space="preserve">ch </w:t>
      </w:r>
      <w:r w:rsidRPr="00FF6E12">
        <w:t>21 3</w:t>
      </w:r>
    </w:p>
  </w:footnote>
  <w:footnote w:id="321">
    <w:p w14:paraId="7594D63F" w14:textId="56A3D369" w:rsidR="00E9344A" w:rsidRPr="00FF6E12" w:rsidRDefault="00E9344A">
      <w:pPr>
        <w:pStyle w:val="FootnoteText"/>
      </w:pPr>
      <w:r w:rsidRPr="00FF6E12">
        <w:rPr>
          <w:rStyle w:val="FootnoteReference"/>
        </w:rPr>
        <w:footnoteRef/>
      </w:r>
      <w:r w:rsidRPr="00FF6E12">
        <w:t xml:space="preserve"> </w:t>
      </w:r>
      <w:r w:rsidR="00A214D5" w:rsidRPr="00FF6E12">
        <w:t>Ibid.</w:t>
      </w:r>
    </w:p>
  </w:footnote>
  <w:footnote w:id="322">
    <w:p w14:paraId="6E506268" w14:textId="69379093" w:rsidR="0002516C" w:rsidRPr="00FF6E12" w:rsidRDefault="0002516C">
      <w:pPr>
        <w:pStyle w:val="FootnoteText"/>
      </w:pPr>
      <w:r w:rsidRPr="00FF6E12">
        <w:rPr>
          <w:rStyle w:val="FootnoteReference"/>
        </w:rPr>
        <w:footnoteRef/>
      </w:r>
      <w:r w:rsidRPr="00FF6E12">
        <w:t xml:space="preserve"> </w:t>
      </w:r>
      <w:r w:rsidR="00A214D5" w:rsidRPr="00FF6E12">
        <w:t>Ibid</w:t>
      </w:r>
      <w:r w:rsidRPr="00FF6E12">
        <w:t xml:space="preserve"> [5.4]</w:t>
      </w:r>
      <w:r w:rsidR="00A214D5" w:rsidRPr="00FF6E12">
        <w:t>,</w:t>
      </w:r>
      <w:r w:rsidR="00DA5CC2" w:rsidRPr="00FF6E12">
        <w:t xml:space="preserve"> Recommendation 21.8</w:t>
      </w:r>
    </w:p>
  </w:footnote>
  <w:footnote w:id="323">
    <w:p w14:paraId="284621BD" w14:textId="64DA9C3B" w:rsidR="005F7C51" w:rsidRPr="00FF6E12" w:rsidRDefault="005F7C51">
      <w:pPr>
        <w:pStyle w:val="FootnoteText"/>
      </w:pPr>
      <w:r w:rsidRPr="00FF6E12">
        <w:rPr>
          <w:rStyle w:val="FootnoteReference"/>
        </w:rPr>
        <w:footnoteRef/>
      </w:r>
      <w:r w:rsidRPr="00FF6E12">
        <w:t xml:space="preserve"> </w:t>
      </w:r>
      <w:r w:rsidR="00BE0B40" w:rsidRPr="00FF6E12">
        <w:t>For</w:t>
      </w:r>
      <w:r w:rsidR="008D03B0" w:rsidRPr="00FF6E12">
        <w:t xml:space="preserve"> </w:t>
      </w:r>
      <w:r w:rsidR="00FC2F8D" w:rsidRPr="00FF6E12">
        <w:t>example</w:t>
      </w:r>
      <w:r w:rsidR="008D03B0" w:rsidRPr="00FF6E12">
        <w:t xml:space="preserve">, see </w:t>
      </w:r>
      <w:r w:rsidR="00B50469" w:rsidRPr="00FF6E12">
        <w:t>DECYP</w:t>
      </w:r>
      <w:r w:rsidR="00A214D5" w:rsidRPr="00FF6E12">
        <w:t xml:space="preserve"> (n </w:t>
      </w:r>
      <w:r w:rsidR="00A214D5" w:rsidRPr="00FF6E12">
        <w:fldChar w:fldCharType="begin"/>
      </w:r>
      <w:r w:rsidR="00A214D5" w:rsidRPr="00FF6E12">
        <w:instrText xml:space="preserve"> NOTEREF _Ref217907385 \h </w:instrText>
      </w:r>
      <w:r w:rsidR="00A214D5" w:rsidRPr="00FF6E12">
        <w:fldChar w:fldCharType="separate"/>
      </w:r>
      <w:r w:rsidR="007D7830">
        <w:t>35</w:t>
      </w:r>
      <w:r w:rsidR="00A214D5" w:rsidRPr="00FF6E12">
        <w:fldChar w:fldCharType="end"/>
      </w:r>
      <w:r w:rsidR="00A214D5" w:rsidRPr="00FF6E12">
        <w:t>)</w:t>
      </w:r>
      <w:r w:rsidR="00B50469" w:rsidRPr="00FF6E12">
        <w:t xml:space="preserve"> </w:t>
      </w:r>
      <w:r w:rsidR="00FC2F8D" w:rsidRPr="00FF6E12">
        <w:t>4.</w:t>
      </w:r>
    </w:p>
  </w:footnote>
  <w:footnote w:id="324">
    <w:p w14:paraId="75E9D9C3" w14:textId="1F4449EF" w:rsidR="00DA1D51" w:rsidRPr="00FF6E12" w:rsidRDefault="00DA1D51" w:rsidP="00A920EC">
      <w:pPr>
        <w:pStyle w:val="FootnoteText"/>
      </w:pPr>
      <w:r w:rsidRPr="00FF6E12">
        <w:rPr>
          <w:rStyle w:val="FootnoteReference"/>
        </w:rPr>
        <w:footnoteRef/>
      </w:r>
      <w:r w:rsidRPr="00FF6E12">
        <w:t xml:space="preserve"> </w:t>
      </w:r>
      <w:r w:rsidRPr="00FF6E12">
        <w:rPr>
          <w:i/>
          <w:iCs/>
        </w:rPr>
        <w:t>Criminal Code</w:t>
      </w:r>
      <w:r w:rsidR="00EB2814" w:rsidRPr="00FF6E12">
        <w:t xml:space="preserve"> (Tas)</w:t>
      </w:r>
      <w:r w:rsidRPr="00FF6E12">
        <w:t xml:space="preserve"> s 1 define</w:t>
      </w:r>
      <w:r w:rsidR="0029489D" w:rsidRPr="00FF6E12">
        <w:t>s</w:t>
      </w:r>
      <w:r w:rsidRPr="00FF6E12">
        <w:t xml:space="preserve"> criminal responsibility to mean ‘liable to punishment as for an offence’.</w:t>
      </w:r>
    </w:p>
  </w:footnote>
  <w:footnote w:id="325">
    <w:p w14:paraId="7ACD9E6D" w14:textId="77777777" w:rsidR="004C465A" w:rsidRPr="00FF6E12" w:rsidRDefault="004C465A">
      <w:pPr>
        <w:pStyle w:val="FootnoteText"/>
      </w:pPr>
      <w:r w:rsidRPr="00FF6E12">
        <w:rPr>
          <w:rStyle w:val="FootnoteReference"/>
        </w:rPr>
        <w:footnoteRef/>
      </w:r>
      <w:r w:rsidRPr="00FF6E12">
        <w:t xml:space="preserve"> </w:t>
      </w:r>
      <w:r w:rsidRPr="00FF6E12">
        <w:rPr>
          <w:i/>
          <w:iCs/>
        </w:rPr>
        <w:t xml:space="preserve">Criminal Code </w:t>
      </w:r>
      <w:r w:rsidRPr="00FF6E12">
        <w:t>(Tas) s 18(1). Until 2000, the minimum age of criminal responsibility was 7.</w:t>
      </w:r>
    </w:p>
  </w:footnote>
  <w:footnote w:id="326">
    <w:p w14:paraId="3D43B069" w14:textId="431C64A4" w:rsidR="004C465A" w:rsidRPr="00FF6E12" w:rsidRDefault="004C465A">
      <w:pPr>
        <w:pStyle w:val="FootnoteText"/>
      </w:pPr>
      <w:r w:rsidRPr="00FF6E12">
        <w:rPr>
          <w:rStyle w:val="FootnoteReference"/>
        </w:rPr>
        <w:footnoteRef/>
      </w:r>
      <w:r w:rsidRPr="00FF6E12">
        <w:t xml:space="preserve"> See discussion in TLRI, </w:t>
      </w:r>
      <w:r w:rsidRPr="00A920EC">
        <w:rPr>
          <w:i/>
          <w:iCs/>
        </w:rPr>
        <w:t>Raising the Minimum Age of Criminal Responsibility: Law Reform Considerations</w:t>
      </w:r>
      <w:r w:rsidRPr="00FF6E12">
        <w:t xml:space="preserve"> (</w:t>
      </w:r>
      <w:r w:rsidR="00EB2814" w:rsidRPr="00FF6E12">
        <w:t xml:space="preserve">TLRI, </w:t>
      </w:r>
      <w:r w:rsidRPr="00FF6E12">
        <w:t xml:space="preserve">Research Paper </w:t>
      </w:r>
      <w:r w:rsidR="00EB2814" w:rsidRPr="00FF6E12">
        <w:t xml:space="preserve">no </w:t>
      </w:r>
      <w:r w:rsidRPr="00FF6E12">
        <w:t>4, 2022) [5.6].</w:t>
      </w:r>
    </w:p>
  </w:footnote>
  <w:footnote w:id="327">
    <w:p w14:paraId="68D38CE0" w14:textId="705FA0FE" w:rsidR="004C465A" w:rsidRPr="00FF6E12" w:rsidRDefault="004C465A">
      <w:pPr>
        <w:pStyle w:val="FootnoteText"/>
      </w:pPr>
      <w:r w:rsidRPr="00FF6E12">
        <w:rPr>
          <w:rStyle w:val="FootnoteReference"/>
        </w:rPr>
        <w:footnoteRef/>
      </w:r>
      <w:r w:rsidRPr="00FF6E12">
        <w:t xml:space="preserve"> In Tasmania, the </w:t>
      </w:r>
      <w:r w:rsidRPr="00FF6E12">
        <w:rPr>
          <w:i/>
          <w:iCs/>
        </w:rPr>
        <w:t xml:space="preserve">Criminal Code </w:t>
      </w:r>
      <w:r w:rsidRPr="00FF6E12">
        <w:t xml:space="preserve">(Tas) s 18(1) provides that ‘no act or omission done or made by a person under 14 years of age is an offence unless it be provided that he had sufficient capacity to know that the act or omission was one which he ought not to do or make’. See </w:t>
      </w:r>
      <w:r w:rsidR="000A061B" w:rsidRPr="00FF6E12">
        <w:t>ibid</w:t>
      </w:r>
      <w:r w:rsidRPr="00FF6E12">
        <w:t xml:space="preserve"> [5.1.23]–[5.1.25]; Jonathan Gu, ‘Did a High Court decision on doli incapax shift court outcomes for 10-13 year olds?’ </w:t>
      </w:r>
      <w:r w:rsidRPr="00FF6E12">
        <w:rPr>
          <w:i/>
          <w:iCs/>
        </w:rPr>
        <w:t>Criminal and Justice Bulletin No 268</w:t>
      </w:r>
      <w:r w:rsidRPr="00FF6E12">
        <w:t xml:space="preserve"> (N</w:t>
      </w:r>
      <w:r w:rsidR="000A061B" w:rsidRPr="00FF6E12">
        <w:t xml:space="preserve">ew </w:t>
      </w:r>
      <w:r w:rsidRPr="00FF6E12">
        <w:t>S</w:t>
      </w:r>
      <w:r w:rsidR="000A061B" w:rsidRPr="00FF6E12">
        <w:t xml:space="preserve">outh </w:t>
      </w:r>
      <w:r w:rsidRPr="00FF6E12">
        <w:t>W</w:t>
      </w:r>
      <w:r w:rsidR="000A061B" w:rsidRPr="00FF6E12">
        <w:t>ales</w:t>
      </w:r>
      <w:r w:rsidRPr="00FF6E12">
        <w:t xml:space="preserve"> Bureau of Crime Statistics and Research, 2025).</w:t>
      </w:r>
    </w:p>
  </w:footnote>
  <w:footnote w:id="328">
    <w:p w14:paraId="2BA5A5A0" w14:textId="23FACD80" w:rsidR="000C6134" w:rsidRPr="00FF6E12" w:rsidRDefault="000C6134">
      <w:pPr>
        <w:pStyle w:val="FootnoteText"/>
      </w:pPr>
      <w:r w:rsidRPr="00FF6E12">
        <w:rPr>
          <w:rStyle w:val="FootnoteReference"/>
        </w:rPr>
        <w:footnoteRef/>
      </w:r>
      <w:r w:rsidRPr="00FF6E12">
        <w:t xml:space="preserve"> TLRI</w:t>
      </w:r>
      <w:r w:rsidR="000A061B" w:rsidRPr="00FF6E12">
        <w:t xml:space="preserve"> (n </w:t>
      </w:r>
      <w:r w:rsidR="000A061B" w:rsidRPr="00FF6E12">
        <w:fldChar w:fldCharType="begin"/>
      </w:r>
      <w:r w:rsidR="000A061B" w:rsidRPr="00FF6E12">
        <w:instrText xml:space="preserve"> NOTEREF _Ref217983585 \h </w:instrText>
      </w:r>
      <w:r w:rsidR="000A061B" w:rsidRPr="00FF6E12">
        <w:fldChar w:fldCharType="separate"/>
      </w:r>
      <w:r w:rsidR="007D7830">
        <w:t>325</w:t>
      </w:r>
      <w:r w:rsidR="000A061B" w:rsidRPr="00FF6E12">
        <w:fldChar w:fldCharType="end"/>
      </w:r>
      <w:r w:rsidR="000A061B" w:rsidRPr="00FF6E12">
        <w:t xml:space="preserve">) </w:t>
      </w:r>
      <w:r w:rsidRPr="00FF6E12">
        <w:t>7.</w:t>
      </w:r>
      <w:r w:rsidR="004A0E32" w:rsidRPr="00FF6E12">
        <w:t xml:space="preserve"> </w:t>
      </w:r>
    </w:p>
  </w:footnote>
  <w:footnote w:id="329">
    <w:p w14:paraId="3B4B10F6" w14:textId="18361E3A" w:rsidR="00D36A9A" w:rsidRPr="00FF6E12" w:rsidRDefault="00D36A9A">
      <w:pPr>
        <w:pStyle w:val="FootnoteText"/>
      </w:pPr>
      <w:r w:rsidRPr="00FF6E12">
        <w:rPr>
          <w:rStyle w:val="FootnoteReference"/>
        </w:rPr>
        <w:footnoteRef/>
      </w:r>
      <w:r w:rsidRPr="00FF6E12">
        <w:t xml:space="preserve"> </w:t>
      </w:r>
      <w:r w:rsidRPr="00A920EC">
        <w:rPr>
          <w:i/>
          <w:iCs/>
        </w:rPr>
        <w:t>Youth Justice Act 2024</w:t>
      </w:r>
      <w:r w:rsidRPr="00FF6E12">
        <w:t xml:space="preserve"> (Vic).</w:t>
      </w:r>
    </w:p>
  </w:footnote>
  <w:footnote w:id="330">
    <w:p w14:paraId="28B13536" w14:textId="0D587E58" w:rsidR="00D36A9A" w:rsidRPr="00FF6E12" w:rsidRDefault="00D36A9A">
      <w:pPr>
        <w:pStyle w:val="FootnoteText"/>
      </w:pPr>
      <w:r w:rsidRPr="00FF6E12">
        <w:rPr>
          <w:rStyle w:val="FootnoteReference"/>
        </w:rPr>
        <w:footnoteRef/>
      </w:r>
      <w:r w:rsidRPr="00FF6E12">
        <w:t xml:space="preserve"> </w:t>
      </w:r>
      <w:r w:rsidRPr="00A920EC">
        <w:rPr>
          <w:i/>
          <w:iCs/>
        </w:rPr>
        <w:t>Justice (Age of Criminal Responsibility) Legislation Amendment Act 2023</w:t>
      </w:r>
      <w:r w:rsidRPr="00FF6E12">
        <w:t xml:space="preserve"> (ACT).</w:t>
      </w:r>
    </w:p>
  </w:footnote>
  <w:footnote w:id="331">
    <w:p w14:paraId="5225D9AC" w14:textId="0E796E99" w:rsidR="004C465A" w:rsidRPr="00FF6E12" w:rsidRDefault="004C465A">
      <w:pPr>
        <w:pStyle w:val="FootnoteText"/>
      </w:pPr>
      <w:r w:rsidRPr="00FF6E12">
        <w:rPr>
          <w:rStyle w:val="FootnoteReference"/>
        </w:rPr>
        <w:footnoteRef/>
      </w:r>
      <w:r w:rsidRPr="00FF6E12">
        <w:t xml:space="preserve"> See discussion in </w:t>
      </w:r>
      <w:r w:rsidR="00572528" w:rsidRPr="00FF6E12">
        <w:t>Gu</w:t>
      </w:r>
      <w:r w:rsidR="000A061B" w:rsidRPr="00FF6E12">
        <w:t xml:space="preserve"> (n </w:t>
      </w:r>
      <w:r w:rsidR="000A061B" w:rsidRPr="00FF6E12">
        <w:fldChar w:fldCharType="begin"/>
      </w:r>
      <w:r w:rsidR="000A061B" w:rsidRPr="00FF6E12">
        <w:instrText xml:space="preserve"> NOTEREF _Ref217983618 \h </w:instrText>
      </w:r>
      <w:r w:rsidR="000A061B" w:rsidRPr="00FF6E12">
        <w:fldChar w:fldCharType="separate"/>
      </w:r>
      <w:r w:rsidR="007D7830">
        <w:t>326</w:t>
      </w:r>
      <w:r w:rsidR="000A061B" w:rsidRPr="00FF6E12">
        <w:fldChar w:fldCharType="end"/>
      </w:r>
      <w:r w:rsidR="000A061B" w:rsidRPr="00FF6E12">
        <w:t>).</w:t>
      </w:r>
    </w:p>
  </w:footnote>
  <w:footnote w:id="332">
    <w:p w14:paraId="30594D7B" w14:textId="208064C5" w:rsidR="00056B47" w:rsidRPr="00FF6E12" w:rsidRDefault="00056B47">
      <w:pPr>
        <w:pStyle w:val="FootnoteText"/>
      </w:pPr>
      <w:r w:rsidRPr="00FF6E12">
        <w:rPr>
          <w:rStyle w:val="FootnoteReference"/>
        </w:rPr>
        <w:footnoteRef/>
      </w:r>
      <w:r w:rsidRPr="00FF6E12">
        <w:t xml:space="preserve"> See </w:t>
      </w:r>
      <w:r w:rsidR="00826A6F" w:rsidRPr="00FF6E12">
        <w:t>Appendix</w:t>
      </w:r>
      <w:r w:rsidR="004300FF" w:rsidRPr="00FF6E12">
        <w:t xml:space="preserve"> K</w:t>
      </w:r>
      <w:r w:rsidR="00211CFE" w:rsidRPr="00FF6E12">
        <w:t xml:space="preserve"> and </w:t>
      </w:r>
      <w:r w:rsidR="00573142">
        <w:t xml:space="preserve">Appendix </w:t>
      </w:r>
      <w:r w:rsidR="004300FF" w:rsidRPr="00FF6E12">
        <w:t>L</w:t>
      </w:r>
      <w:r w:rsidRPr="00FF6E12">
        <w:t>.</w:t>
      </w:r>
    </w:p>
  </w:footnote>
  <w:footnote w:id="333">
    <w:p w14:paraId="3B7F5FAB" w14:textId="570F2523" w:rsidR="00A92F07" w:rsidRPr="00FF6E12" w:rsidRDefault="00A92F07">
      <w:pPr>
        <w:pStyle w:val="FootnoteText"/>
      </w:pPr>
      <w:r w:rsidRPr="00FF6E12">
        <w:rPr>
          <w:rStyle w:val="FootnoteReference"/>
        </w:rPr>
        <w:footnoteRef/>
      </w:r>
      <w:r w:rsidRPr="00FF6E12">
        <w:t xml:space="preserve"> </w:t>
      </w:r>
      <w:r w:rsidR="000A061B" w:rsidRPr="00FF6E12">
        <w:t xml:space="preserve">TLRI (n </w:t>
      </w:r>
      <w:r w:rsidR="000A061B" w:rsidRPr="00FF6E12">
        <w:fldChar w:fldCharType="begin"/>
      </w:r>
      <w:r w:rsidR="000A061B" w:rsidRPr="00FF6E12">
        <w:instrText xml:space="preserve"> NOTEREF _Ref217983585 \h </w:instrText>
      </w:r>
      <w:r w:rsidR="000A061B" w:rsidRPr="00FF6E12">
        <w:fldChar w:fldCharType="separate"/>
      </w:r>
      <w:r w:rsidR="007D7830">
        <w:t>325</w:t>
      </w:r>
      <w:r w:rsidR="000A061B" w:rsidRPr="00FF6E12">
        <w:fldChar w:fldCharType="end"/>
      </w:r>
      <w:r w:rsidR="000A061B" w:rsidRPr="00FF6E12">
        <w:t xml:space="preserve">) </w:t>
      </w:r>
      <w:r w:rsidR="00A13E0F" w:rsidRPr="00FF6E12">
        <w:t>[1.1.5].</w:t>
      </w:r>
    </w:p>
  </w:footnote>
  <w:footnote w:id="334">
    <w:p w14:paraId="2170D51F" w14:textId="3A66D884" w:rsidR="00554038" w:rsidRPr="00FF6E12" w:rsidRDefault="00554038">
      <w:pPr>
        <w:pStyle w:val="FootnoteText"/>
      </w:pPr>
      <w:r w:rsidRPr="00FF6E12">
        <w:rPr>
          <w:rStyle w:val="FootnoteReference"/>
        </w:rPr>
        <w:footnoteRef/>
      </w:r>
      <w:r w:rsidRPr="00FF6E12">
        <w:t xml:space="preserve"> </w:t>
      </w:r>
      <w:r w:rsidR="000A061B" w:rsidRPr="00FF6E12">
        <w:t>Ibid</w:t>
      </w:r>
      <w:r w:rsidR="00F9249C" w:rsidRPr="00FF6E12">
        <w:t xml:space="preserve"> </w:t>
      </w:r>
      <w:r w:rsidRPr="00FF6E12">
        <w:t>Recommendation 2</w:t>
      </w:r>
    </w:p>
  </w:footnote>
  <w:footnote w:id="335">
    <w:p w14:paraId="00ACBA31" w14:textId="168D0950" w:rsidR="00554038" w:rsidRPr="00FF6E12" w:rsidRDefault="00554038">
      <w:pPr>
        <w:pStyle w:val="FootnoteText"/>
      </w:pPr>
      <w:r w:rsidRPr="00FF6E12">
        <w:rPr>
          <w:rStyle w:val="FootnoteReference"/>
        </w:rPr>
        <w:footnoteRef/>
      </w:r>
      <w:r w:rsidRPr="00FF6E12">
        <w:t xml:space="preserve"> </w:t>
      </w:r>
      <w:r w:rsidR="000A061B" w:rsidRPr="00FF6E12">
        <w:t>Ibid</w:t>
      </w:r>
      <w:r w:rsidR="00F9249C" w:rsidRPr="00FF6E12">
        <w:t xml:space="preserve"> </w:t>
      </w:r>
      <w:r w:rsidRPr="00FF6E12">
        <w:t>Recommendation 3.</w:t>
      </w:r>
    </w:p>
  </w:footnote>
  <w:footnote w:id="336">
    <w:p w14:paraId="7D6F988D" w14:textId="3BAAEEDF" w:rsidR="00554038" w:rsidRPr="00FF6E12" w:rsidRDefault="00554038">
      <w:pPr>
        <w:pStyle w:val="FootnoteText"/>
      </w:pPr>
      <w:r w:rsidRPr="00FF6E12">
        <w:rPr>
          <w:rStyle w:val="FootnoteReference"/>
        </w:rPr>
        <w:footnoteRef/>
      </w:r>
      <w:r w:rsidRPr="00FF6E12">
        <w:t xml:space="preserve"> </w:t>
      </w:r>
      <w:r w:rsidR="000A061B" w:rsidRPr="00FF6E12">
        <w:t xml:space="preserve">Ibid </w:t>
      </w:r>
      <w:r w:rsidRPr="00FF6E12">
        <w:t>[3.2].</w:t>
      </w:r>
    </w:p>
  </w:footnote>
  <w:footnote w:id="337">
    <w:p w14:paraId="3D3C669D" w14:textId="279AAC51" w:rsidR="00554038" w:rsidRPr="00FF6E12" w:rsidRDefault="00554038">
      <w:pPr>
        <w:pStyle w:val="FootnoteText"/>
      </w:pPr>
      <w:r w:rsidRPr="00FF6E12">
        <w:rPr>
          <w:rStyle w:val="FootnoteReference"/>
        </w:rPr>
        <w:footnoteRef/>
      </w:r>
      <w:r w:rsidRPr="00FF6E12">
        <w:t xml:space="preserve"> </w:t>
      </w:r>
      <w:r w:rsidR="000A061B" w:rsidRPr="00FF6E12">
        <w:t>Ibid</w:t>
      </w:r>
      <w:r w:rsidR="00211CFE" w:rsidRPr="00FF6E12">
        <w:t xml:space="preserve"> </w:t>
      </w:r>
      <w:r w:rsidRPr="00FF6E12">
        <w:t>[3.3.7].</w:t>
      </w:r>
    </w:p>
  </w:footnote>
  <w:footnote w:id="338">
    <w:p w14:paraId="5139711F" w14:textId="73D167F4" w:rsidR="00554038" w:rsidRPr="00FF6E12" w:rsidRDefault="00554038">
      <w:pPr>
        <w:pStyle w:val="FootnoteText"/>
      </w:pPr>
      <w:r w:rsidRPr="00FF6E12">
        <w:rPr>
          <w:rStyle w:val="FootnoteReference"/>
        </w:rPr>
        <w:footnoteRef/>
      </w:r>
      <w:r w:rsidRPr="00FF6E12">
        <w:t xml:space="preserve"> </w:t>
      </w:r>
      <w:r w:rsidR="000A061B" w:rsidRPr="00FF6E12">
        <w:t xml:space="preserve">Ibid </w:t>
      </w:r>
      <w:r w:rsidRPr="00FF6E12">
        <w:t>[3.3.9].</w:t>
      </w:r>
    </w:p>
  </w:footnote>
  <w:footnote w:id="339">
    <w:p w14:paraId="23B5952B" w14:textId="438DF540" w:rsidR="00554038" w:rsidRPr="00FF6E12" w:rsidRDefault="00554038">
      <w:pPr>
        <w:pStyle w:val="FootnoteText"/>
      </w:pPr>
      <w:r w:rsidRPr="00FF6E12">
        <w:rPr>
          <w:rStyle w:val="FootnoteReference"/>
        </w:rPr>
        <w:footnoteRef/>
      </w:r>
      <w:r w:rsidRPr="00FF6E12">
        <w:t xml:space="preserve"> </w:t>
      </w:r>
      <w:r w:rsidR="000A061B" w:rsidRPr="00FF6E12">
        <w:t>Ibid</w:t>
      </w:r>
      <w:r w:rsidR="00211CFE" w:rsidRPr="00FF6E12">
        <w:t xml:space="preserve"> </w:t>
      </w:r>
      <w:r w:rsidRPr="00FF6E12">
        <w:t>[3.3.1].</w:t>
      </w:r>
    </w:p>
  </w:footnote>
  <w:footnote w:id="340">
    <w:p w14:paraId="08286379" w14:textId="69343AF5" w:rsidR="00554038" w:rsidRPr="00FF6E12" w:rsidRDefault="00554038">
      <w:pPr>
        <w:pStyle w:val="FootnoteText"/>
      </w:pPr>
      <w:r w:rsidRPr="00FF6E12">
        <w:rPr>
          <w:rStyle w:val="FootnoteReference"/>
        </w:rPr>
        <w:footnoteRef/>
      </w:r>
      <w:r w:rsidR="000A061B" w:rsidRPr="00FF6E12">
        <w:t xml:space="preserve"> Ibid</w:t>
      </w:r>
      <w:r w:rsidRPr="00FF6E12">
        <w:t xml:space="preserve"> </w:t>
      </w:r>
      <w:r w:rsidR="001E3B2D" w:rsidRPr="00FF6E12">
        <w:t>[</w:t>
      </w:r>
      <w:r w:rsidRPr="00FF6E12">
        <w:t>7.4</w:t>
      </w:r>
      <w:r w:rsidR="001E3B2D" w:rsidRPr="00FF6E12">
        <w:t>].</w:t>
      </w:r>
    </w:p>
  </w:footnote>
  <w:footnote w:id="341">
    <w:p w14:paraId="107CCC10" w14:textId="13C6BEDE" w:rsidR="00554038" w:rsidRPr="00FF6E12" w:rsidRDefault="00554038">
      <w:pPr>
        <w:pStyle w:val="FootnoteText"/>
      </w:pPr>
      <w:r w:rsidRPr="00FF6E12">
        <w:rPr>
          <w:rStyle w:val="FootnoteReference"/>
        </w:rPr>
        <w:footnoteRef/>
      </w:r>
      <w:r w:rsidRPr="00FF6E12">
        <w:t xml:space="preserve"> </w:t>
      </w:r>
      <w:r w:rsidR="000A061B" w:rsidRPr="00FF6E12">
        <w:t>Ibid</w:t>
      </w:r>
      <w:r w:rsidR="00211CFE" w:rsidRPr="00FF6E12">
        <w:t xml:space="preserve"> </w:t>
      </w:r>
      <w:r w:rsidRPr="00FF6E12">
        <w:t>[7.4.8].</w:t>
      </w:r>
    </w:p>
  </w:footnote>
  <w:footnote w:id="342">
    <w:p w14:paraId="0B66617F" w14:textId="4A9519C6" w:rsidR="00C96A5B" w:rsidRPr="00FF6E12" w:rsidRDefault="00C96A5B">
      <w:pPr>
        <w:pStyle w:val="FootnoteText"/>
      </w:pPr>
      <w:r w:rsidRPr="00FF6E12">
        <w:rPr>
          <w:rStyle w:val="FootnoteReference"/>
        </w:rPr>
        <w:footnoteRef/>
      </w:r>
      <w:r w:rsidR="000A061B" w:rsidRPr="00FF6E12">
        <w:t xml:space="preserve"> Ibid</w:t>
      </w:r>
      <w:r w:rsidR="00211CFE" w:rsidRPr="00FF6E12">
        <w:t xml:space="preserve"> </w:t>
      </w:r>
      <w:r w:rsidRPr="00FF6E12">
        <w:t>[7.4.9].</w:t>
      </w:r>
    </w:p>
  </w:footnote>
  <w:footnote w:id="343">
    <w:p w14:paraId="767CAC6B" w14:textId="458DD1D8" w:rsidR="008D42FB" w:rsidRPr="00FF6E12" w:rsidRDefault="008D42FB">
      <w:pPr>
        <w:pStyle w:val="FootnoteText"/>
      </w:pPr>
      <w:r w:rsidRPr="00FF6E12">
        <w:rPr>
          <w:rStyle w:val="FootnoteReference"/>
        </w:rPr>
        <w:footnoteRef/>
      </w:r>
      <w:r w:rsidRPr="00FF6E12">
        <w:t xml:space="preserve"> </w:t>
      </w:r>
      <w:r w:rsidR="00D75B86" w:rsidRPr="00FF6E12">
        <w:t>See Tasmania</w:t>
      </w:r>
      <w:r w:rsidR="000A061B" w:rsidRPr="00FF6E12">
        <w:t>n</w:t>
      </w:r>
      <w:r w:rsidR="00D75B86" w:rsidRPr="00FF6E12">
        <w:t xml:space="preserve"> Government</w:t>
      </w:r>
      <w:r w:rsidR="000A061B" w:rsidRPr="00FF6E12">
        <w:t xml:space="preserve"> (n </w:t>
      </w:r>
      <w:r w:rsidR="000A061B" w:rsidRPr="00FF6E12">
        <w:fldChar w:fldCharType="begin"/>
      </w:r>
      <w:r w:rsidR="000A061B" w:rsidRPr="00FF6E12">
        <w:instrText xml:space="preserve"> NOTEREF _Ref217905183 \h </w:instrText>
      </w:r>
      <w:r w:rsidR="000A061B" w:rsidRPr="00FF6E12">
        <w:fldChar w:fldCharType="separate"/>
      </w:r>
      <w:r w:rsidR="007D7830">
        <w:t>11</w:t>
      </w:r>
      <w:r w:rsidR="000A061B" w:rsidRPr="00FF6E12">
        <w:fldChar w:fldCharType="end"/>
      </w:r>
      <w:r w:rsidR="000A061B" w:rsidRPr="00FF6E12">
        <w:t>)</w:t>
      </w:r>
      <w:r w:rsidR="00D75B86" w:rsidRPr="00FF6E12">
        <w:t>.</w:t>
      </w:r>
    </w:p>
  </w:footnote>
  <w:footnote w:id="344">
    <w:p w14:paraId="4B127C7C" w14:textId="140D33C6" w:rsidR="004166FD" w:rsidRPr="00FF6E12" w:rsidRDefault="004166FD">
      <w:pPr>
        <w:pStyle w:val="FootnoteText"/>
      </w:pPr>
      <w:r w:rsidRPr="00FF6E12">
        <w:rPr>
          <w:rStyle w:val="FootnoteReference"/>
        </w:rPr>
        <w:footnoteRef/>
      </w:r>
      <w:r w:rsidRPr="00FF6E12">
        <w:t xml:space="preserve"> </w:t>
      </w:r>
      <w:r w:rsidR="002A786C" w:rsidRPr="00FF6E12">
        <w:t>Participant</w:t>
      </w:r>
      <w:r w:rsidR="004434D2" w:rsidRPr="00FF6E12">
        <w:t xml:space="preserve"> 3</w:t>
      </w:r>
      <w:r w:rsidR="006778A1" w:rsidRPr="00FF6E12">
        <w:t xml:space="preserve">, </w:t>
      </w:r>
      <w:r w:rsidR="002A786C" w:rsidRPr="00FF6E12">
        <w:t>Participant</w:t>
      </w:r>
      <w:r w:rsidR="00141AFF" w:rsidRPr="00FF6E12">
        <w:t xml:space="preserve"> 13</w:t>
      </w:r>
      <w:r w:rsidR="006778A1" w:rsidRPr="00FF6E12">
        <w:t xml:space="preserve">, </w:t>
      </w:r>
      <w:r w:rsidR="002A786C" w:rsidRPr="00FF6E12">
        <w:t>Participant</w:t>
      </w:r>
      <w:r w:rsidR="00141AFF" w:rsidRPr="00FF6E12">
        <w:t xml:space="preserve"> 24</w:t>
      </w:r>
      <w:r w:rsidR="006778A1" w:rsidRPr="00FF6E12">
        <w:t xml:space="preserve">, </w:t>
      </w:r>
      <w:r w:rsidR="002A786C" w:rsidRPr="00FF6E12">
        <w:t>Participant</w:t>
      </w:r>
      <w:r w:rsidR="00141AFF" w:rsidRPr="00FF6E12">
        <w:t xml:space="preserve"> 8</w:t>
      </w:r>
      <w:r w:rsidR="006778A1" w:rsidRPr="00FF6E12">
        <w:t>.</w:t>
      </w:r>
    </w:p>
  </w:footnote>
  <w:footnote w:id="345">
    <w:p w14:paraId="28A07FED" w14:textId="4F28C3BC" w:rsidR="005C73FB" w:rsidRPr="00FF6E12" w:rsidRDefault="005C73FB">
      <w:pPr>
        <w:pStyle w:val="FootnoteText"/>
      </w:pPr>
      <w:r w:rsidRPr="00FF6E12">
        <w:rPr>
          <w:rStyle w:val="FootnoteReference"/>
        </w:rPr>
        <w:footnoteRef/>
      </w:r>
      <w:r w:rsidRPr="00FF6E12">
        <w:t xml:space="preserve"> </w:t>
      </w:r>
      <w:r w:rsidR="002A786C" w:rsidRPr="00FF6E12">
        <w:t>Participant</w:t>
      </w:r>
      <w:r w:rsidR="00141AFF" w:rsidRPr="00FF6E12">
        <w:t xml:space="preserve"> 24</w:t>
      </w:r>
      <w:r w:rsidRPr="00FF6E12">
        <w:t>.</w:t>
      </w:r>
    </w:p>
  </w:footnote>
  <w:footnote w:id="346">
    <w:p w14:paraId="61B480CA" w14:textId="2993B667" w:rsidR="005C73FB" w:rsidRPr="00FF6E12" w:rsidRDefault="005C73FB">
      <w:pPr>
        <w:pStyle w:val="FootnoteText"/>
      </w:pPr>
      <w:r w:rsidRPr="00FF6E12">
        <w:rPr>
          <w:rStyle w:val="FootnoteReference"/>
        </w:rPr>
        <w:footnoteRef/>
      </w:r>
      <w:r w:rsidRPr="00FF6E12">
        <w:t xml:space="preserve"> </w:t>
      </w:r>
      <w:r w:rsidR="002A786C" w:rsidRPr="00FF6E12">
        <w:t>Participant</w:t>
      </w:r>
      <w:r w:rsidR="004434D2" w:rsidRPr="00FF6E12">
        <w:t xml:space="preserve"> 3</w:t>
      </w:r>
      <w:r w:rsidR="005B3D93" w:rsidRPr="00FF6E12">
        <w:t xml:space="preserve">, </w:t>
      </w:r>
      <w:r w:rsidR="002A786C" w:rsidRPr="00FF6E12">
        <w:t>Participant</w:t>
      </w:r>
      <w:r w:rsidR="00141AFF" w:rsidRPr="00FF6E12">
        <w:t xml:space="preserve"> 13</w:t>
      </w:r>
      <w:r w:rsidR="005B3D93" w:rsidRPr="00FF6E12">
        <w:t xml:space="preserve">, </w:t>
      </w:r>
      <w:r w:rsidR="002A786C" w:rsidRPr="00FF6E12">
        <w:t>Participant</w:t>
      </w:r>
      <w:r w:rsidR="00141AFF" w:rsidRPr="00FF6E12">
        <w:t xml:space="preserve"> 24</w:t>
      </w:r>
      <w:r w:rsidR="00977A34" w:rsidRPr="00FF6E12">
        <w:t>.</w:t>
      </w:r>
    </w:p>
  </w:footnote>
  <w:footnote w:id="347">
    <w:p w14:paraId="6B7D381B" w14:textId="20D7E0E1" w:rsidR="00592A7F" w:rsidRPr="00FF6E12" w:rsidRDefault="00592A7F">
      <w:pPr>
        <w:pStyle w:val="FootnoteText"/>
      </w:pPr>
      <w:r w:rsidRPr="00FF6E12">
        <w:rPr>
          <w:rStyle w:val="FootnoteReference"/>
        </w:rPr>
        <w:footnoteRef/>
      </w:r>
      <w:r w:rsidRPr="00FF6E12">
        <w:t xml:space="preserve"> See Part 5.</w:t>
      </w:r>
      <w:r w:rsidR="00F16E2B" w:rsidRPr="00FF6E12">
        <w:t>2</w:t>
      </w:r>
      <w:r w:rsidRPr="00FF6E12">
        <w:t>.</w:t>
      </w:r>
    </w:p>
  </w:footnote>
  <w:footnote w:id="348">
    <w:p w14:paraId="2CF59BAB" w14:textId="6330D205" w:rsidR="00404C33" w:rsidRPr="00FF6E12" w:rsidRDefault="00404C33">
      <w:pPr>
        <w:pStyle w:val="FootnoteText"/>
      </w:pPr>
      <w:r w:rsidRPr="00FF6E12">
        <w:rPr>
          <w:rStyle w:val="FootnoteReference"/>
        </w:rPr>
        <w:footnoteRef/>
      </w:r>
      <w:r w:rsidRPr="00FF6E12">
        <w:t xml:space="preserve"> </w:t>
      </w:r>
      <w:r w:rsidR="000A061B" w:rsidRPr="00FF6E12">
        <w:t>Ibid</w:t>
      </w:r>
      <w:r w:rsidRPr="00FF6E12">
        <w:t>.</w:t>
      </w:r>
    </w:p>
  </w:footnote>
  <w:footnote w:id="349">
    <w:p w14:paraId="519C1AB1" w14:textId="1EFF8E76" w:rsidR="004C465A" w:rsidRPr="00FF6E12" w:rsidRDefault="004C465A" w:rsidP="00A920EC">
      <w:pPr>
        <w:pStyle w:val="FootnoteText"/>
      </w:pPr>
      <w:r w:rsidRPr="00FF6E12">
        <w:rPr>
          <w:rStyle w:val="FootnoteReference"/>
        </w:rPr>
        <w:footnoteRef/>
      </w:r>
      <w:r w:rsidRPr="00FF6E12">
        <w:t xml:space="preserve"> Note</w:t>
      </w:r>
      <w:r w:rsidR="000A061B" w:rsidRPr="00FF6E12">
        <w:t>,</w:t>
      </w:r>
      <w:r w:rsidRPr="00FF6E12">
        <w:t xml:space="preserve"> </w:t>
      </w:r>
      <w:r w:rsidR="000A061B" w:rsidRPr="00A920EC">
        <w:rPr>
          <w:i/>
          <w:iCs/>
        </w:rPr>
        <w:t>Police Offences Act 1935</w:t>
      </w:r>
      <w:r w:rsidR="000A061B" w:rsidRPr="00FF6E12">
        <w:t xml:space="preserve"> (Tas) </w:t>
      </w:r>
      <w:r w:rsidRPr="00FF6E12">
        <w:t>provisions prohibit</w:t>
      </w:r>
      <w:r w:rsidR="000A061B" w:rsidRPr="00FF6E12">
        <w:t>ing</w:t>
      </w:r>
      <w:r w:rsidRPr="00FF6E12">
        <w:t xml:space="preserve"> visual recording </w:t>
      </w:r>
      <w:r w:rsidR="000A061B" w:rsidRPr="00FF6E12">
        <w:t>r</w:t>
      </w:r>
      <w:r w:rsidRPr="00FF6E12">
        <w:t xml:space="preserve">elate to </w:t>
      </w:r>
      <w:r w:rsidR="000A061B" w:rsidRPr="00FF6E12">
        <w:t xml:space="preserve">the </w:t>
      </w:r>
      <w:r w:rsidRPr="00FF6E12">
        <w:t>recording</w:t>
      </w:r>
      <w:r w:rsidR="000A061B" w:rsidRPr="00FF6E12">
        <w:t xml:space="preserve">, </w:t>
      </w:r>
      <w:r w:rsidRPr="00FF6E12">
        <w:t>publishing</w:t>
      </w:r>
      <w:r w:rsidR="000A061B" w:rsidRPr="00FF6E12">
        <w:t xml:space="preserve">, </w:t>
      </w:r>
      <w:r w:rsidRPr="00FF6E12">
        <w:t>distributing</w:t>
      </w:r>
      <w:r w:rsidR="000A061B" w:rsidRPr="00FF6E12">
        <w:t xml:space="preserve"> and </w:t>
      </w:r>
      <w:r w:rsidRPr="00FF6E12">
        <w:t xml:space="preserve">possession of </w:t>
      </w:r>
      <w:r w:rsidR="000A061B" w:rsidRPr="00FF6E12">
        <w:t xml:space="preserve">a </w:t>
      </w:r>
      <w:r w:rsidRPr="00FF6E12">
        <w:t>recording of another person in breach of privacy and without consent</w:t>
      </w:r>
      <w:r w:rsidR="000A061B" w:rsidRPr="00FF6E12">
        <w:t xml:space="preserve">: </w:t>
      </w:r>
      <w:r w:rsidRPr="00FF6E12">
        <w:t>s</w:t>
      </w:r>
      <w:r w:rsidR="000A061B" w:rsidRPr="00FF6E12">
        <w:t xml:space="preserve"> </w:t>
      </w:r>
      <w:r w:rsidRPr="00FF6E12">
        <w:t>13A–C.</w:t>
      </w:r>
    </w:p>
  </w:footnote>
  <w:footnote w:id="350">
    <w:p w14:paraId="32C5DC76" w14:textId="0682031C" w:rsidR="004C465A" w:rsidRPr="00FF6E12" w:rsidRDefault="004C465A">
      <w:pPr>
        <w:pStyle w:val="FootnoteText"/>
      </w:pPr>
      <w:r w:rsidRPr="00FF6E12">
        <w:rPr>
          <w:rStyle w:val="FootnoteReference"/>
        </w:rPr>
        <w:footnoteRef/>
      </w:r>
      <w:r w:rsidRPr="00FF6E12">
        <w:t xml:space="preserve"> See Appendix </w:t>
      </w:r>
      <w:r w:rsidR="00110FBF" w:rsidRPr="00FF6E12">
        <w:t>B</w:t>
      </w:r>
      <w:r w:rsidRPr="00FF6E12">
        <w:t>.</w:t>
      </w:r>
    </w:p>
  </w:footnote>
  <w:footnote w:id="351">
    <w:p w14:paraId="6BA76FC2" w14:textId="4D08F485" w:rsidR="004C465A" w:rsidRPr="00FF6E12" w:rsidRDefault="004C465A">
      <w:pPr>
        <w:pStyle w:val="FootnoteText"/>
      </w:pPr>
      <w:r w:rsidRPr="00FF6E12">
        <w:rPr>
          <w:rStyle w:val="FootnoteReference"/>
        </w:rPr>
        <w:footnoteRef/>
      </w:r>
      <w:r w:rsidRPr="00FF6E12">
        <w:t xml:space="preserve"> </w:t>
      </w:r>
      <w:r w:rsidR="00523917" w:rsidRPr="00A920EC">
        <w:rPr>
          <w:i/>
          <w:iCs/>
        </w:rPr>
        <w:t>Youth Justice Act 1997</w:t>
      </w:r>
      <w:r w:rsidR="00523917" w:rsidRPr="00FF6E12">
        <w:t xml:space="preserve"> (Tas) </w:t>
      </w:r>
      <w:r w:rsidRPr="00FF6E12">
        <w:t>s 161.</w:t>
      </w:r>
    </w:p>
  </w:footnote>
  <w:footnote w:id="352">
    <w:p w14:paraId="11775DF7" w14:textId="7F478CA7" w:rsidR="004C465A" w:rsidRPr="00FF6E12" w:rsidRDefault="004C465A">
      <w:pPr>
        <w:pStyle w:val="FootnoteText"/>
      </w:pPr>
      <w:r w:rsidRPr="00FF6E12">
        <w:rPr>
          <w:rStyle w:val="FootnoteReference"/>
        </w:rPr>
        <w:footnoteRef/>
      </w:r>
      <w:r w:rsidRPr="00FF6E12">
        <w:t xml:space="preserve"> </w:t>
      </w:r>
      <w:r w:rsidRPr="00FF6E12">
        <w:rPr>
          <w:i/>
          <w:iCs/>
        </w:rPr>
        <w:t xml:space="preserve">Criminal Code </w:t>
      </w:r>
      <w:r w:rsidRPr="00FF6E12">
        <w:t xml:space="preserve">(Tas) ss 185, 2A (definition of </w:t>
      </w:r>
      <w:r w:rsidR="000A061B" w:rsidRPr="00FF6E12">
        <w:t>‘</w:t>
      </w:r>
      <w:r w:rsidRPr="00FF6E12">
        <w:t>consent</w:t>
      </w:r>
      <w:r w:rsidR="000A061B" w:rsidRPr="00FF6E12">
        <w:t>’</w:t>
      </w:r>
      <w:r w:rsidRPr="00FF6E12">
        <w:t xml:space="preserve">), 2B (definition of </w:t>
      </w:r>
      <w:r w:rsidR="000A061B" w:rsidRPr="00FF6E12">
        <w:t>‘</w:t>
      </w:r>
      <w:r w:rsidRPr="00FF6E12">
        <w:t>sexual intercourse</w:t>
      </w:r>
      <w:r w:rsidR="000A061B" w:rsidRPr="00FF6E12">
        <w:t>’</w:t>
      </w:r>
      <w:r w:rsidRPr="00FF6E12">
        <w:t>).</w:t>
      </w:r>
    </w:p>
  </w:footnote>
  <w:footnote w:id="353">
    <w:p w14:paraId="28EEBBE5" w14:textId="6B99803C" w:rsidR="00337649" w:rsidRPr="00FF6E12" w:rsidRDefault="00337649">
      <w:pPr>
        <w:pStyle w:val="FootnoteText"/>
      </w:pPr>
      <w:r w:rsidRPr="00FF6E12">
        <w:rPr>
          <w:rStyle w:val="FootnoteReference"/>
        </w:rPr>
        <w:footnoteRef/>
      </w:r>
      <w:r w:rsidRPr="00FF6E12">
        <w:t xml:space="preserve"> This was previously </w:t>
      </w:r>
      <w:r w:rsidR="00633516" w:rsidRPr="00FF6E12">
        <w:t xml:space="preserve">the crime of aggravated sexual assault </w:t>
      </w:r>
      <w:r w:rsidR="00573142">
        <w:t>under</w:t>
      </w:r>
      <w:r w:rsidR="00573142" w:rsidRPr="00FF6E12">
        <w:t xml:space="preserve"> </w:t>
      </w:r>
      <w:r w:rsidR="00633516" w:rsidRPr="00FF6E12">
        <w:t xml:space="preserve">the </w:t>
      </w:r>
      <w:r w:rsidR="00633516" w:rsidRPr="00FF6E12">
        <w:rPr>
          <w:i/>
          <w:iCs/>
        </w:rPr>
        <w:t xml:space="preserve">Criminal Code </w:t>
      </w:r>
      <w:r w:rsidR="00633516" w:rsidRPr="00FF6E12">
        <w:t>s 127A.</w:t>
      </w:r>
    </w:p>
  </w:footnote>
  <w:footnote w:id="354">
    <w:p w14:paraId="2B5C8334" w14:textId="458D4E8A" w:rsidR="004C465A" w:rsidRPr="00FF6E12" w:rsidRDefault="004C465A">
      <w:pPr>
        <w:pStyle w:val="FootnoteText"/>
      </w:pPr>
      <w:r w:rsidRPr="00FF6E12">
        <w:rPr>
          <w:rStyle w:val="FootnoteReference"/>
        </w:rPr>
        <w:footnoteRef/>
      </w:r>
      <w:r w:rsidRPr="00FF6E12">
        <w:t xml:space="preserve"> </w:t>
      </w:r>
      <w:r w:rsidRPr="00FF6E12">
        <w:rPr>
          <w:i/>
          <w:iCs/>
        </w:rPr>
        <w:t xml:space="preserve">Criminal Code </w:t>
      </w:r>
      <w:r w:rsidRPr="00FF6E12">
        <w:t xml:space="preserve">(Tas) s 2B. It does not include penetration carried out for </w:t>
      </w:r>
      <w:r w:rsidR="000A061B" w:rsidRPr="00FF6E12">
        <w:t xml:space="preserve">a </w:t>
      </w:r>
      <w:r w:rsidRPr="00FF6E12">
        <w:t>proper medical purpose, for the purposes of hygiene</w:t>
      </w:r>
      <w:r w:rsidR="000A061B" w:rsidRPr="00FF6E12">
        <w:t>,</w:t>
      </w:r>
      <w:r w:rsidRPr="00FF6E12">
        <w:t xml:space="preserve"> or for any purpose that is authorised by law</w:t>
      </w:r>
      <w:r w:rsidR="000A061B" w:rsidRPr="00FF6E12">
        <w:t>:</w:t>
      </w:r>
      <w:r w:rsidRPr="00FF6E12">
        <w:t xml:space="preserve"> s </w:t>
      </w:r>
      <w:r w:rsidR="000A061B" w:rsidRPr="00FF6E12">
        <w:t>2B</w:t>
      </w:r>
      <w:r w:rsidRPr="00FF6E12">
        <w:t xml:space="preserve">(2). </w:t>
      </w:r>
      <w:r w:rsidR="00633516" w:rsidRPr="00FF6E12">
        <w:t xml:space="preserve">This was previously the crime of aggravated sexual assault </w:t>
      </w:r>
      <w:r w:rsidR="00573142">
        <w:t>under</w:t>
      </w:r>
      <w:r w:rsidR="00573142" w:rsidRPr="00FF6E12">
        <w:t xml:space="preserve"> </w:t>
      </w:r>
      <w:r w:rsidR="00633516" w:rsidRPr="00FF6E12">
        <w:t xml:space="preserve">the </w:t>
      </w:r>
      <w:r w:rsidR="00633516" w:rsidRPr="00FF6E12">
        <w:rPr>
          <w:i/>
          <w:iCs/>
        </w:rPr>
        <w:t xml:space="preserve">Criminal Code </w:t>
      </w:r>
      <w:r w:rsidR="00633516" w:rsidRPr="00FF6E12">
        <w:t>s 127A.</w:t>
      </w:r>
    </w:p>
  </w:footnote>
  <w:footnote w:id="355">
    <w:p w14:paraId="17223DC1" w14:textId="01CC6712" w:rsidR="004C465A" w:rsidRPr="00FF6E12" w:rsidRDefault="004C465A">
      <w:pPr>
        <w:pStyle w:val="FootnoteText"/>
      </w:pPr>
      <w:r w:rsidRPr="00FF6E12">
        <w:rPr>
          <w:rStyle w:val="FootnoteReference"/>
        </w:rPr>
        <w:footnoteRef/>
      </w:r>
      <w:r w:rsidRPr="00FF6E12">
        <w:t xml:space="preserve"> </w:t>
      </w:r>
      <w:r w:rsidRPr="00FF6E12">
        <w:rPr>
          <w:i/>
          <w:iCs/>
        </w:rPr>
        <w:t>Criminal Code</w:t>
      </w:r>
      <w:r w:rsidRPr="00FF6E12">
        <w:t xml:space="preserve"> (Tas) s 125A. Unlawful sexual abuse is an act that constitutes an offence under </w:t>
      </w:r>
      <w:r w:rsidR="000A061B" w:rsidRPr="00FF6E12">
        <w:rPr>
          <w:i/>
          <w:iCs/>
        </w:rPr>
        <w:t>Criminal Code</w:t>
      </w:r>
      <w:r w:rsidR="000A061B" w:rsidRPr="00FF6E12">
        <w:t xml:space="preserve"> (Tas) </w:t>
      </w:r>
      <w:r w:rsidRPr="00FF6E12">
        <w:t>ss 124, 124A, 124B, 124C, 125B</w:t>
      </w:r>
      <w:r w:rsidRPr="009A7E67">
        <w:t>, 126, 127, 133 or 185.</w:t>
      </w:r>
    </w:p>
  </w:footnote>
  <w:footnote w:id="356">
    <w:p w14:paraId="17A7E31E" w14:textId="77777777" w:rsidR="004C465A" w:rsidRPr="00FF6E12" w:rsidRDefault="004C465A">
      <w:pPr>
        <w:pStyle w:val="FootnoteText"/>
      </w:pPr>
      <w:r w:rsidRPr="00FF6E12">
        <w:rPr>
          <w:rStyle w:val="FootnoteReference"/>
        </w:rPr>
        <w:footnoteRef/>
      </w:r>
      <w:r w:rsidRPr="00FF6E12">
        <w:t xml:space="preserve"> </w:t>
      </w:r>
      <w:r w:rsidRPr="00FF6E12">
        <w:rPr>
          <w:i/>
          <w:iCs/>
        </w:rPr>
        <w:t>Criminal Code</w:t>
      </w:r>
      <w:r w:rsidRPr="00FF6E12">
        <w:t xml:space="preserve"> (Tas) s 125A(7).</w:t>
      </w:r>
    </w:p>
  </w:footnote>
  <w:footnote w:id="357">
    <w:p w14:paraId="1EC0ACC0" w14:textId="3195D166" w:rsidR="004C465A" w:rsidRPr="00FF6E12" w:rsidRDefault="004C465A">
      <w:pPr>
        <w:pStyle w:val="FootnoteText"/>
      </w:pPr>
      <w:r w:rsidRPr="00FF6E12">
        <w:rPr>
          <w:rStyle w:val="FootnoteReference"/>
        </w:rPr>
        <w:footnoteRef/>
      </w:r>
      <w:r w:rsidRPr="00FF6E12">
        <w:t xml:space="preserve"> These are summarised in Appendix </w:t>
      </w:r>
      <w:r w:rsidR="00A70C60" w:rsidRPr="00FF6E12">
        <w:t>B Table B.2</w:t>
      </w:r>
      <w:r w:rsidRPr="00FF6E12">
        <w:t>.</w:t>
      </w:r>
    </w:p>
  </w:footnote>
  <w:footnote w:id="358">
    <w:p w14:paraId="40C0C09F" w14:textId="0B3EBE36" w:rsidR="00656A25" w:rsidRPr="00FF6E12" w:rsidRDefault="00656A25">
      <w:pPr>
        <w:pStyle w:val="FootnoteText"/>
      </w:pPr>
      <w:r w:rsidRPr="00FF6E12">
        <w:rPr>
          <w:rStyle w:val="FootnoteReference"/>
        </w:rPr>
        <w:footnoteRef/>
      </w:r>
      <w:r w:rsidRPr="00FF6E12">
        <w:t xml:space="preserve"> See </w:t>
      </w:r>
      <w:r w:rsidR="001F75B0" w:rsidRPr="00FF6E12">
        <w:t>Appendix B Table B.2</w:t>
      </w:r>
      <w:r w:rsidR="00A11DFC" w:rsidRPr="00FF6E12">
        <w:t xml:space="preserve"> </w:t>
      </w:r>
      <w:r w:rsidRPr="00FF6E12">
        <w:t>for details of the offences.</w:t>
      </w:r>
    </w:p>
  </w:footnote>
  <w:footnote w:id="359">
    <w:p w14:paraId="59260654" w14:textId="77777777" w:rsidR="004C465A" w:rsidRPr="00FF6E12" w:rsidRDefault="004C465A">
      <w:pPr>
        <w:pStyle w:val="FootnoteText"/>
      </w:pPr>
      <w:r w:rsidRPr="00FF6E12">
        <w:rPr>
          <w:rStyle w:val="FootnoteReference"/>
        </w:rPr>
        <w:footnoteRef/>
      </w:r>
      <w:r w:rsidRPr="00FF6E12">
        <w:t xml:space="preserve"> </w:t>
      </w:r>
      <w:r w:rsidRPr="00A920EC">
        <w:rPr>
          <w:i/>
          <w:iCs/>
        </w:rPr>
        <w:t>Criminal Code</w:t>
      </w:r>
      <w:r w:rsidRPr="00FF6E12">
        <w:t xml:space="preserve"> (Tas) s 1A. </w:t>
      </w:r>
    </w:p>
  </w:footnote>
  <w:footnote w:id="360">
    <w:p w14:paraId="3A09E063" w14:textId="46C8E0F4" w:rsidR="002C5614" w:rsidRPr="00FF6E12" w:rsidRDefault="002C5614" w:rsidP="00A920EC">
      <w:pPr>
        <w:pStyle w:val="FootnoteText"/>
        <w:jc w:val="left"/>
      </w:pPr>
      <w:r w:rsidRPr="00FF6E12">
        <w:rPr>
          <w:rStyle w:val="FootnoteReference"/>
        </w:rPr>
        <w:footnoteRef/>
      </w:r>
      <w:r w:rsidRPr="00FF6E12">
        <w:t xml:space="preserve"> See </w:t>
      </w:r>
      <w:r w:rsidR="003C6B76" w:rsidRPr="00FF6E12">
        <w:t xml:space="preserve">Director of Public Prosecutions Tasmania, </w:t>
      </w:r>
      <w:r w:rsidR="003C6B76" w:rsidRPr="00A920EC">
        <w:rPr>
          <w:i/>
          <w:iCs/>
        </w:rPr>
        <w:t>Prosecution Policy and Guidelines</w:t>
      </w:r>
      <w:r w:rsidR="003C6B76" w:rsidRPr="00FF6E12">
        <w:t xml:space="preserve"> (Version 13.2, 14 August 2025) [12.3] (relating to child </w:t>
      </w:r>
      <w:r w:rsidR="00D0786A" w:rsidRPr="00FF6E12">
        <w:t>exploitation</w:t>
      </w:r>
      <w:r w:rsidR="003C6B76" w:rsidRPr="00FF6E12">
        <w:t xml:space="preserve"> material) &lt;https://www.dpp.tas.gov.au/__data/assets/pdf_file/0007/795544/DPP-Prosecution-Guidelines-v13.2-14-August-2025.pdf&gt;</w:t>
      </w:r>
      <w:r w:rsidR="00475427" w:rsidRPr="00FF6E12">
        <w:t>.</w:t>
      </w:r>
    </w:p>
  </w:footnote>
  <w:footnote w:id="361">
    <w:p w14:paraId="66278EAF" w14:textId="507F99BD" w:rsidR="00C41B7F" w:rsidRPr="00FF6E12" w:rsidRDefault="00C41B7F">
      <w:pPr>
        <w:pStyle w:val="FootnoteText"/>
      </w:pPr>
      <w:r w:rsidRPr="00FF6E12">
        <w:rPr>
          <w:rStyle w:val="FootnoteReference"/>
        </w:rPr>
        <w:footnoteRef/>
      </w:r>
      <w:r w:rsidRPr="00FF6E12">
        <w:t xml:space="preserve"> </w:t>
      </w:r>
      <w:r w:rsidR="003C6B76" w:rsidRPr="00FF6E12">
        <w:t>Ibid</w:t>
      </w:r>
      <w:r w:rsidR="00245CE7" w:rsidRPr="00FF6E12">
        <w:t xml:space="preserve"> </w:t>
      </w:r>
      <w:r w:rsidRPr="00FF6E12">
        <w:t>[12.3.2].</w:t>
      </w:r>
    </w:p>
  </w:footnote>
  <w:footnote w:id="362">
    <w:p w14:paraId="22CDA39A" w14:textId="77777777" w:rsidR="004C465A" w:rsidRPr="00FF6E12" w:rsidRDefault="004C465A">
      <w:pPr>
        <w:pStyle w:val="FootnoteText"/>
      </w:pPr>
      <w:r w:rsidRPr="00FF6E12">
        <w:rPr>
          <w:rStyle w:val="FootnoteReference"/>
        </w:rPr>
        <w:footnoteRef/>
      </w:r>
      <w:r w:rsidRPr="00FF6E12">
        <w:t xml:space="preserve"> </w:t>
      </w:r>
      <w:r w:rsidRPr="00FF6E12">
        <w:rPr>
          <w:i/>
          <w:iCs/>
        </w:rPr>
        <w:t xml:space="preserve">Criminal Code </w:t>
      </w:r>
      <w:r w:rsidRPr="00FF6E12">
        <w:t>(Tas) s 130E(2).</w:t>
      </w:r>
    </w:p>
  </w:footnote>
  <w:footnote w:id="363">
    <w:p w14:paraId="460A11AD" w14:textId="273C6098" w:rsidR="004C465A" w:rsidRPr="00FF6E12" w:rsidRDefault="004C465A">
      <w:pPr>
        <w:pStyle w:val="FootnoteText"/>
      </w:pPr>
      <w:r w:rsidRPr="00FF6E12">
        <w:rPr>
          <w:rStyle w:val="FootnoteReference"/>
        </w:rPr>
        <w:footnoteRef/>
      </w:r>
      <w:r w:rsidRPr="00FF6E12">
        <w:t xml:space="preserve"> </w:t>
      </w:r>
      <w:r w:rsidRPr="00A920EC">
        <w:rPr>
          <w:i/>
          <w:iCs/>
        </w:rPr>
        <w:t>Classification (Publications, Films and Computer Games) Enforcement Act 1995</w:t>
      </w:r>
      <w:r w:rsidRPr="00FF6E12">
        <w:t xml:space="preserve"> (Tas) s</w:t>
      </w:r>
      <w:r w:rsidR="003C6B76" w:rsidRPr="00FF6E12">
        <w:t>s</w:t>
      </w:r>
      <w:r w:rsidRPr="00FF6E12">
        <w:t xml:space="preserve"> 71 (definition of </w:t>
      </w:r>
      <w:r w:rsidR="003C6B76" w:rsidRPr="00FF6E12">
        <w:t>‘</w:t>
      </w:r>
      <w:r w:rsidRPr="00FF6E12">
        <w:t>child exploitation material</w:t>
      </w:r>
      <w:r w:rsidR="003C6B76" w:rsidRPr="00FF6E12">
        <w:t>’</w:t>
      </w:r>
      <w:r w:rsidRPr="00FF6E12">
        <w:t>)</w:t>
      </w:r>
      <w:r w:rsidR="003C6B76" w:rsidRPr="00FF6E12">
        <w:t>,</w:t>
      </w:r>
      <w:r w:rsidRPr="00FF6E12">
        <w:t xml:space="preserve"> 74B(2).</w:t>
      </w:r>
    </w:p>
  </w:footnote>
  <w:footnote w:id="364">
    <w:p w14:paraId="3C961AC8" w14:textId="6DA4AE94" w:rsidR="00AF17CF" w:rsidRPr="00FF6E12" w:rsidRDefault="00AF17CF">
      <w:pPr>
        <w:pStyle w:val="FootnoteText"/>
      </w:pPr>
      <w:r w:rsidRPr="00FF6E12">
        <w:rPr>
          <w:rStyle w:val="FootnoteReference"/>
        </w:rPr>
        <w:footnoteRef/>
      </w:r>
      <w:r w:rsidRPr="00FF6E12">
        <w:t xml:space="preserve"> </w:t>
      </w:r>
      <w:r w:rsidR="00245CE7" w:rsidRPr="00FF6E12">
        <w:t>Director of Public Prosecutions Tasmania</w:t>
      </w:r>
      <w:r w:rsidR="003C6B76" w:rsidRPr="00FF6E12">
        <w:t xml:space="preserve"> (n </w:t>
      </w:r>
      <w:r w:rsidR="003C6B76" w:rsidRPr="00FF6E12">
        <w:fldChar w:fldCharType="begin"/>
      </w:r>
      <w:r w:rsidR="003C6B76" w:rsidRPr="00FF6E12">
        <w:instrText xml:space="preserve"> NOTEREF _Ref217984282 \h </w:instrText>
      </w:r>
      <w:r w:rsidR="003C6B76" w:rsidRPr="00FF6E12">
        <w:fldChar w:fldCharType="separate"/>
      </w:r>
      <w:r w:rsidR="007D7830">
        <w:t>359</w:t>
      </w:r>
      <w:r w:rsidR="003C6B76" w:rsidRPr="00FF6E12">
        <w:fldChar w:fldCharType="end"/>
      </w:r>
      <w:r w:rsidR="003C6B76" w:rsidRPr="00FF6E12">
        <w:t xml:space="preserve">) </w:t>
      </w:r>
      <w:r w:rsidR="00FE1963" w:rsidRPr="00FF6E12">
        <w:t>[</w:t>
      </w:r>
      <w:r w:rsidR="002B2BE3" w:rsidRPr="00FF6E12">
        <w:t>12.3</w:t>
      </w:r>
      <w:r w:rsidR="00FE1963" w:rsidRPr="00FF6E12">
        <w:t>]</w:t>
      </w:r>
      <w:r w:rsidR="002B2BE3" w:rsidRPr="00FF6E12">
        <w:t>.</w:t>
      </w:r>
    </w:p>
  </w:footnote>
  <w:footnote w:id="365">
    <w:p w14:paraId="0B5505AC" w14:textId="0435DAD5" w:rsidR="004C465A" w:rsidRPr="00FF6E12" w:rsidRDefault="004C465A">
      <w:pPr>
        <w:pStyle w:val="FootnoteText"/>
      </w:pPr>
      <w:r w:rsidRPr="00FF6E12">
        <w:rPr>
          <w:rStyle w:val="FootnoteReference"/>
        </w:rPr>
        <w:footnoteRef/>
      </w:r>
      <w:r w:rsidRPr="00FF6E12">
        <w:t xml:space="preserve"> </w:t>
      </w:r>
      <w:r w:rsidR="00532F96" w:rsidRPr="00A920EC">
        <w:rPr>
          <w:i/>
          <w:iCs/>
        </w:rPr>
        <w:t>Police Offences Act 1935</w:t>
      </w:r>
      <w:r w:rsidR="00532F96" w:rsidRPr="00FF6E12">
        <w:t xml:space="preserve"> (Tas) s</w:t>
      </w:r>
      <w:r w:rsidRPr="00FF6E12">
        <w:t xml:space="preserve"> 13A(1).</w:t>
      </w:r>
    </w:p>
  </w:footnote>
  <w:footnote w:id="366">
    <w:p w14:paraId="46D7DEEA" w14:textId="2C800CB3" w:rsidR="004F4037" w:rsidRPr="00FF6E12" w:rsidRDefault="004F4037">
      <w:pPr>
        <w:pStyle w:val="FootnoteText"/>
      </w:pPr>
      <w:r w:rsidRPr="00FF6E12">
        <w:rPr>
          <w:rStyle w:val="FootnoteReference"/>
        </w:rPr>
        <w:footnoteRef/>
      </w:r>
      <w:r w:rsidRPr="00FF6E12">
        <w:t xml:space="preserve"> </w:t>
      </w:r>
      <w:r w:rsidR="00532F96" w:rsidRPr="00A920EC">
        <w:rPr>
          <w:i/>
          <w:iCs/>
        </w:rPr>
        <w:t>Police Offences Act 1935</w:t>
      </w:r>
      <w:r w:rsidR="00532F96" w:rsidRPr="00FF6E12">
        <w:t xml:space="preserve"> (Tas) s </w:t>
      </w:r>
      <w:r w:rsidRPr="00FF6E12">
        <w:t>13A(</w:t>
      </w:r>
      <w:r w:rsidR="00180EA2" w:rsidRPr="00FF6E12">
        <w:t xml:space="preserve">2). </w:t>
      </w:r>
    </w:p>
  </w:footnote>
  <w:footnote w:id="367">
    <w:p w14:paraId="1FA766AE" w14:textId="1D45600D" w:rsidR="00180EA2" w:rsidRPr="00FF6E12" w:rsidRDefault="00180EA2">
      <w:pPr>
        <w:pStyle w:val="FootnoteText"/>
      </w:pPr>
      <w:r w:rsidRPr="00FF6E12">
        <w:rPr>
          <w:rStyle w:val="FootnoteReference"/>
        </w:rPr>
        <w:footnoteRef/>
      </w:r>
      <w:r w:rsidRPr="00FF6E12">
        <w:t xml:space="preserve"> </w:t>
      </w:r>
      <w:r w:rsidR="00532F96" w:rsidRPr="00A920EC">
        <w:rPr>
          <w:i/>
          <w:iCs/>
        </w:rPr>
        <w:t>Police Offences Act 1935</w:t>
      </w:r>
      <w:r w:rsidR="00532F96" w:rsidRPr="00FF6E12">
        <w:t xml:space="preserve"> (Tas) s</w:t>
      </w:r>
      <w:r w:rsidRPr="00FF6E12">
        <w:t xml:space="preserve"> 13A(2A).</w:t>
      </w:r>
    </w:p>
  </w:footnote>
  <w:footnote w:id="368">
    <w:p w14:paraId="57C75992" w14:textId="26D7AE70" w:rsidR="004C465A" w:rsidRPr="00FF6E12" w:rsidRDefault="004C465A">
      <w:pPr>
        <w:pStyle w:val="FootnoteText"/>
      </w:pPr>
      <w:r w:rsidRPr="00FF6E12">
        <w:rPr>
          <w:rStyle w:val="FootnoteReference"/>
        </w:rPr>
        <w:footnoteRef/>
      </w:r>
      <w:r w:rsidRPr="00FF6E12">
        <w:t xml:space="preserve"> </w:t>
      </w:r>
      <w:r w:rsidR="00532F96" w:rsidRPr="00FF6E12">
        <w:rPr>
          <w:i/>
          <w:iCs/>
        </w:rPr>
        <w:t xml:space="preserve">Police Offences Act 1935 </w:t>
      </w:r>
      <w:r w:rsidR="00532F96" w:rsidRPr="00FF6E12">
        <w:t xml:space="preserve">(Tas) </w:t>
      </w:r>
      <w:r w:rsidR="003C6B76" w:rsidRPr="00FF6E12">
        <w:t>s</w:t>
      </w:r>
      <w:r w:rsidR="00532F96" w:rsidRPr="00FF6E12">
        <w:t>s</w:t>
      </w:r>
      <w:r w:rsidRPr="00FF6E12">
        <w:t xml:space="preserve"> 13B(2), 13C(2).</w:t>
      </w:r>
    </w:p>
  </w:footnote>
  <w:footnote w:id="369">
    <w:p w14:paraId="67EDCA90" w14:textId="3CA46E9E" w:rsidR="00C56C04" w:rsidRPr="00FF6E12" w:rsidRDefault="00C56C04">
      <w:pPr>
        <w:pStyle w:val="FootnoteText"/>
      </w:pPr>
      <w:r w:rsidRPr="00FF6E12">
        <w:rPr>
          <w:rStyle w:val="FootnoteReference"/>
        </w:rPr>
        <w:footnoteRef/>
      </w:r>
      <w:r w:rsidRPr="00FF6E12">
        <w:t xml:space="preserve"> </w:t>
      </w:r>
      <w:r w:rsidR="00532F96" w:rsidRPr="00AB59E8">
        <w:rPr>
          <w:i/>
          <w:iCs/>
        </w:rPr>
        <w:t>Police Offences Act 1935</w:t>
      </w:r>
      <w:r w:rsidR="00532F96" w:rsidRPr="00FF6E12">
        <w:t xml:space="preserve"> (Tas) s</w:t>
      </w:r>
      <w:r w:rsidRPr="00FF6E12">
        <w:t xml:space="preserve"> 13</w:t>
      </w:r>
      <w:r w:rsidR="00835907" w:rsidRPr="00FF6E12">
        <w:t>C.</w:t>
      </w:r>
    </w:p>
  </w:footnote>
  <w:footnote w:id="370">
    <w:p w14:paraId="15C417D3" w14:textId="77777777" w:rsidR="004C465A" w:rsidRPr="00FF6E12" w:rsidRDefault="004C465A">
      <w:pPr>
        <w:pStyle w:val="FootnoteText"/>
      </w:pPr>
      <w:r w:rsidRPr="00FF6E12">
        <w:rPr>
          <w:rStyle w:val="FootnoteReference"/>
        </w:rPr>
        <w:footnoteRef/>
      </w:r>
      <w:r w:rsidRPr="00FF6E12">
        <w:t xml:space="preserve"> The definition also includes descriptions or representations of people and dolls.</w:t>
      </w:r>
    </w:p>
  </w:footnote>
  <w:footnote w:id="371">
    <w:p w14:paraId="1ED2AEB4" w14:textId="2118CFE2" w:rsidR="004C465A" w:rsidRPr="00FF6E12" w:rsidRDefault="004C465A" w:rsidP="00A920EC">
      <w:pPr>
        <w:pStyle w:val="FootnoteText"/>
      </w:pPr>
      <w:r w:rsidRPr="00FF6E12">
        <w:rPr>
          <w:rStyle w:val="FootnoteReference"/>
        </w:rPr>
        <w:footnoteRef/>
      </w:r>
      <w:r w:rsidRPr="00FF6E12">
        <w:t xml:space="preserve"> </w:t>
      </w:r>
      <w:r w:rsidR="00532F96" w:rsidRPr="00FF6E12">
        <w:rPr>
          <w:i/>
          <w:iCs/>
        </w:rPr>
        <w:t xml:space="preserve">Criminal Code 1995 </w:t>
      </w:r>
      <w:r w:rsidR="00532F96" w:rsidRPr="00FF6E12">
        <w:t xml:space="preserve">(Cth) s </w:t>
      </w:r>
      <w:r w:rsidRPr="00FF6E12">
        <w:t>474.24C.</w:t>
      </w:r>
    </w:p>
  </w:footnote>
  <w:footnote w:id="372">
    <w:p w14:paraId="28B0C996" w14:textId="4FEBD4E9" w:rsidR="00AB6908" w:rsidRPr="00FF6E12" w:rsidRDefault="00AB6908" w:rsidP="00A920EC">
      <w:pPr>
        <w:pStyle w:val="FootnoteText"/>
      </w:pPr>
      <w:r w:rsidRPr="00FF6E12">
        <w:rPr>
          <w:rStyle w:val="FootnoteReference"/>
        </w:rPr>
        <w:footnoteRef/>
      </w:r>
      <w:r w:rsidRPr="00FF6E12">
        <w:t xml:space="preserve"> </w:t>
      </w:r>
      <w:r w:rsidR="00532F96" w:rsidRPr="00FF6E12">
        <w:rPr>
          <w:i/>
          <w:iCs/>
        </w:rPr>
        <w:t xml:space="preserve">Criminal Code 1995 </w:t>
      </w:r>
      <w:r w:rsidR="00532F96" w:rsidRPr="00FF6E12">
        <w:t>(Cth) s</w:t>
      </w:r>
      <w:r w:rsidRPr="00FF6E12">
        <w:t xml:space="preserve"> 474.17A.</w:t>
      </w:r>
    </w:p>
  </w:footnote>
  <w:footnote w:id="373">
    <w:p w14:paraId="3D92BF04" w14:textId="21BDF56E" w:rsidR="00D7682D" w:rsidRPr="00FF6E12" w:rsidRDefault="00D7682D" w:rsidP="00A920EC">
      <w:pPr>
        <w:pStyle w:val="FootnoteText"/>
      </w:pPr>
      <w:r w:rsidRPr="00FF6E12">
        <w:rPr>
          <w:rStyle w:val="FootnoteReference"/>
        </w:rPr>
        <w:footnoteRef/>
      </w:r>
      <w:r w:rsidRPr="00FF6E12">
        <w:t xml:space="preserve"> </w:t>
      </w:r>
      <w:r w:rsidR="003C6B76" w:rsidRPr="00FF6E12">
        <w:t>For an overview, s</w:t>
      </w:r>
      <w:r w:rsidRPr="00FF6E12">
        <w:t xml:space="preserve">ee </w:t>
      </w:r>
      <w:r w:rsidR="003C6B76" w:rsidRPr="00FF6E12">
        <w:t xml:space="preserve">eSafety Commissioner, </w:t>
      </w:r>
      <w:r w:rsidR="003C6B76" w:rsidRPr="00A920EC">
        <w:rPr>
          <w:i/>
          <w:iCs/>
        </w:rPr>
        <w:t>Online Safety Laws</w:t>
      </w:r>
      <w:r w:rsidR="003C6B76" w:rsidRPr="00FF6E12">
        <w:t xml:space="preserve"> (eSafety Commissioner, February 2024) &lt;https://www.esafety.gov.au/sites/default/files/2024-02/Online-Safety-Laws-booklet.pdf&gt;</w:t>
      </w:r>
      <w:r w:rsidR="00B45B3F" w:rsidRPr="00FF6E12">
        <w:t>.</w:t>
      </w:r>
    </w:p>
  </w:footnote>
  <w:footnote w:id="374">
    <w:p w14:paraId="4EAF05A1" w14:textId="0F7D5096" w:rsidR="001967DB" w:rsidRPr="00FF6E12" w:rsidRDefault="001967DB">
      <w:pPr>
        <w:pStyle w:val="FootnoteText"/>
      </w:pPr>
      <w:r w:rsidRPr="00FF6E12">
        <w:rPr>
          <w:rStyle w:val="FootnoteReference"/>
        </w:rPr>
        <w:footnoteRef/>
      </w:r>
      <w:r w:rsidRPr="00FF6E12">
        <w:t xml:space="preserve"> See </w:t>
      </w:r>
      <w:r w:rsidR="005B3D4C" w:rsidRPr="00A920EC">
        <w:rPr>
          <w:i/>
          <w:iCs/>
        </w:rPr>
        <w:t>Online Safety Act 2001</w:t>
      </w:r>
      <w:r w:rsidR="005B3D4C" w:rsidRPr="00FF6E12">
        <w:t xml:space="preserve"> (Cth) </w:t>
      </w:r>
      <w:r w:rsidR="003C6B76" w:rsidRPr="00FF6E12">
        <w:t xml:space="preserve">pt </w:t>
      </w:r>
      <w:r w:rsidR="00112DD5" w:rsidRPr="00FF6E12">
        <w:t>5.</w:t>
      </w:r>
    </w:p>
  </w:footnote>
  <w:footnote w:id="375">
    <w:p w14:paraId="574EEEC9" w14:textId="558932E1" w:rsidR="005F3649" w:rsidRPr="00FF6E12" w:rsidRDefault="005F3649">
      <w:pPr>
        <w:pStyle w:val="FootnoteText"/>
      </w:pPr>
      <w:r w:rsidRPr="00FF6E12">
        <w:rPr>
          <w:rStyle w:val="FootnoteReference"/>
        </w:rPr>
        <w:footnoteRef/>
      </w:r>
      <w:r w:rsidRPr="00FF6E12">
        <w:t xml:space="preserve"> </w:t>
      </w:r>
      <w:r w:rsidR="00553A0D" w:rsidRPr="00FF6E12">
        <w:rPr>
          <w:i/>
          <w:iCs/>
        </w:rPr>
        <w:t xml:space="preserve">Online Safety Act 2001 </w:t>
      </w:r>
      <w:r w:rsidR="00553A0D" w:rsidRPr="00FF6E12">
        <w:t>(Cth)</w:t>
      </w:r>
      <w:r w:rsidR="00573775" w:rsidRPr="00FF6E12">
        <w:t xml:space="preserve"> s</w:t>
      </w:r>
      <w:r w:rsidR="00C02129" w:rsidRPr="00FF6E12">
        <w:t xml:space="preserve"> 75.</w:t>
      </w:r>
      <w:r w:rsidR="00E15192" w:rsidRPr="00FF6E12">
        <w:t xml:space="preserve"> See the </w:t>
      </w:r>
      <w:r w:rsidR="00E15192" w:rsidRPr="00FF6E12">
        <w:rPr>
          <w:i/>
          <w:iCs/>
        </w:rPr>
        <w:t xml:space="preserve">Online Safety Act 2001 </w:t>
      </w:r>
      <w:r w:rsidR="00E15192" w:rsidRPr="00FF6E12">
        <w:t xml:space="preserve">(Cth) s </w:t>
      </w:r>
      <w:r w:rsidR="002D410A" w:rsidRPr="00FF6E12">
        <w:t>86 for exemptions to this provision.</w:t>
      </w:r>
    </w:p>
  </w:footnote>
  <w:footnote w:id="376">
    <w:p w14:paraId="76EEB0B6" w14:textId="0B71B7E9" w:rsidR="00E538E5" w:rsidRPr="00FF6E12" w:rsidRDefault="00E538E5">
      <w:pPr>
        <w:pStyle w:val="FootnoteText"/>
      </w:pPr>
      <w:r w:rsidRPr="00FF6E12">
        <w:rPr>
          <w:rStyle w:val="FootnoteReference"/>
        </w:rPr>
        <w:footnoteRef/>
      </w:r>
      <w:r w:rsidRPr="00FF6E12">
        <w:t xml:space="preserve"> </w:t>
      </w:r>
      <w:r w:rsidR="00573775" w:rsidRPr="00A920EC">
        <w:rPr>
          <w:i/>
          <w:iCs/>
        </w:rPr>
        <w:t>Online Safety Act 2001</w:t>
      </w:r>
      <w:r w:rsidR="00573775" w:rsidRPr="00FF6E12">
        <w:t xml:space="preserve"> (Cth) s</w:t>
      </w:r>
      <w:r w:rsidR="000A5B46" w:rsidRPr="00FF6E12">
        <w:t xml:space="preserve"> 76.</w:t>
      </w:r>
    </w:p>
  </w:footnote>
  <w:footnote w:id="377">
    <w:p w14:paraId="66928150" w14:textId="058ED370" w:rsidR="000A5B46" w:rsidRPr="00FF6E12" w:rsidRDefault="000A5B46">
      <w:pPr>
        <w:pStyle w:val="FootnoteText"/>
      </w:pPr>
      <w:r w:rsidRPr="00FF6E12">
        <w:rPr>
          <w:rStyle w:val="FootnoteReference"/>
        </w:rPr>
        <w:footnoteRef/>
      </w:r>
      <w:r w:rsidRPr="00FF6E12">
        <w:t xml:space="preserve"> </w:t>
      </w:r>
      <w:r w:rsidR="005B3D4C" w:rsidRPr="00A920EC">
        <w:rPr>
          <w:i/>
          <w:iCs/>
        </w:rPr>
        <w:t>Online Safety Act 2001</w:t>
      </w:r>
      <w:r w:rsidR="005B3D4C" w:rsidRPr="00FF6E12">
        <w:t xml:space="preserve"> (Cth) </w:t>
      </w:r>
      <w:r w:rsidR="003C6B76" w:rsidRPr="00FF6E12">
        <w:t xml:space="preserve">pt </w:t>
      </w:r>
      <w:r w:rsidRPr="00FF6E12">
        <w:t xml:space="preserve">6 </w:t>
      </w:r>
      <w:r w:rsidR="003C6B76" w:rsidRPr="00FF6E12">
        <w:t xml:space="preserve">div </w:t>
      </w:r>
      <w:r w:rsidR="006C56D3" w:rsidRPr="00FF6E12">
        <w:t>3.</w:t>
      </w:r>
    </w:p>
  </w:footnote>
  <w:footnote w:id="378">
    <w:p w14:paraId="208C6413" w14:textId="0741D222" w:rsidR="00D70D92" w:rsidRPr="00FF6E12" w:rsidRDefault="00D70D92">
      <w:pPr>
        <w:pStyle w:val="FootnoteText"/>
        <w:rPr>
          <w:highlight w:val="yellow"/>
        </w:rPr>
      </w:pPr>
      <w:r w:rsidRPr="00FF6E12">
        <w:rPr>
          <w:rStyle w:val="FootnoteReference"/>
        </w:rPr>
        <w:footnoteRef/>
      </w:r>
      <w:r w:rsidRPr="00FF6E12">
        <w:t xml:space="preserve"> See </w:t>
      </w:r>
      <w:r w:rsidR="003C6B76" w:rsidRPr="00FF6E12">
        <w:t xml:space="preserve">John </w:t>
      </w:r>
      <w:r w:rsidRPr="00FF6E12">
        <w:t xml:space="preserve">Blackwood </w:t>
      </w:r>
      <w:r w:rsidR="003C6B76" w:rsidRPr="00FF6E12">
        <w:t>and Kate Warner</w:t>
      </w:r>
      <w:r w:rsidR="00137754" w:rsidRPr="00FF6E12">
        <w:t xml:space="preserve">, </w:t>
      </w:r>
      <w:r w:rsidR="004653E7" w:rsidRPr="00A920EC">
        <w:rPr>
          <w:i/>
          <w:iCs/>
        </w:rPr>
        <w:t>Tasmanian Criminal Law</w:t>
      </w:r>
      <w:r w:rsidR="003C6B76" w:rsidRPr="00FF6E12">
        <w:rPr>
          <w:i/>
          <w:iCs/>
        </w:rPr>
        <w:t>:</w:t>
      </w:r>
      <w:r w:rsidR="004653E7" w:rsidRPr="00A920EC">
        <w:rPr>
          <w:i/>
          <w:iCs/>
        </w:rPr>
        <w:t xml:space="preserve"> Text and Cases</w:t>
      </w:r>
      <w:r w:rsidR="004653E7" w:rsidRPr="00FF6E12">
        <w:t xml:space="preserve"> </w:t>
      </w:r>
      <w:r w:rsidR="003C6B76" w:rsidRPr="00FF6E12">
        <w:t>(4th ed, University of Tasmania Law Press, 2015) ch 14</w:t>
      </w:r>
      <w:r w:rsidR="003363D9" w:rsidRPr="00FF6E12">
        <w:t>.</w:t>
      </w:r>
    </w:p>
  </w:footnote>
  <w:footnote w:id="379">
    <w:p w14:paraId="56C20C1B" w14:textId="2E62C43E" w:rsidR="005C0733" w:rsidRPr="00FF6E12" w:rsidRDefault="005C0733">
      <w:pPr>
        <w:pStyle w:val="FootnoteText"/>
      </w:pPr>
      <w:r w:rsidRPr="00FF6E12">
        <w:rPr>
          <w:rStyle w:val="FootnoteReference"/>
        </w:rPr>
        <w:footnoteRef/>
      </w:r>
      <w:r w:rsidRPr="00FF6E12">
        <w:t xml:space="preserve"> </w:t>
      </w:r>
      <w:r w:rsidR="003C6B76" w:rsidRPr="00FF6E12">
        <w:t xml:space="preserve">Dominique Moritz and Larissa S Christensen, ‘When Sexting Conflicts with Child Sexual Abuse Material: The Legal and Social Consequences for Children’ (2020) 27(5) </w:t>
      </w:r>
      <w:r w:rsidR="003C6B76" w:rsidRPr="00A920EC">
        <w:rPr>
          <w:i/>
          <w:iCs/>
        </w:rPr>
        <w:t>Psychiatry, Psychology and Law</w:t>
      </w:r>
      <w:r w:rsidR="003C6B76" w:rsidRPr="00FF6E12">
        <w:t xml:space="preserve"> 815, </w:t>
      </w:r>
      <w:r w:rsidR="00B23E35" w:rsidRPr="00FF6E12">
        <w:t>817.</w:t>
      </w:r>
    </w:p>
  </w:footnote>
  <w:footnote w:id="380">
    <w:p w14:paraId="45D21077" w14:textId="2A2B0CB5" w:rsidR="0082518F" w:rsidRPr="00FF6E12" w:rsidRDefault="0082518F">
      <w:pPr>
        <w:pStyle w:val="FootnoteText"/>
        <w:rPr>
          <w:i/>
          <w:iCs/>
        </w:rPr>
      </w:pPr>
      <w:r w:rsidRPr="00FF6E12">
        <w:rPr>
          <w:rStyle w:val="FootnoteReference"/>
        </w:rPr>
        <w:footnoteRef/>
      </w:r>
      <w:r w:rsidRPr="00FF6E12">
        <w:t xml:space="preserve"> </w:t>
      </w:r>
      <w:r w:rsidR="003C6B76" w:rsidRPr="00FF6E12">
        <w:t xml:space="preserve">Finkelhor et al (n </w:t>
      </w:r>
      <w:r w:rsidR="003C6B76" w:rsidRPr="00FF6E12">
        <w:fldChar w:fldCharType="begin"/>
      </w:r>
      <w:r w:rsidR="003C6B76" w:rsidRPr="00FF6E12">
        <w:instrText xml:space="preserve"> NOTEREF _Ref217915176 \h </w:instrText>
      </w:r>
      <w:r w:rsidR="003C6B76" w:rsidRPr="00FF6E12">
        <w:fldChar w:fldCharType="separate"/>
      </w:r>
      <w:r w:rsidR="007D7830">
        <w:t>75</w:t>
      </w:r>
      <w:r w:rsidR="003C6B76" w:rsidRPr="00FF6E12">
        <w:fldChar w:fldCharType="end"/>
      </w:r>
      <w:r w:rsidR="003C6B76" w:rsidRPr="00FF6E12">
        <w:t xml:space="preserve">) </w:t>
      </w:r>
      <w:r w:rsidRPr="00FF6E12">
        <w:t>3.</w:t>
      </w:r>
      <w:r w:rsidR="00211241" w:rsidRPr="00FF6E12">
        <w:t xml:space="preserve"> See also, Barroso</w:t>
      </w:r>
      <w:r w:rsidR="00B03F4D" w:rsidRPr="00FF6E12">
        <w:t xml:space="preserve"> et al, </w:t>
      </w:r>
      <w:r w:rsidR="002D7C79" w:rsidRPr="00FF6E12">
        <w:t>‘</w:t>
      </w:r>
      <w:r w:rsidR="00B03F4D" w:rsidRPr="00FF6E12">
        <w:t xml:space="preserve">Consensual and </w:t>
      </w:r>
      <w:r w:rsidR="00094F7B" w:rsidRPr="00FF6E12">
        <w:t>Non-consensual</w:t>
      </w:r>
      <w:r w:rsidR="00B03F4D" w:rsidRPr="00FF6E12">
        <w:t xml:space="preserve"> Sexting </w:t>
      </w:r>
      <w:r w:rsidR="00094F7B" w:rsidRPr="00FF6E12">
        <w:t>Behaviours</w:t>
      </w:r>
      <w:r w:rsidR="00B03F4D" w:rsidRPr="00FF6E12">
        <w:t xml:space="preserve"> in Adolescence: A Systematic Review</w:t>
      </w:r>
      <w:r w:rsidR="002D7C79" w:rsidRPr="00FF6E12">
        <w:t>’</w:t>
      </w:r>
      <w:r w:rsidR="00B03F4D" w:rsidRPr="00FF6E12">
        <w:t xml:space="preserve"> </w:t>
      </w:r>
      <w:r w:rsidR="00094F7B" w:rsidRPr="00FF6E12">
        <w:t xml:space="preserve">(2023) 8 </w:t>
      </w:r>
      <w:r w:rsidR="00094F7B" w:rsidRPr="00FF6E12">
        <w:rPr>
          <w:i/>
          <w:iCs/>
        </w:rPr>
        <w:t>Adolescent Research Review</w:t>
      </w:r>
      <w:r w:rsidR="00094F7B" w:rsidRPr="00FF6E12">
        <w:t xml:space="preserve"> 1</w:t>
      </w:r>
      <w:r w:rsidR="00754C93" w:rsidRPr="00FF6E12">
        <w:rPr>
          <w:i/>
          <w:iCs/>
        </w:rPr>
        <w:t>.</w:t>
      </w:r>
    </w:p>
  </w:footnote>
  <w:footnote w:id="381">
    <w:p w14:paraId="055D2129" w14:textId="1AB22EA5" w:rsidR="00216F30" w:rsidRPr="00FF6E12" w:rsidRDefault="00216F30">
      <w:pPr>
        <w:pStyle w:val="FootnoteText"/>
      </w:pPr>
      <w:r w:rsidRPr="00FF6E12">
        <w:rPr>
          <w:rStyle w:val="FootnoteReference"/>
        </w:rPr>
        <w:footnoteRef/>
      </w:r>
      <w:r w:rsidRPr="00FF6E12">
        <w:t xml:space="preserve"> A</w:t>
      </w:r>
      <w:r w:rsidR="003C6B76" w:rsidRPr="00FF6E12">
        <w:t xml:space="preserve">lexa </w:t>
      </w:r>
      <w:r w:rsidRPr="00FF6E12">
        <w:t>Dodge and D</w:t>
      </w:r>
      <w:r w:rsidR="009E7AC0" w:rsidRPr="00FF6E12">
        <w:t>ale</w:t>
      </w:r>
      <w:r w:rsidRPr="00FF6E12">
        <w:t xml:space="preserve"> Spender, ‘Online Sexual Violence, Child Pornography or Something Else Entirely? Police Responses to Non-Consensual Intimate Image Sharing Among Youth’ (2018) 27(5) </w:t>
      </w:r>
      <w:r w:rsidRPr="00FF6E12">
        <w:rPr>
          <w:i/>
          <w:iCs/>
        </w:rPr>
        <w:t xml:space="preserve">Social and Legal Studies </w:t>
      </w:r>
      <w:r w:rsidRPr="00FF6E12">
        <w:t>636,</w:t>
      </w:r>
      <w:r w:rsidRPr="00FF6E12">
        <w:rPr>
          <w:i/>
          <w:iCs/>
        </w:rPr>
        <w:t xml:space="preserve"> </w:t>
      </w:r>
      <w:r w:rsidRPr="00FF6E12">
        <w:t>645.</w:t>
      </w:r>
    </w:p>
  </w:footnote>
  <w:footnote w:id="382">
    <w:p w14:paraId="023EBDBF" w14:textId="16E60D78" w:rsidR="00AB3B9D" w:rsidRPr="00FF6E12" w:rsidRDefault="00AB3B9D">
      <w:pPr>
        <w:pStyle w:val="FootnoteText"/>
      </w:pPr>
      <w:r w:rsidRPr="00FF6E12">
        <w:rPr>
          <w:rStyle w:val="FootnoteReference"/>
        </w:rPr>
        <w:footnoteRef/>
      </w:r>
      <w:r w:rsidRPr="00FF6E12">
        <w:t xml:space="preserve"> </w:t>
      </w:r>
      <w:r w:rsidR="009E7AC0" w:rsidRPr="00FF6E12">
        <w:t>Ibid</w:t>
      </w:r>
      <w:r w:rsidRPr="00FF6E12">
        <w:rPr>
          <w:i/>
          <w:iCs/>
        </w:rPr>
        <w:t xml:space="preserve"> </w:t>
      </w:r>
      <w:r w:rsidRPr="00FF6E12">
        <w:t>645–647.</w:t>
      </w:r>
    </w:p>
  </w:footnote>
  <w:footnote w:id="383">
    <w:p w14:paraId="6374E304" w14:textId="0F9AF845" w:rsidR="003D590A" w:rsidRPr="00FF6E12" w:rsidRDefault="003D590A">
      <w:pPr>
        <w:pStyle w:val="FootnoteText"/>
      </w:pPr>
      <w:r w:rsidRPr="00FF6E12">
        <w:rPr>
          <w:rStyle w:val="FootnoteReference"/>
        </w:rPr>
        <w:footnoteRef/>
      </w:r>
      <w:r w:rsidRPr="00FF6E12">
        <w:t xml:space="preserve"> </w:t>
      </w:r>
      <w:r w:rsidR="009E7AC0" w:rsidRPr="00FF6E12">
        <w:t>Ibid</w:t>
      </w:r>
      <w:r w:rsidR="009713A1" w:rsidRPr="00FF6E12">
        <w:t>.</w:t>
      </w:r>
    </w:p>
  </w:footnote>
  <w:footnote w:id="384">
    <w:p w14:paraId="7CA2982B" w14:textId="26D527CB" w:rsidR="00DB4181" w:rsidRPr="00FF6E12" w:rsidRDefault="00DB4181">
      <w:pPr>
        <w:pStyle w:val="FootnoteText"/>
        <w:rPr>
          <w:i/>
          <w:iCs/>
        </w:rPr>
      </w:pPr>
      <w:r w:rsidRPr="00FF6E12">
        <w:rPr>
          <w:rStyle w:val="FootnoteReference"/>
        </w:rPr>
        <w:footnoteRef/>
      </w:r>
      <w:r w:rsidRPr="00FF6E12">
        <w:t xml:space="preserve"> </w:t>
      </w:r>
      <w:r w:rsidR="009E7AC0" w:rsidRPr="00FF6E12">
        <w:t xml:space="preserve">Ethel Quayle and Laura Cariola, ‘Management of Non‑Consensually Shared Youth‑Produced Sexual Images: A Delphi Study with Adolescents as Experts’ (2019) 95 </w:t>
      </w:r>
      <w:r w:rsidR="009E7AC0" w:rsidRPr="00A920EC">
        <w:rPr>
          <w:i/>
          <w:iCs/>
        </w:rPr>
        <w:t>Child Abuse &amp; Neglect</w:t>
      </w:r>
      <w:r w:rsidR="009E7AC0" w:rsidRPr="00FF6E12">
        <w:t xml:space="preserve"> 104064, 2 &lt;https://doi.org/10.1016/j.chiabu.2019.104064&gt;</w:t>
      </w:r>
      <w:r w:rsidR="007466BC" w:rsidRPr="00FF6E12">
        <w:t>.</w:t>
      </w:r>
    </w:p>
  </w:footnote>
  <w:footnote w:id="385">
    <w:p w14:paraId="17C59951" w14:textId="3D4AB0C8" w:rsidR="00324F57" w:rsidRPr="00FF6E12" w:rsidRDefault="00324F57">
      <w:pPr>
        <w:pStyle w:val="FootnoteText"/>
      </w:pPr>
      <w:r w:rsidRPr="00FF6E12">
        <w:rPr>
          <w:rStyle w:val="FootnoteReference"/>
        </w:rPr>
        <w:footnoteRef/>
      </w:r>
      <w:r w:rsidRPr="00FF6E12">
        <w:t xml:space="preserve"> Moritz and Christensen</w:t>
      </w:r>
      <w:r w:rsidR="009E7AC0" w:rsidRPr="00FF6E12">
        <w:t xml:space="preserve"> (n </w:t>
      </w:r>
      <w:r w:rsidR="009E7AC0" w:rsidRPr="00FF6E12">
        <w:fldChar w:fldCharType="begin"/>
      </w:r>
      <w:r w:rsidR="009E7AC0" w:rsidRPr="00FF6E12">
        <w:instrText xml:space="preserve"> NOTEREF _Ref217985017 \h </w:instrText>
      </w:r>
      <w:r w:rsidR="009E7AC0" w:rsidRPr="00FF6E12">
        <w:fldChar w:fldCharType="separate"/>
      </w:r>
      <w:r w:rsidR="007D7830">
        <w:t>378</w:t>
      </w:r>
      <w:r w:rsidR="009E7AC0" w:rsidRPr="00FF6E12">
        <w:fldChar w:fldCharType="end"/>
      </w:r>
      <w:r w:rsidR="009E7AC0" w:rsidRPr="00FF6E12">
        <w:t>)</w:t>
      </w:r>
      <w:r w:rsidRPr="00FF6E12">
        <w:t xml:space="preserve"> 816.</w:t>
      </w:r>
    </w:p>
  </w:footnote>
  <w:footnote w:id="386">
    <w:p w14:paraId="12977665" w14:textId="46E485B0" w:rsidR="00324F57" w:rsidRPr="00FF6E12" w:rsidRDefault="00324F57">
      <w:pPr>
        <w:pStyle w:val="FootnoteText"/>
      </w:pPr>
      <w:r w:rsidRPr="00FF6E12">
        <w:rPr>
          <w:rStyle w:val="FootnoteReference"/>
        </w:rPr>
        <w:footnoteRef/>
      </w:r>
      <w:r w:rsidRPr="00FF6E12">
        <w:t xml:space="preserve"> </w:t>
      </w:r>
      <w:r w:rsidR="009E7AC0" w:rsidRPr="00FF6E12">
        <w:t>Ibid</w:t>
      </w:r>
      <w:r w:rsidRPr="00FF6E12">
        <w:t xml:space="preserve"> 817.</w:t>
      </w:r>
    </w:p>
  </w:footnote>
  <w:footnote w:id="387">
    <w:p w14:paraId="2A664C2F" w14:textId="47E991AB" w:rsidR="00277297" w:rsidRPr="00FF6E12" w:rsidRDefault="00277297">
      <w:pPr>
        <w:pStyle w:val="FootnoteText"/>
      </w:pPr>
      <w:r w:rsidRPr="00FF6E12">
        <w:rPr>
          <w:rStyle w:val="FootnoteReference"/>
        </w:rPr>
        <w:footnoteRef/>
      </w:r>
      <w:r w:rsidRPr="00FF6E12">
        <w:t xml:space="preserve"> Murray</w:t>
      </w:r>
      <w:r w:rsidR="009E7AC0" w:rsidRPr="00FF6E12">
        <w:t xml:space="preserve"> Lee</w:t>
      </w:r>
      <w:r w:rsidRPr="00FF6E12">
        <w:t xml:space="preserve"> et al, ‘“Let’s Get Sexting”: Risk, Power and Criminalisation in the Moral Domain’ (2013) 2(1) </w:t>
      </w:r>
      <w:r w:rsidRPr="00FF6E12">
        <w:rPr>
          <w:i/>
          <w:iCs/>
        </w:rPr>
        <w:t>International Journal for Crime Justice and Social Democracy</w:t>
      </w:r>
      <w:r w:rsidRPr="00FF6E12">
        <w:t xml:space="preserve"> 35, 36.</w:t>
      </w:r>
    </w:p>
  </w:footnote>
  <w:footnote w:id="388">
    <w:p w14:paraId="79CBD13B" w14:textId="687133AD" w:rsidR="004B2CF8" w:rsidRPr="00FF6E12" w:rsidRDefault="004B2CF8">
      <w:pPr>
        <w:pStyle w:val="FootnoteText"/>
      </w:pPr>
      <w:r w:rsidRPr="00FF6E12">
        <w:rPr>
          <w:rStyle w:val="FootnoteReference"/>
        </w:rPr>
        <w:footnoteRef/>
      </w:r>
      <w:r w:rsidRPr="00FF6E12">
        <w:t xml:space="preserve"> </w:t>
      </w:r>
      <w:r w:rsidR="009E7AC0" w:rsidRPr="00FF6E12">
        <w:t xml:space="preserve">Moritz and Christensen (n </w:t>
      </w:r>
      <w:r w:rsidR="009E7AC0" w:rsidRPr="00FF6E12">
        <w:fldChar w:fldCharType="begin"/>
      </w:r>
      <w:r w:rsidR="009E7AC0" w:rsidRPr="00FF6E12">
        <w:instrText xml:space="preserve"> NOTEREF _Ref217985017 \h </w:instrText>
      </w:r>
      <w:r w:rsidR="009E7AC0" w:rsidRPr="00FF6E12">
        <w:fldChar w:fldCharType="separate"/>
      </w:r>
      <w:r w:rsidR="007D7830">
        <w:t>378</w:t>
      </w:r>
      <w:r w:rsidR="009E7AC0" w:rsidRPr="00FF6E12">
        <w:fldChar w:fldCharType="end"/>
      </w:r>
      <w:r w:rsidR="009E7AC0" w:rsidRPr="00FF6E12">
        <w:t>)</w:t>
      </w:r>
      <w:r w:rsidR="00651525" w:rsidRPr="00FF6E12">
        <w:t>.</w:t>
      </w:r>
    </w:p>
  </w:footnote>
  <w:footnote w:id="389">
    <w:p w14:paraId="0C0EC16A" w14:textId="5B3B53E3" w:rsidR="00C272C4" w:rsidRPr="00FF6E12" w:rsidRDefault="00C272C4">
      <w:pPr>
        <w:pStyle w:val="FootnoteText"/>
      </w:pPr>
      <w:r w:rsidRPr="00FF6E12">
        <w:rPr>
          <w:rStyle w:val="FootnoteReference"/>
        </w:rPr>
        <w:footnoteRef/>
      </w:r>
      <w:r w:rsidRPr="00FF6E12">
        <w:t xml:space="preserve"> </w:t>
      </w:r>
      <w:r w:rsidR="009E7AC0" w:rsidRPr="00FF6E12">
        <w:t>Ibid</w:t>
      </w:r>
      <w:r w:rsidR="00B44304" w:rsidRPr="00FF6E12">
        <w:t>.</w:t>
      </w:r>
    </w:p>
  </w:footnote>
  <w:footnote w:id="390">
    <w:p w14:paraId="657BD534" w14:textId="0E0E1DA9" w:rsidR="00D8721A" w:rsidRPr="00FF6E12" w:rsidRDefault="00D8721A">
      <w:pPr>
        <w:pStyle w:val="FootnoteText"/>
      </w:pPr>
      <w:r w:rsidRPr="00FF6E12">
        <w:rPr>
          <w:rStyle w:val="FootnoteReference"/>
        </w:rPr>
        <w:footnoteRef/>
      </w:r>
      <w:r w:rsidRPr="00FF6E12">
        <w:t xml:space="preserve"> </w:t>
      </w:r>
      <w:r w:rsidR="00B44304" w:rsidRPr="00FF6E12">
        <w:t xml:space="preserve">TLRI, </w:t>
      </w:r>
      <w:r w:rsidR="00B44304" w:rsidRPr="00FF6E12">
        <w:rPr>
          <w:i/>
          <w:iCs/>
        </w:rPr>
        <w:t xml:space="preserve">Review of Privacy Law In Tasmania </w:t>
      </w:r>
      <w:r w:rsidR="009E7AC0" w:rsidRPr="00FF6E12">
        <w:t xml:space="preserve">(TLRI, </w:t>
      </w:r>
      <w:r w:rsidRPr="00FF6E12">
        <w:t xml:space="preserve">Final Report </w:t>
      </w:r>
      <w:r w:rsidR="009E7AC0" w:rsidRPr="00FF6E12">
        <w:t>n</w:t>
      </w:r>
      <w:r w:rsidRPr="00FF6E12">
        <w:t>o 33, May 2024</w:t>
      </w:r>
      <w:r w:rsidR="009E7AC0" w:rsidRPr="00FF6E12">
        <w:t>)</w:t>
      </w:r>
      <w:r w:rsidRPr="00FF6E12">
        <w:t>.</w:t>
      </w:r>
    </w:p>
  </w:footnote>
  <w:footnote w:id="391">
    <w:p w14:paraId="5CB5913B" w14:textId="47C41806" w:rsidR="0005405D" w:rsidRPr="00FF6E12" w:rsidRDefault="0005405D">
      <w:pPr>
        <w:pStyle w:val="FootnoteText"/>
      </w:pPr>
      <w:r w:rsidRPr="00FF6E12">
        <w:rPr>
          <w:rStyle w:val="FootnoteReference"/>
        </w:rPr>
        <w:footnoteRef/>
      </w:r>
      <w:r w:rsidRPr="00FF6E12">
        <w:t xml:space="preserve"> </w:t>
      </w:r>
      <w:r w:rsidR="009E7AC0" w:rsidRPr="00FF6E12">
        <w:t>Ibid</w:t>
      </w:r>
      <w:r w:rsidR="00B44304" w:rsidRPr="00FF6E12">
        <w:t xml:space="preserve"> </w:t>
      </w:r>
      <w:r w:rsidR="00EB54D1" w:rsidRPr="00FF6E12">
        <w:t>Recommendation 61.</w:t>
      </w:r>
    </w:p>
  </w:footnote>
  <w:footnote w:id="392">
    <w:p w14:paraId="2872D5C8" w14:textId="23600297" w:rsidR="005F5FE9" w:rsidRPr="00FF6E12" w:rsidRDefault="005F5FE9">
      <w:pPr>
        <w:pStyle w:val="FootnoteText"/>
      </w:pPr>
      <w:r w:rsidRPr="00FF6E12">
        <w:rPr>
          <w:rStyle w:val="FootnoteReference"/>
        </w:rPr>
        <w:footnoteRef/>
      </w:r>
      <w:r w:rsidRPr="00FF6E12">
        <w:t xml:space="preserve"> </w:t>
      </w:r>
      <w:r w:rsidR="002A786C" w:rsidRPr="00FF6E12">
        <w:t>Participant</w:t>
      </w:r>
      <w:r w:rsidR="00141AFF" w:rsidRPr="00FF6E12">
        <w:t xml:space="preserve"> 24</w:t>
      </w:r>
      <w:r w:rsidRPr="00FF6E12">
        <w:t>.</w:t>
      </w:r>
    </w:p>
  </w:footnote>
  <w:footnote w:id="393">
    <w:p w14:paraId="6027476D" w14:textId="5F3C7027" w:rsidR="00537D90" w:rsidRPr="00FF6E12" w:rsidRDefault="00537D90">
      <w:pPr>
        <w:pStyle w:val="FootnoteText"/>
      </w:pPr>
      <w:r w:rsidRPr="00FF6E12">
        <w:rPr>
          <w:rStyle w:val="FootnoteReference"/>
        </w:rPr>
        <w:footnoteRef/>
      </w:r>
      <w:r w:rsidRPr="00FF6E12">
        <w:t xml:space="preserve"> See </w:t>
      </w:r>
      <w:r w:rsidR="007B2D68" w:rsidRPr="00FF6E12">
        <w:t>[</w:t>
      </w:r>
      <w:r w:rsidR="00B4242B" w:rsidRPr="00FF6E12">
        <w:fldChar w:fldCharType="begin"/>
      </w:r>
      <w:r w:rsidR="00B4242B" w:rsidRPr="00FF6E12">
        <w:instrText xml:space="preserve"> REF _Ref217985250 \r \h </w:instrText>
      </w:r>
      <w:r w:rsidR="00B4242B" w:rsidRPr="00FF6E12">
        <w:fldChar w:fldCharType="separate"/>
      </w:r>
      <w:r w:rsidR="007D7830">
        <w:t>5.7</w:t>
      </w:r>
      <w:r w:rsidR="00B4242B" w:rsidRPr="00FF6E12">
        <w:fldChar w:fldCharType="end"/>
      </w:r>
      <w:r w:rsidR="007B2D68" w:rsidRPr="00FF6E12">
        <w:t>]</w:t>
      </w:r>
      <w:r w:rsidRPr="00FF6E12">
        <w:t>.</w:t>
      </w:r>
    </w:p>
  </w:footnote>
  <w:footnote w:id="394">
    <w:p w14:paraId="1B6E546F" w14:textId="1A5EDF10" w:rsidR="00C67B65" w:rsidRPr="00FF6E12" w:rsidRDefault="00C67B65">
      <w:pPr>
        <w:pStyle w:val="FootnoteText"/>
      </w:pPr>
      <w:r w:rsidRPr="00FF6E12">
        <w:rPr>
          <w:rStyle w:val="FootnoteReference"/>
        </w:rPr>
        <w:footnoteRef/>
      </w:r>
      <w:r w:rsidRPr="00FF6E12">
        <w:t xml:space="preserve"> </w:t>
      </w:r>
      <w:r w:rsidR="00D33091" w:rsidRPr="00AB59E8">
        <w:rPr>
          <w:rStyle w:val="FootnoteTextTLRIChar"/>
          <w:i/>
          <w:iCs/>
        </w:rPr>
        <w:t>Classification (Publications, Films and Computer Games) Enforcement Act 1995</w:t>
      </w:r>
      <w:r w:rsidR="00D33091" w:rsidRPr="00A920EC">
        <w:rPr>
          <w:rStyle w:val="FootnoteTextTLRIChar"/>
        </w:rPr>
        <w:t xml:space="preserve"> (Tas)</w:t>
      </w:r>
      <w:r w:rsidRPr="00A920EC">
        <w:rPr>
          <w:rStyle w:val="FootnoteTextTLRIChar"/>
        </w:rPr>
        <w:t xml:space="preserve"> </w:t>
      </w:r>
      <w:r w:rsidR="00573142">
        <w:rPr>
          <w:rStyle w:val="FootnoteTextTLRIChar"/>
        </w:rPr>
        <w:t xml:space="preserve">s </w:t>
      </w:r>
      <w:r w:rsidRPr="00A920EC">
        <w:rPr>
          <w:rStyle w:val="FootnoteTextTLRIChar"/>
        </w:rPr>
        <w:t>130E(</w:t>
      </w:r>
      <w:r w:rsidR="00B719F2" w:rsidRPr="00A920EC">
        <w:rPr>
          <w:rStyle w:val="FootnoteTextTLRIChar"/>
        </w:rPr>
        <w:t>2).</w:t>
      </w:r>
    </w:p>
  </w:footnote>
  <w:footnote w:id="395">
    <w:p w14:paraId="0792FDCC" w14:textId="08552E17" w:rsidR="00E47B1D" w:rsidRPr="00FF6E12" w:rsidRDefault="00E47B1D">
      <w:pPr>
        <w:pStyle w:val="FootnoteText"/>
      </w:pPr>
      <w:r w:rsidRPr="00FF6E12">
        <w:rPr>
          <w:rStyle w:val="FootnoteReference"/>
        </w:rPr>
        <w:footnoteRef/>
      </w:r>
      <w:r w:rsidRPr="00FF6E12">
        <w:t xml:space="preserve"> That is, the sexual activity was not rape, and</w:t>
      </w:r>
      <w:r w:rsidR="005323C9" w:rsidRPr="00FF6E12">
        <w:t>:</w:t>
      </w:r>
      <w:r w:rsidRPr="00FF6E12">
        <w:t xml:space="preserve"> the complainant was aged 15 or older and</w:t>
      </w:r>
      <w:r w:rsidR="00B4242B" w:rsidRPr="00FF6E12">
        <w:t xml:space="preserve"> the</w:t>
      </w:r>
      <w:r w:rsidRPr="00FF6E12">
        <w:t xml:space="preserve"> accused was not more than 5 years older; or the complainant was aged 12 or older and the accused was not more than 3 years older</w:t>
      </w:r>
      <w:r w:rsidR="005323C9" w:rsidRPr="00FF6E12">
        <w:t>. S</w:t>
      </w:r>
      <w:r w:rsidRPr="00FF6E12">
        <w:t>ee [</w:t>
      </w:r>
      <w:r w:rsidRPr="00A920EC">
        <w:fldChar w:fldCharType="begin"/>
      </w:r>
      <w:r w:rsidRPr="00FF6E12">
        <w:instrText xml:space="preserve"> REF _Ref217306183 \r \h  \* MERGEFORMAT </w:instrText>
      </w:r>
      <w:r w:rsidRPr="00A920EC">
        <w:fldChar w:fldCharType="separate"/>
      </w:r>
      <w:r w:rsidR="007D7830">
        <w:t>4.3.8</w:t>
      </w:r>
      <w:r w:rsidRPr="00A920EC">
        <w:fldChar w:fldCharType="end"/>
      </w:r>
      <w:r w:rsidRPr="00A920EC">
        <w:t>]–[</w:t>
      </w:r>
      <w:r w:rsidRPr="00A920EC">
        <w:fldChar w:fldCharType="begin"/>
      </w:r>
      <w:r w:rsidRPr="00A920EC">
        <w:instrText xml:space="preserve"> REF _Ref217306185 \r \h </w:instrText>
      </w:r>
      <w:r w:rsidRPr="00FF6E12">
        <w:instrText xml:space="preserve"> \* MERGEFORMAT </w:instrText>
      </w:r>
      <w:r w:rsidRPr="00A920EC">
        <w:fldChar w:fldCharType="separate"/>
      </w:r>
      <w:r w:rsidR="007D7830">
        <w:t>4.3.9</w:t>
      </w:r>
      <w:r w:rsidRPr="00A920EC">
        <w:fldChar w:fldCharType="end"/>
      </w:r>
      <w:r w:rsidRPr="00A920EC">
        <w:t>] and [</w:t>
      </w:r>
      <w:r w:rsidRPr="00A920EC">
        <w:fldChar w:fldCharType="begin"/>
      </w:r>
      <w:r w:rsidRPr="00A920EC">
        <w:instrText xml:space="preserve"> REF _Ref217306205 \r \h </w:instrText>
      </w:r>
      <w:r w:rsidRPr="00FF6E12">
        <w:instrText xml:space="preserve"> \* MERGEFORMAT </w:instrText>
      </w:r>
      <w:r w:rsidRPr="00A920EC">
        <w:fldChar w:fldCharType="separate"/>
      </w:r>
      <w:r w:rsidR="007D7830">
        <w:t>4.3.16</w:t>
      </w:r>
      <w:r w:rsidRPr="00A920EC">
        <w:fldChar w:fldCharType="end"/>
      </w:r>
      <w:r w:rsidRPr="00FF6E12">
        <w:t>].</w:t>
      </w:r>
    </w:p>
  </w:footnote>
  <w:footnote w:id="396">
    <w:p w14:paraId="059E4C58" w14:textId="2285213B" w:rsidR="00D216E1" w:rsidRPr="00FF6E12" w:rsidRDefault="00D216E1">
      <w:pPr>
        <w:pStyle w:val="FootnoteText"/>
      </w:pPr>
      <w:r w:rsidRPr="00FF6E12">
        <w:rPr>
          <w:rStyle w:val="FootnoteReference"/>
        </w:rPr>
        <w:footnoteRef/>
      </w:r>
      <w:r w:rsidRPr="00FF6E12">
        <w:t xml:space="preserve"> This would </w:t>
      </w:r>
      <w:r w:rsidR="0008720C" w:rsidRPr="00FF6E12">
        <w:t>potentially be</w:t>
      </w:r>
      <w:r w:rsidRPr="00FF6E12">
        <w:t xml:space="preserve"> an offence under the provisions of the </w:t>
      </w:r>
      <w:r w:rsidRPr="00FF6E12">
        <w:rPr>
          <w:i/>
          <w:iCs/>
        </w:rPr>
        <w:t xml:space="preserve">Police Offences Act 1935 </w:t>
      </w:r>
      <w:r w:rsidRPr="00FF6E12">
        <w:t>(Tas) s</w:t>
      </w:r>
      <w:r w:rsidR="00B4242B" w:rsidRPr="00FF6E12">
        <w:t>s</w:t>
      </w:r>
      <w:r w:rsidRPr="00FF6E12">
        <w:t xml:space="preserve"> </w:t>
      </w:r>
      <w:r w:rsidR="00C81B65" w:rsidRPr="00FF6E12">
        <w:t>13A</w:t>
      </w:r>
      <w:r w:rsidR="00B4242B" w:rsidRPr="00FF6E12">
        <w:t>–</w:t>
      </w:r>
      <w:r w:rsidR="00C81B65" w:rsidRPr="00FF6E12">
        <w:t>B</w:t>
      </w:r>
      <w:r w:rsidR="0008720C" w:rsidRPr="00FF6E12">
        <w:t>, to which the age</w:t>
      </w:r>
      <w:r w:rsidR="00B4242B" w:rsidRPr="00FF6E12">
        <w:t>-</w:t>
      </w:r>
      <w:r w:rsidR="0008720C" w:rsidRPr="00FF6E12">
        <w:t>related defences do not apply</w:t>
      </w:r>
      <w:r w:rsidR="00B4242B" w:rsidRPr="00FF6E12">
        <w:t>.</w:t>
      </w:r>
    </w:p>
  </w:footnote>
  <w:footnote w:id="397">
    <w:p w14:paraId="6A25F22C" w14:textId="49BF2275" w:rsidR="009056E1" w:rsidRPr="00FF6E12" w:rsidRDefault="009056E1">
      <w:pPr>
        <w:pStyle w:val="FootnoteText"/>
      </w:pPr>
      <w:r w:rsidRPr="00FF6E12">
        <w:rPr>
          <w:rStyle w:val="FootnoteReference"/>
        </w:rPr>
        <w:footnoteRef/>
      </w:r>
      <w:r w:rsidRPr="00FF6E12">
        <w:t xml:space="preserve"> See </w:t>
      </w:r>
      <w:r w:rsidR="00007825" w:rsidRPr="00FF6E12">
        <w:rPr>
          <w:i/>
          <w:iCs/>
        </w:rPr>
        <w:t>Crimes Act</w:t>
      </w:r>
      <w:r w:rsidR="00F936CE" w:rsidRPr="00FF6E12">
        <w:rPr>
          <w:i/>
          <w:iCs/>
        </w:rPr>
        <w:t xml:space="preserve"> 1900</w:t>
      </w:r>
      <w:r w:rsidR="00007825" w:rsidRPr="00FF6E12">
        <w:rPr>
          <w:i/>
          <w:iCs/>
        </w:rPr>
        <w:t xml:space="preserve"> </w:t>
      </w:r>
      <w:r w:rsidR="00007825" w:rsidRPr="00FF6E12">
        <w:t xml:space="preserve">(NSW) </w:t>
      </w:r>
      <w:r w:rsidR="00854860" w:rsidRPr="00FF6E12">
        <w:t>s</w:t>
      </w:r>
      <w:r w:rsidR="00B4242B" w:rsidRPr="00FF6E12">
        <w:t>s</w:t>
      </w:r>
      <w:r w:rsidR="00854860" w:rsidRPr="00FF6E12">
        <w:t xml:space="preserve"> 91HA(9)</w:t>
      </w:r>
      <w:r w:rsidR="00B4242B" w:rsidRPr="00FF6E12">
        <w:t>–</w:t>
      </w:r>
      <w:r w:rsidR="00854860" w:rsidRPr="00FF6E12">
        <w:t>(12)</w:t>
      </w:r>
      <w:r w:rsidRPr="00FF6E12">
        <w:t xml:space="preserve">, </w:t>
      </w:r>
      <w:r w:rsidR="00E17432" w:rsidRPr="00FF6E12">
        <w:rPr>
          <w:i/>
          <w:iCs/>
        </w:rPr>
        <w:t xml:space="preserve">Crimes Act 1958 </w:t>
      </w:r>
      <w:r w:rsidR="004F45D7" w:rsidRPr="00FF6E12">
        <w:t xml:space="preserve">(Vic) </w:t>
      </w:r>
      <w:r w:rsidR="00E17432" w:rsidRPr="00FF6E12">
        <w:t xml:space="preserve">ss 51M, </w:t>
      </w:r>
      <w:r w:rsidR="002D0759" w:rsidRPr="00FF6E12">
        <w:t>51O.</w:t>
      </w:r>
    </w:p>
  </w:footnote>
  <w:footnote w:id="398">
    <w:p w14:paraId="6758B83F" w14:textId="1CAD075C" w:rsidR="00585560" w:rsidRPr="00FF6E12" w:rsidRDefault="00585560">
      <w:pPr>
        <w:pStyle w:val="FootnoteText"/>
      </w:pPr>
      <w:r w:rsidRPr="00FF6E12">
        <w:rPr>
          <w:rStyle w:val="FootnoteReference"/>
        </w:rPr>
        <w:footnoteRef/>
      </w:r>
      <w:r w:rsidRPr="00FF6E12">
        <w:t xml:space="preserve"> </w:t>
      </w:r>
      <w:r w:rsidRPr="00FF6E12">
        <w:rPr>
          <w:i/>
          <w:iCs/>
        </w:rPr>
        <w:t>Crimes Act 1900</w:t>
      </w:r>
      <w:r w:rsidRPr="00FF6E12">
        <w:t xml:space="preserve"> (NSW)</w:t>
      </w:r>
      <w:r w:rsidRPr="00FF6E12">
        <w:rPr>
          <w:i/>
          <w:iCs/>
        </w:rPr>
        <w:t xml:space="preserve"> </w:t>
      </w:r>
      <w:r w:rsidR="00E0446D" w:rsidRPr="00FF6E12">
        <w:t xml:space="preserve">s </w:t>
      </w:r>
      <w:r w:rsidR="00C40923" w:rsidRPr="00FF6E12">
        <w:t>91HA(9)</w:t>
      </w:r>
      <w:r w:rsidR="00DF6ADA" w:rsidRPr="00FF6E12">
        <w:t>.</w:t>
      </w:r>
    </w:p>
  </w:footnote>
  <w:footnote w:id="399">
    <w:p w14:paraId="00B71E1C" w14:textId="77777777" w:rsidR="008D05B5" w:rsidRPr="00FF6E12" w:rsidRDefault="008D05B5">
      <w:pPr>
        <w:pStyle w:val="FootnoteText"/>
      </w:pPr>
      <w:r w:rsidRPr="00FF6E12">
        <w:rPr>
          <w:rStyle w:val="FootnoteReference"/>
        </w:rPr>
        <w:footnoteRef/>
      </w:r>
      <w:r w:rsidRPr="00FF6E12">
        <w:t xml:space="preserve"> </w:t>
      </w:r>
      <w:r w:rsidRPr="00FF6E12">
        <w:rPr>
          <w:i/>
          <w:iCs/>
        </w:rPr>
        <w:t xml:space="preserve">Crimes Act 1900 </w:t>
      </w:r>
      <w:r w:rsidRPr="00FF6E12">
        <w:t>(NSW) s 91H(10).</w:t>
      </w:r>
    </w:p>
  </w:footnote>
  <w:footnote w:id="400">
    <w:p w14:paraId="010122AE" w14:textId="287BE34D" w:rsidR="0039538A" w:rsidRPr="00FF6E12" w:rsidRDefault="0039538A">
      <w:pPr>
        <w:pStyle w:val="FootnoteText"/>
      </w:pPr>
      <w:r w:rsidRPr="00FF6E12">
        <w:rPr>
          <w:rStyle w:val="FootnoteReference"/>
        </w:rPr>
        <w:footnoteRef/>
      </w:r>
      <w:r w:rsidRPr="00FF6E12">
        <w:t xml:space="preserve"> </w:t>
      </w:r>
      <w:r w:rsidRPr="00FF6E12">
        <w:rPr>
          <w:i/>
          <w:iCs/>
        </w:rPr>
        <w:t xml:space="preserve">Crimes Act 1958 </w:t>
      </w:r>
      <w:r w:rsidRPr="00FF6E12">
        <w:t>(Vic) s 51M</w:t>
      </w:r>
      <w:r w:rsidR="00F37F1D" w:rsidRPr="00FF6E12">
        <w:t>. These offences are</w:t>
      </w:r>
      <w:r w:rsidR="004307F0" w:rsidRPr="00FF6E12">
        <w:t>:</w:t>
      </w:r>
      <w:r w:rsidR="00F37F1D" w:rsidRPr="00FF6E12">
        <w:t xml:space="preserve"> involving a child in the production of</w:t>
      </w:r>
      <w:r w:rsidR="00214465" w:rsidRPr="00FF6E12">
        <w:t xml:space="preserve">, producing, distributing, possessing or accessing </w:t>
      </w:r>
      <w:r w:rsidR="006F06B0" w:rsidRPr="00FF6E12">
        <w:t>child</w:t>
      </w:r>
      <w:r w:rsidR="00214465" w:rsidRPr="00FF6E12">
        <w:t xml:space="preserve"> </w:t>
      </w:r>
      <w:r w:rsidR="006F06B0" w:rsidRPr="00FF6E12">
        <w:t>a</w:t>
      </w:r>
      <w:r w:rsidR="00214465" w:rsidRPr="00FF6E12">
        <w:t>buse material (</w:t>
      </w:r>
      <w:r w:rsidR="00B4242B" w:rsidRPr="00FF6E12">
        <w:rPr>
          <w:i/>
          <w:iCs/>
        </w:rPr>
        <w:t xml:space="preserve">Crimes Act 1958 </w:t>
      </w:r>
      <w:r w:rsidR="00B4242B" w:rsidRPr="00FF6E12">
        <w:t xml:space="preserve">(Vic) </w:t>
      </w:r>
      <w:r w:rsidR="00214465" w:rsidRPr="00FF6E12">
        <w:t>s</w:t>
      </w:r>
      <w:r w:rsidR="000A7A78" w:rsidRPr="00FF6E12">
        <w:t>s</w:t>
      </w:r>
      <w:r w:rsidR="00214465" w:rsidRPr="00FF6E12">
        <w:t xml:space="preserve"> 51B</w:t>
      </w:r>
      <w:r w:rsidR="000A7A78" w:rsidRPr="00FF6E12">
        <w:t>–</w:t>
      </w:r>
      <w:r w:rsidR="00244B04" w:rsidRPr="00FF6E12">
        <w:t>D, 61G</w:t>
      </w:r>
      <w:r w:rsidR="000A7A78" w:rsidRPr="00FF6E12">
        <w:t>–</w:t>
      </w:r>
      <w:r w:rsidR="00244B04" w:rsidRPr="00FF6E12">
        <w:t>H)</w:t>
      </w:r>
      <w:r w:rsidR="00214465" w:rsidRPr="00FF6E12">
        <w:t>.</w:t>
      </w:r>
    </w:p>
  </w:footnote>
  <w:footnote w:id="401">
    <w:p w14:paraId="5350B852" w14:textId="7A3D35DA" w:rsidR="007C79B6" w:rsidRPr="00FF6E12" w:rsidRDefault="007C79B6">
      <w:pPr>
        <w:pStyle w:val="FootnoteText"/>
      </w:pPr>
      <w:r w:rsidRPr="00FF6E12">
        <w:rPr>
          <w:rStyle w:val="FootnoteReference"/>
        </w:rPr>
        <w:footnoteRef/>
      </w:r>
      <w:r w:rsidRPr="00FF6E12">
        <w:t xml:space="preserve"> </w:t>
      </w:r>
      <w:r w:rsidR="0039538A" w:rsidRPr="00FF6E12">
        <w:t xml:space="preserve">See </w:t>
      </w:r>
      <w:r w:rsidR="00DF6ADA" w:rsidRPr="00FF6E12">
        <w:rPr>
          <w:i/>
          <w:iCs/>
        </w:rPr>
        <w:t xml:space="preserve">Crimes Act 1958 </w:t>
      </w:r>
      <w:r w:rsidR="00DF6ADA" w:rsidRPr="00FF6E12">
        <w:t xml:space="preserve">(Vic) s </w:t>
      </w:r>
      <w:r w:rsidR="0039538A" w:rsidRPr="00FF6E12">
        <w:t>51M(</w:t>
      </w:r>
      <w:r w:rsidR="00F80A5B" w:rsidRPr="00FF6E12">
        <w:t>1).</w:t>
      </w:r>
      <w:r w:rsidR="00BF1960" w:rsidRPr="00FF6E12">
        <w:t xml:space="preserve"> See also </w:t>
      </w:r>
      <w:r w:rsidR="00B4242B" w:rsidRPr="00FF6E12">
        <w:rPr>
          <w:i/>
          <w:iCs/>
        </w:rPr>
        <w:t xml:space="preserve">Crimes Act 1958 </w:t>
      </w:r>
      <w:r w:rsidR="00B4242B" w:rsidRPr="00FF6E12">
        <w:t xml:space="preserve">(Vic) </w:t>
      </w:r>
      <w:r w:rsidR="00BF1960" w:rsidRPr="00FF6E12">
        <w:t xml:space="preserve">s </w:t>
      </w:r>
      <w:r w:rsidR="003477D1" w:rsidRPr="00FF6E12">
        <w:t>51O that provides a defence if the image is of oneself.</w:t>
      </w:r>
      <w:r w:rsidR="008D76F1" w:rsidRPr="00FF6E12">
        <w:t xml:space="preserve"> </w:t>
      </w:r>
      <w:r w:rsidR="004307F0" w:rsidRPr="00FF6E12">
        <w:rPr>
          <w:i/>
          <w:iCs/>
        </w:rPr>
        <w:t xml:space="preserve">Crimes Act 1958 </w:t>
      </w:r>
      <w:r w:rsidR="004307F0" w:rsidRPr="00FF6E12">
        <w:t xml:space="preserve">(Vic) s </w:t>
      </w:r>
      <w:r w:rsidR="008D76F1" w:rsidRPr="00FF6E12">
        <w:t xml:space="preserve">51 provides a defence for </w:t>
      </w:r>
      <w:r w:rsidR="004307F0" w:rsidRPr="00FF6E12">
        <w:t xml:space="preserve">an </w:t>
      </w:r>
      <w:r w:rsidR="005C5430" w:rsidRPr="00FF6E12">
        <w:t>accused</w:t>
      </w:r>
      <w:r w:rsidR="008D76F1" w:rsidRPr="00FF6E12">
        <w:t xml:space="preserve"> not </w:t>
      </w:r>
      <w:r w:rsidR="005C5430" w:rsidRPr="00FF6E12">
        <w:t>more</w:t>
      </w:r>
      <w:r w:rsidR="008D76F1" w:rsidRPr="00FF6E12">
        <w:t xml:space="preserve"> than two years older than </w:t>
      </w:r>
      <w:r w:rsidR="005C5430" w:rsidRPr="00FF6E12">
        <w:t>16 or 17</w:t>
      </w:r>
      <w:r w:rsidR="004307F0" w:rsidRPr="00FF6E12">
        <w:t>,</w:t>
      </w:r>
      <w:r w:rsidR="005C5430" w:rsidRPr="00FF6E12">
        <w:t xml:space="preserve"> and </w:t>
      </w:r>
      <w:r w:rsidR="004307F0" w:rsidRPr="00FF6E12">
        <w:t xml:space="preserve">who </w:t>
      </w:r>
      <w:r w:rsidR="005C5430" w:rsidRPr="00FF6E12">
        <w:t>acts with child’s consent.</w:t>
      </w:r>
    </w:p>
  </w:footnote>
  <w:footnote w:id="402">
    <w:p w14:paraId="6C6007D7" w14:textId="1FB8FD4B" w:rsidR="007C79B6" w:rsidRPr="00FF6E12" w:rsidRDefault="007C79B6">
      <w:pPr>
        <w:pStyle w:val="FootnoteText"/>
      </w:pPr>
      <w:r w:rsidRPr="00FF6E12">
        <w:rPr>
          <w:rStyle w:val="FootnoteReference"/>
        </w:rPr>
        <w:footnoteRef/>
      </w:r>
      <w:r w:rsidRPr="00FF6E12">
        <w:t xml:space="preserve"> It is noted that this reflects the age defences that exist in </w:t>
      </w:r>
      <w:r w:rsidR="005E71D6" w:rsidRPr="00FF6E12">
        <w:t>Victoria</w:t>
      </w:r>
      <w:r w:rsidRPr="00FF6E12">
        <w:t xml:space="preserve">, see </w:t>
      </w:r>
      <w:r w:rsidRPr="00FF6E12">
        <w:rPr>
          <w:i/>
          <w:iCs/>
        </w:rPr>
        <w:t>Crimes Act 1</w:t>
      </w:r>
      <w:r w:rsidR="005E71D6" w:rsidRPr="00FF6E12">
        <w:rPr>
          <w:i/>
          <w:iCs/>
        </w:rPr>
        <w:t>9</w:t>
      </w:r>
      <w:r w:rsidR="000071AB" w:rsidRPr="00FF6E12">
        <w:rPr>
          <w:i/>
          <w:iCs/>
        </w:rPr>
        <w:t xml:space="preserve">58 </w:t>
      </w:r>
      <w:r w:rsidR="000071AB" w:rsidRPr="00FF6E12">
        <w:t>(Vic)</w:t>
      </w:r>
      <w:r w:rsidR="005E71D6" w:rsidRPr="00FF6E12">
        <w:t xml:space="preserve"> s</w:t>
      </w:r>
      <w:r w:rsidR="004307F0" w:rsidRPr="00FF6E12">
        <w:t>s</w:t>
      </w:r>
      <w:r w:rsidR="005E71D6" w:rsidRPr="00FF6E12">
        <w:t xml:space="preserve"> 49U, </w:t>
      </w:r>
      <w:r w:rsidR="00096399" w:rsidRPr="00FF6E12">
        <w:t>49V</w:t>
      </w:r>
      <w:r w:rsidR="000A7A78" w:rsidRPr="00FF6E12">
        <w:t>.</w:t>
      </w:r>
      <w:r w:rsidR="005929B9" w:rsidRPr="00FF6E12">
        <w:t xml:space="preserve"> </w:t>
      </w:r>
      <w:r w:rsidR="000A7A78" w:rsidRPr="00FF6E12">
        <w:t>I</w:t>
      </w:r>
      <w:r w:rsidR="005929B9" w:rsidRPr="00FF6E12">
        <w:t>t is noted that the age of consent in Vic</w:t>
      </w:r>
      <w:r w:rsidR="00880B6D" w:rsidRPr="00FF6E12">
        <w:t>tor</w:t>
      </w:r>
      <w:r w:rsidR="005929B9" w:rsidRPr="00FF6E12">
        <w:t>a</w:t>
      </w:r>
      <w:r w:rsidR="0086119F" w:rsidRPr="00FF6E12">
        <w:t xml:space="preserve"> (other than in ca</w:t>
      </w:r>
      <w:r w:rsidR="004307F0" w:rsidRPr="00FF6E12">
        <w:t>r</w:t>
      </w:r>
      <w:r w:rsidR="0086119F" w:rsidRPr="00FF6E12">
        <w:t>e and authority cases</w:t>
      </w:r>
      <w:r w:rsidR="004307F0" w:rsidRPr="00FF6E12">
        <w:t>,</w:t>
      </w:r>
      <w:r w:rsidR="0086119F" w:rsidRPr="00FF6E12">
        <w:t xml:space="preserve"> where is it 18)</w:t>
      </w:r>
      <w:r w:rsidR="005929B9" w:rsidRPr="00FF6E12">
        <w:t xml:space="preserve"> is 16, </w:t>
      </w:r>
      <w:r w:rsidR="005929B9" w:rsidRPr="00FF6E12">
        <w:rPr>
          <w:i/>
          <w:iCs/>
        </w:rPr>
        <w:t>Crimes A</w:t>
      </w:r>
      <w:r w:rsidR="00FD6CBC" w:rsidRPr="00FF6E12">
        <w:rPr>
          <w:i/>
          <w:iCs/>
        </w:rPr>
        <w:t xml:space="preserve">ct 1958 </w:t>
      </w:r>
      <w:r w:rsidR="00880B6D" w:rsidRPr="00FF6E12">
        <w:t xml:space="preserve">(Vic) s </w:t>
      </w:r>
      <w:r w:rsidR="00D60B8B" w:rsidRPr="00FF6E12">
        <w:t>49B.</w:t>
      </w:r>
    </w:p>
  </w:footnote>
  <w:footnote w:id="403">
    <w:p w14:paraId="166FDC22" w14:textId="4C4FABC5" w:rsidR="0062167A" w:rsidRPr="00FF6E12" w:rsidRDefault="0062167A">
      <w:pPr>
        <w:pStyle w:val="FootnoteText"/>
      </w:pPr>
      <w:r w:rsidRPr="00FF6E12">
        <w:rPr>
          <w:rStyle w:val="FootnoteReference"/>
        </w:rPr>
        <w:footnoteRef/>
      </w:r>
      <w:r w:rsidRPr="00FF6E12">
        <w:t xml:space="preserve"> </w:t>
      </w:r>
      <w:r w:rsidRPr="00FF6E12">
        <w:rPr>
          <w:i/>
          <w:iCs/>
        </w:rPr>
        <w:t xml:space="preserve">Crimes Act 1900 </w:t>
      </w:r>
      <w:r w:rsidRPr="00FF6E12">
        <w:t>(NSW) s 91HB.</w:t>
      </w:r>
    </w:p>
  </w:footnote>
  <w:footnote w:id="404">
    <w:p w14:paraId="1C537732" w14:textId="1BB77347" w:rsidR="00E60D45" w:rsidRPr="00FF6E12" w:rsidRDefault="00E60D45">
      <w:pPr>
        <w:pStyle w:val="FootnoteText"/>
      </w:pPr>
      <w:r w:rsidRPr="00FF6E12">
        <w:rPr>
          <w:rStyle w:val="FootnoteReference"/>
        </w:rPr>
        <w:footnoteRef/>
      </w:r>
      <w:r w:rsidRPr="00FF6E12">
        <w:t xml:space="preserve"> Second reading speech</w:t>
      </w:r>
      <w:r w:rsidR="004307F0" w:rsidRPr="00FF6E12">
        <w:t xml:space="preserve">: New South Wales, </w:t>
      </w:r>
      <w:r w:rsidR="004307F0" w:rsidRPr="00A920EC">
        <w:rPr>
          <w:i/>
          <w:iCs/>
        </w:rPr>
        <w:t>Parliamentary Debates</w:t>
      </w:r>
      <w:r w:rsidR="004307F0" w:rsidRPr="00FF6E12">
        <w:t xml:space="preserve">, </w:t>
      </w:r>
      <w:r w:rsidR="00D0786A" w:rsidRPr="00FF6E12">
        <w:t>Legislative</w:t>
      </w:r>
      <w:r w:rsidR="004307F0" w:rsidRPr="00FF6E12">
        <w:t xml:space="preserve"> Assembly, 6 June 2018, 3–9 (Mark Speakman)</w:t>
      </w:r>
      <w:r w:rsidR="00525EE8" w:rsidRPr="00FF6E12">
        <w:t>.</w:t>
      </w:r>
    </w:p>
  </w:footnote>
  <w:footnote w:id="405">
    <w:p w14:paraId="5F7DE1C4" w14:textId="0F2F7DD3" w:rsidR="00364C8E" w:rsidRPr="00FF6E12" w:rsidRDefault="00364C8E">
      <w:pPr>
        <w:pStyle w:val="FootnoteText"/>
      </w:pPr>
      <w:r w:rsidRPr="00FF6E12">
        <w:rPr>
          <w:rStyle w:val="FootnoteReference"/>
        </w:rPr>
        <w:footnoteRef/>
      </w:r>
      <w:r w:rsidRPr="00FF6E12">
        <w:t xml:space="preserve"> </w:t>
      </w:r>
      <w:r w:rsidRPr="00FF6E12">
        <w:rPr>
          <w:i/>
          <w:iCs/>
        </w:rPr>
        <w:t xml:space="preserve">Crimes Act 1900 </w:t>
      </w:r>
      <w:r w:rsidRPr="00FF6E12">
        <w:t xml:space="preserve">(NSW) s </w:t>
      </w:r>
      <w:r w:rsidR="003A0B51" w:rsidRPr="00FF6E12">
        <w:t>91H(3).</w:t>
      </w:r>
    </w:p>
  </w:footnote>
  <w:footnote w:id="406">
    <w:p w14:paraId="4B8DE24F" w14:textId="67CE217D" w:rsidR="003A0B51" w:rsidRPr="00FF6E12" w:rsidRDefault="003A0B51">
      <w:pPr>
        <w:pStyle w:val="FootnoteText"/>
      </w:pPr>
      <w:r w:rsidRPr="00FF6E12">
        <w:rPr>
          <w:rStyle w:val="FootnoteReference"/>
        </w:rPr>
        <w:footnoteRef/>
      </w:r>
      <w:r w:rsidRPr="00FF6E12">
        <w:t xml:space="preserve"> </w:t>
      </w:r>
      <w:r w:rsidR="005B7406" w:rsidRPr="00FF6E12">
        <w:rPr>
          <w:i/>
          <w:iCs/>
          <w:lang w:eastAsia="en-AU"/>
        </w:rPr>
        <w:t xml:space="preserve">Criminal Code </w:t>
      </w:r>
      <w:r w:rsidR="005B7406" w:rsidRPr="00FF6E12">
        <w:rPr>
          <w:lang w:eastAsia="en-AU"/>
        </w:rPr>
        <w:t>(Cth)</w:t>
      </w:r>
      <w:r w:rsidR="00C2470F" w:rsidRPr="00FF6E12">
        <w:rPr>
          <w:lang w:eastAsia="en-AU"/>
        </w:rPr>
        <w:t xml:space="preserve"> s</w:t>
      </w:r>
      <w:r w:rsidR="00E85F40" w:rsidRPr="00FF6E12">
        <w:t xml:space="preserve"> 474.24C.</w:t>
      </w:r>
    </w:p>
  </w:footnote>
  <w:footnote w:id="407">
    <w:p w14:paraId="0D26BC01" w14:textId="52AE8926" w:rsidR="009A7E84" w:rsidRPr="00FF6E12" w:rsidRDefault="009A7E84" w:rsidP="00A920EC">
      <w:pPr>
        <w:pStyle w:val="FootnoteText"/>
      </w:pPr>
      <w:r w:rsidRPr="00FF6E12">
        <w:rPr>
          <w:rStyle w:val="FootnoteReference"/>
        </w:rPr>
        <w:footnoteRef/>
      </w:r>
      <w:r w:rsidRPr="00FF6E12">
        <w:t xml:space="preserve"> </w:t>
      </w:r>
      <w:r w:rsidR="00D0101E" w:rsidRPr="00FF6E12">
        <w:t xml:space="preserve">See </w:t>
      </w:r>
      <w:r w:rsidR="009E1BB4" w:rsidRPr="00FF6E12">
        <w:t xml:space="preserve">Asher Flynn, Jonathan Clough and Talani Cooke, ‘Disrupting and Preventing Deepfake Abuse: Exploring Criminal Law Responses to AI‑Facilitated Abuse’ in Anastasia Powell, Asher Flynn and Lisa Sugiura (eds), </w:t>
      </w:r>
      <w:r w:rsidR="009E1BB4" w:rsidRPr="00A920EC">
        <w:rPr>
          <w:i/>
          <w:iCs/>
        </w:rPr>
        <w:t>The Palgrave Handbook of Gendered Violence and Technology</w:t>
      </w:r>
      <w:r w:rsidR="009E1BB4" w:rsidRPr="00FF6E12">
        <w:t xml:space="preserve"> (Palgrave Macmillan, 2021) 583</w:t>
      </w:r>
      <w:r w:rsidR="0040748C" w:rsidRPr="00FF6E12">
        <w:t>.</w:t>
      </w:r>
      <w:r w:rsidR="00392C1D" w:rsidRPr="00FF6E12">
        <w:t xml:space="preserve"> </w:t>
      </w:r>
      <w:r w:rsidR="00392C1D" w:rsidRPr="00633FFC">
        <w:t xml:space="preserve">See A Grove and S Tae, </w:t>
      </w:r>
      <w:r w:rsidR="00392C1D" w:rsidRPr="00633FFC">
        <w:rPr>
          <w:i/>
          <w:iCs/>
        </w:rPr>
        <w:t xml:space="preserve">Briefing: The </w:t>
      </w:r>
      <w:r w:rsidR="00393E3B" w:rsidRPr="00633FFC">
        <w:rPr>
          <w:i/>
          <w:iCs/>
        </w:rPr>
        <w:t>Anatomy</w:t>
      </w:r>
      <w:r w:rsidR="00392C1D" w:rsidRPr="00633FFC">
        <w:rPr>
          <w:i/>
          <w:iCs/>
        </w:rPr>
        <w:t xml:space="preserve"> of the South </w:t>
      </w:r>
      <w:r w:rsidR="00393E3B" w:rsidRPr="00633FFC">
        <w:rPr>
          <w:i/>
          <w:iCs/>
        </w:rPr>
        <w:t>Korean</w:t>
      </w:r>
      <w:r w:rsidR="00392C1D" w:rsidRPr="00633FFC">
        <w:rPr>
          <w:i/>
          <w:iCs/>
        </w:rPr>
        <w:t xml:space="preserve"> </w:t>
      </w:r>
      <w:r w:rsidR="00393E3B" w:rsidRPr="00633FFC">
        <w:rPr>
          <w:i/>
          <w:iCs/>
        </w:rPr>
        <w:t>Deep fake</w:t>
      </w:r>
      <w:r w:rsidR="00392C1D" w:rsidRPr="00633FFC">
        <w:rPr>
          <w:i/>
          <w:iCs/>
        </w:rPr>
        <w:t xml:space="preserve"> Crisis </w:t>
      </w:r>
      <w:r w:rsidR="00392C1D" w:rsidRPr="00633FFC">
        <w:t>(2025)</w:t>
      </w:r>
      <w:r w:rsidR="00633FFC" w:rsidRPr="00633FFC">
        <w:t xml:space="preserve"> &lt; https://tacteen.net/attach_file?n=31852&gt;</w:t>
      </w:r>
      <w:r w:rsidR="00C2470F" w:rsidRPr="00633FFC">
        <w:t>.</w:t>
      </w:r>
    </w:p>
  </w:footnote>
  <w:footnote w:id="408">
    <w:p w14:paraId="1E5DA3FD" w14:textId="1E0FA461" w:rsidR="00BB3C56" w:rsidRPr="00FF6E12" w:rsidRDefault="00BB3C56" w:rsidP="00A920EC">
      <w:pPr>
        <w:pStyle w:val="FootnoteText"/>
      </w:pPr>
      <w:r w:rsidRPr="00FF6E12">
        <w:rPr>
          <w:rStyle w:val="FootnoteReference"/>
        </w:rPr>
        <w:footnoteRef/>
      </w:r>
      <w:r w:rsidRPr="00FF6E12">
        <w:t xml:space="preserve"> See </w:t>
      </w:r>
      <w:r w:rsidR="00F51295" w:rsidRPr="00FF6E12">
        <w:t>Part 2</w:t>
      </w:r>
      <w:r w:rsidRPr="00FF6E12">
        <w:t xml:space="preserve">. See also </w:t>
      </w:r>
      <w:r w:rsidR="00123E04" w:rsidRPr="00FF6E12">
        <w:t>Clare McGlynn</w:t>
      </w:r>
      <w:r w:rsidR="009C3DB3" w:rsidRPr="00FF6E12">
        <w:t xml:space="preserve"> et al</w:t>
      </w:r>
      <w:r w:rsidR="00123E04" w:rsidRPr="00FF6E12">
        <w:t xml:space="preserve">, ‘“It’s Torture for the Soul”: The Harms of Image-Based Sexual Abuse’ (2021) 30 </w:t>
      </w:r>
      <w:r w:rsidR="00123E04" w:rsidRPr="00FF6E12">
        <w:rPr>
          <w:i/>
          <w:iCs/>
        </w:rPr>
        <w:t>Social and Legal Issues</w:t>
      </w:r>
      <w:r w:rsidR="00123E04" w:rsidRPr="00FF6E12">
        <w:t xml:space="preserve"> 541</w:t>
      </w:r>
      <w:r w:rsidR="009C3DB3" w:rsidRPr="00FF6E12">
        <w:t xml:space="preserve">; </w:t>
      </w:r>
      <w:r w:rsidR="00123E04" w:rsidRPr="00FF6E12">
        <w:t xml:space="preserve">Joanne Worsley and Grace </w:t>
      </w:r>
      <w:r w:rsidR="009C3DB3" w:rsidRPr="00FF6E12">
        <w:t>C</w:t>
      </w:r>
      <w:r w:rsidR="00123E04" w:rsidRPr="00FF6E12">
        <w:t xml:space="preserve">arter, ‘The Impact of Technology-Facilitated Sexual Violence: A Literature Review of Qualitative Research’ in </w:t>
      </w:r>
      <w:r w:rsidR="00FE6304" w:rsidRPr="00FF6E12">
        <w:t>Anastasia Powell, Asher Flynn and Lisa Sugiura (eds)</w:t>
      </w:r>
      <w:r w:rsidR="00123E04" w:rsidRPr="00FF6E12">
        <w:t xml:space="preserve">, </w:t>
      </w:r>
      <w:r w:rsidR="00123E04" w:rsidRPr="00FF6E12">
        <w:rPr>
          <w:i/>
          <w:iCs/>
        </w:rPr>
        <w:t>The Palgrave Handbook of Gendered Violence and Technology</w:t>
      </w:r>
      <w:r w:rsidR="00123E04" w:rsidRPr="00FF6E12">
        <w:t xml:space="preserve"> (Palgrave Macmillan, 2021) 261</w:t>
      </w:r>
      <w:r w:rsidR="009C3DB3" w:rsidRPr="00FF6E12">
        <w:t>.</w:t>
      </w:r>
    </w:p>
  </w:footnote>
  <w:footnote w:id="409">
    <w:p w14:paraId="1679B38B" w14:textId="77777777" w:rsidR="002222A8" w:rsidRPr="00FF6E12" w:rsidRDefault="002222A8" w:rsidP="00A920EC">
      <w:pPr>
        <w:pStyle w:val="FootnoteText"/>
      </w:pPr>
      <w:r w:rsidRPr="00FF6E12">
        <w:rPr>
          <w:rStyle w:val="FootnoteReference"/>
          <w:rFonts w:cs="Times New Roman"/>
        </w:rPr>
        <w:footnoteRef/>
      </w:r>
      <w:r w:rsidRPr="00FF6E12">
        <w:t xml:space="preserve"> Attorney-General’s Department (Cth), </w:t>
      </w:r>
      <w:r w:rsidRPr="00FF6E12">
        <w:rPr>
          <w:i/>
          <w:iCs/>
        </w:rPr>
        <w:t>National Statement of Principles Relating to the Criminalisation of the Non-Consensual Sharing of Intimate Images</w:t>
      </w:r>
      <w:r w:rsidRPr="00FF6E12">
        <w:t xml:space="preserve"> (2017) &lt;https://www.ag.gov.au/crime/publications/national-statement-principles-relating-criminalisation-non-consensual-sharing-intimate-images&gt;.</w:t>
      </w:r>
    </w:p>
  </w:footnote>
  <w:footnote w:id="410">
    <w:p w14:paraId="319334C2" w14:textId="1581CA80" w:rsidR="00355EE3" w:rsidRPr="00FF6E12" w:rsidRDefault="00355EE3" w:rsidP="00A920EC">
      <w:pPr>
        <w:pStyle w:val="FootnoteText"/>
      </w:pPr>
      <w:r w:rsidRPr="00FF6E12">
        <w:rPr>
          <w:rStyle w:val="FootnoteReference"/>
        </w:rPr>
        <w:footnoteRef/>
      </w:r>
      <w:r w:rsidRPr="00FF6E12">
        <w:t xml:space="preserve"> See </w:t>
      </w:r>
      <w:r w:rsidR="008305CD" w:rsidRPr="00FF6E12">
        <w:t>TLRI</w:t>
      </w:r>
      <w:r w:rsidR="00FE6304" w:rsidRPr="00FF6E12">
        <w:t xml:space="preserve"> (n </w:t>
      </w:r>
      <w:r w:rsidR="00FE6304" w:rsidRPr="00FF6E12">
        <w:fldChar w:fldCharType="begin"/>
      </w:r>
      <w:r w:rsidR="00FE6304" w:rsidRPr="00FF6E12">
        <w:instrText xml:space="preserve"> NOTEREF _Ref217986217 \h </w:instrText>
      </w:r>
      <w:r w:rsidR="00FE6304" w:rsidRPr="00FF6E12">
        <w:fldChar w:fldCharType="separate"/>
      </w:r>
      <w:r w:rsidR="007D7830">
        <w:t>389</w:t>
      </w:r>
      <w:r w:rsidR="00FE6304" w:rsidRPr="00FF6E12">
        <w:fldChar w:fldCharType="end"/>
      </w:r>
      <w:r w:rsidR="00FE6304" w:rsidRPr="00FF6E12">
        <w:t>)</w:t>
      </w:r>
      <w:r w:rsidR="008C7BA9" w:rsidRPr="00FF6E12">
        <w:t xml:space="preserve"> [</w:t>
      </w:r>
      <w:r w:rsidR="00D858EB" w:rsidRPr="00FF6E12">
        <w:t>12.4</w:t>
      </w:r>
      <w:r w:rsidR="00815D01" w:rsidRPr="00FF6E12">
        <w:t>.7</w:t>
      </w:r>
      <w:r w:rsidR="008C7BA9" w:rsidRPr="00FF6E12">
        <w:t>]</w:t>
      </w:r>
      <w:r w:rsidR="00815D01" w:rsidRPr="00FF6E12">
        <w:t>.</w:t>
      </w:r>
    </w:p>
  </w:footnote>
  <w:footnote w:id="411">
    <w:p w14:paraId="45944BF2" w14:textId="02920323" w:rsidR="00160DB5" w:rsidRPr="00FF6E12" w:rsidRDefault="00160DB5" w:rsidP="00A920EC">
      <w:pPr>
        <w:pStyle w:val="FootnoteText"/>
      </w:pPr>
      <w:r w:rsidRPr="00FF6E12">
        <w:rPr>
          <w:rStyle w:val="FootnoteReference"/>
        </w:rPr>
        <w:footnoteRef/>
      </w:r>
      <w:r w:rsidRPr="00FF6E12">
        <w:t xml:space="preserve"> </w:t>
      </w:r>
      <w:r w:rsidR="00680083" w:rsidRPr="00FF6E12">
        <w:t xml:space="preserve">Tasmanian </w:t>
      </w:r>
      <w:r w:rsidR="00974C72" w:rsidRPr="00FF6E12">
        <w:t>Government</w:t>
      </w:r>
      <w:r w:rsidR="00680083" w:rsidRPr="00FF6E12">
        <w:t xml:space="preserve">, </w:t>
      </w:r>
      <w:r w:rsidR="00974C72" w:rsidRPr="00FF6E12">
        <w:t>Department</w:t>
      </w:r>
      <w:r w:rsidR="00680083" w:rsidRPr="00FF6E12">
        <w:t xml:space="preserve"> of Justice, </w:t>
      </w:r>
      <w:r w:rsidR="00974C72" w:rsidRPr="00A920EC">
        <w:rPr>
          <w:i/>
          <w:iCs/>
        </w:rPr>
        <w:t>Strengthening Our Response to Family Violence in Tasmania: Family Violence Act 2004 and related Legislation</w:t>
      </w:r>
      <w:r w:rsidR="00974C72" w:rsidRPr="00FF6E12">
        <w:t xml:space="preserve"> </w:t>
      </w:r>
      <w:r w:rsidR="00FE6304" w:rsidRPr="00FF6E12">
        <w:t xml:space="preserve">(Tasmanian Department of Justice, </w:t>
      </w:r>
      <w:r w:rsidR="00974C72" w:rsidRPr="00FF6E12">
        <w:t xml:space="preserve">Discussion </w:t>
      </w:r>
      <w:r w:rsidR="008C7BA9" w:rsidRPr="00FF6E12">
        <w:t>P</w:t>
      </w:r>
      <w:r w:rsidR="00974C72" w:rsidRPr="00FF6E12">
        <w:t>aper</w:t>
      </w:r>
      <w:r w:rsidR="00FE6304" w:rsidRPr="00FF6E12">
        <w:t xml:space="preserve">, </w:t>
      </w:r>
      <w:r w:rsidR="00974C72" w:rsidRPr="00FF6E12">
        <w:t xml:space="preserve">2025) </w:t>
      </w:r>
      <w:r w:rsidR="003B1E53" w:rsidRPr="00FF6E12">
        <w:t>46</w:t>
      </w:r>
      <w:r w:rsidR="008C7BA9" w:rsidRPr="00FF6E12">
        <w:t>–</w:t>
      </w:r>
      <w:r w:rsidR="003B1E53" w:rsidRPr="00FF6E12">
        <w:t>49</w:t>
      </w:r>
      <w:r w:rsidR="008C7BA9" w:rsidRPr="00FF6E12">
        <w:t>.</w:t>
      </w:r>
    </w:p>
  </w:footnote>
  <w:footnote w:id="412">
    <w:p w14:paraId="5616753A" w14:textId="27D394D0" w:rsidR="009B23EE" w:rsidRPr="00FF6E12" w:rsidRDefault="009B23EE" w:rsidP="00A920EC">
      <w:pPr>
        <w:pStyle w:val="FootnoteText"/>
      </w:pPr>
      <w:r w:rsidRPr="00FF6E12">
        <w:rPr>
          <w:rStyle w:val="FootnoteReference"/>
        </w:rPr>
        <w:footnoteRef/>
      </w:r>
      <w:r w:rsidRPr="00FF6E12">
        <w:t xml:space="preserve"> </w:t>
      </w:r>
      <w:r w:rsidR="008C7BA9" w:rsidRPr="00A920EC">
        <w:rPr>
          <w:i/>
          <w:iCs/>
        </w:rPr>
        <w:t>Police Offences Act 1995</w:t>
      </w:r>
      <w:r w:rsidR="008C7BA9" w:rsidRPr="00FF6E12">
        <w:t xml:space="preserve"> (Tas) </w:t>
      </w:r>
      <w:r w:rsidR="00370C73" w:rsidRPr="00FF6E12">
        <w:t xml:space="preserve">ss </w:t>
      </w:r>
      <w:r w:rsidRPr="00FF6E12">
        <w:t>13</w:t>
      </w:r>
      <w:r w:rsidR="007B54ED" w:rsidRPr="00FF6E12">
        <w:t>A–13</w:t>
      </w:r>
      <w:r w:rsidR="00A86C4E" w:rsidRPr="00FF6E12">
        <w:t>C.</w:t>
      </w:r>
    </w:p>
  </w:footnote>
  <w:footnote w:id="413">
    <w:p w14:paraId="793A016C" w14:textId="7B00C3B4" w:rsidR="0000045F" w:rsidRPr="00FF6E12" w:rsidRDefault="0000045F" w:rsidP="00A920EC">
      <w:pPr>
        <w:pStyle w:val="FootnoteText"/>
      </w:pPr>
      <w:r w:rsidRPr="00FF6E12">
        <w:rPr>
          <w:rStyle w:val="FootnoteReference"/>
        </w:rPr>
        <w:footnoteRef/>
      </w:r>
      <w:r w:rsidRPr="00FF6E12">
        <w:t xml:space="preserve"> See </w:t>
      </w:r>
      <w:r w:rsidR="00353388" w:rsidRPr="00FF6E12">
        <w:rPr>
          <w:i/>
          <w:iCs/>
        </w:rPr>
        <w:t xml:space="preserve">Crimes Act 1958 </w:t>
      </w:r>
      <w:r w:rsidR="00353388" w:rsidRPr="00FF6E12">
        <w:t>(Vic</w:t>
      </w:r>
      <w:r w:rsidR="00CE2E50" w:rsidRPr="00FF6E12">
        <w:t>)</w:t>
      </w:r>
      <w:r w:rsidR="00353388" w:rsidRPr="00FF6E12">
        <w:t xml:space="preserve"> s 53O. See also </w:t>
      </w:r>
      <w:r w:rsidR="00353388" w:rsidRPr="00FF6E12">
        <w:rPr>
          <w:i/>
          <w:iCs/>
        </w:rPr>
        <w:t xml:space="preserve">Crimes Act 1900 </w:t>
      </w:r>
      <w:r w:rsidR="00353388" w:rsidRPr="00FF6E12">
        <w:t xml:space="preserve">(NSW) s </w:t>
      </w:r>
      <w:r w:rsidR="005854A9" w:rsidRPr="00FF6E12">
        <w:t>91N</w:t>
      </w:r>
      <w:r w:rsidR="00D858EB" w:rsidRPr="00FF6E12">
        <w:t>.</w:t>
      </w:r>
    </w:p>
  </w:footnote>
  <w:footnote w:id="414">
    <w:p w14:paraId="0EC3B8D6" w14:textId="08154A35" w:rsidR="008326C2" w:rsidRPr="00FF6E12" w:rsidRDefault="008326C2" w:rsidP="00A920EC">
      <w:pPr>
        <w:pStyle w:val="FootnoteText"/>
      </w:pPr>
      <w:r w:rsidRPr="00FF6E12">
        <w:rPr>
          <w:rStyle w:val="FootnoteReference"/>
        </w:rPr>
        <w:footnoteRef/>
      </w:r>
      <w:r w:rsidRPr="00FF6E12">
        <w:t xml:space="preserve"> </w:t>
      </w:r>
      <w:r w:rsidRPr="00A920EC">
        <w:rPr>
          <w:i/>
          <w:iCs/>
        </w:rPr>
        <w:t>Summary Offences Act 1953</w:t>
      </w:r>
      <w:r w:rsidRPr="00FF6E12">
        <w:t xml:space="preserve"> (SA) </w:t>
      </w:r>
      <w:r w:rsidR="00B92F31" w:rsidRPr="00FF6E12">
        <w:t>ss</w:t>
      </w:r>
      <w:r w:rsidR="00FE6304" w:rsidRPr="00FF6E12">
        <w:t xml:space="preserve"> </w:t>
      </w:r>
      <w:r w:rsidR="00B92F31" w:rsidRPr="00FF6E12">
        <w:t>26A–26E.</w:t>
      </w:r>
    </w:p>
  </w:footnote>
  <w:footnote w:id="415">
    <w:p w14:paraId="0EB5446C" w14:textId="0C26064F" w:rsidR="009532D0" w:rsidRPr="00FF6E12" w:rsidRDefault="009532D0" w:rsidP="00A920EC">
      <w:pPr>
        <w:pStyle w:val="FootnoteText"/>
      </w:pPr>
      <w:r w:rsidRPr="00FF6E12">
        <w:rPr>
          <w:rStyle w:val="FootnoteReference"/>
        </w:rPr>
        <w:footnoteRef/>
      </w:r>
      <w:r w:rsidRPr="00FF6E12">
        <w:t xml:space="preserve"> </w:t>
      </w:r>
      <w:r w:rsidR="003C17E5" w:rsidRPr="00FF6E12">
        <w:t xml:space="preserve">See </w:t>
      </w:r>
      <w:r w:rsidR="003C17E5" w:rsidRPr="00FF6E12">
        <w:rPr>
          <w:i/>
          <w:iCs/>
        </w:rPr>
        <w:t>Crimes Act 1900</w:t>
      </w:r>
      <w:r w:rsidR="003C17E5" w:rsidRPr="00FF6E12">
        <w:t xml:space="preserve"> (NSW) s 91Q</w:t>
      </w:r>
      <w:r w:rsidR="009D3E60" w:rsidRPr="00FF6E12">
        <w:t>;</w:t>
      </w:r>
      <w:r w:rsidR="003C17E5" w:rsidRPr="00FF6E12">
        <w:t xml:space="preserve"> </w:t>
      </w:r>
      <w:r w:rsidR="00BF6441" w:rsidRPr="00FF6E12">
        <w:rPr>
          <w:i/>
          <w:iCs/>
        </w:rPr>
        <w:t>Criminal Procedure Act 1986</w:t>
      </w:r>
      <w:r w:rsidR="00BF6441" w:rsidRPr="00FF6E12">
        <w:t xml:space="preserve"> (NSW) s 259, </w:t>
      </w:r>
      <w:r w:rsidR="009D3E60" w:rsidRPr="00FF6E12">
        <w:t xml:space="preserve">sch </w:t>
      </w:r>
      <w:r w:rsidR="00BF6441" w:rsidRPr="00FF6E12">
        <w:t>1.</w:t>
      </w:r>
    </w:p>
  </w:footnote>
  <w:footnote w:id="416">
    <w:p w14:paraId="145D3CE7" w14:textId="77777777" w:rsidR="00635196" w:rsidRPr="00FF6E12" w:rsidRDefault="00635196" w:rsidP="00A920EC">
      <w:pPr>
        <w:pStyle w:val="FootnoteText"/>
      </w:pPr>
      <w:r w:rsidRPr="00FF6E12">
        <w:rPr>
          <w:rStyle w:val="FootnoteReference"/>
        </w:rPr>
        <w:footnoteRef/>
      </w:r>
      <w:r w:rsidRPr="00FF6E12">
        <w:t xml:space="preserve"> </w:t>
      </w:r>
      <w:r w:rsidRPr="00FF6E12">
        <w:rPr>
          <w:i/>
          <w:iCs/>
        </w:rPr>
        <w:t xml:space="preserve">Youth Justice Act 1997 </w:t>
      </w:r>
      <w:r w:rsidRPr="00FF6E12">
        <w:t>(Tas) s 3 (definition of ‘youth’).</w:t>
      </w:r>
    </w:p>
  </w:footnote>
  <w:footnote w:id="417">
    <w:p w14:paraId="130CD4AF" w14:textId="0BF68AC8" w:rsidR="00D1649A" w:rsidRPr="00FF6E12" w:rsidRDefault="00D1649A">
      <w:pPr>
        <w:pStyle w:val="FootnoteText"/>
      </w:pPr>
      <w:r w:rsidRPr="00FF6E12">
        <w:rPr>
          <w:rStyle w:val="FootnoteReference"/>
        </w:rPr>
        <w:footnoteRef/>
      </w:r>
      <w:r w:rsidRPr="00FF6E12">
        <w:t xml:space="preserve"> John Seymour, </w:t>
      </w:r>
      <w:r w:rsidRPr="00FF6E12">
        <w:rPr>
          <w:i/>
          <w:iCs/>
        </w:rPr>
        <w:t xml:space="preserve">Dealing </w:t>
      </w:r>
      <w:r w:rsidR="00942720" w:rsidRPr="00FF6E12">
        <w:rPr>
          <w:i/>
          <w:iCs/>
        </w:rPr>
        <w:t>with</w:t>
      </w:r>
      <w:r w:rsidRPr="00FF6E12">
        <w:rPr>
          <w:i/>
          <w:iCs/>
        </w:rPr>
        <w:t xml:space="preserve"> Young Offenders </w:t>
      </w:r>
      <w:r w:rsidRPr="00FF6E12">
        <w:t>(Law Book Company, 1988)</w:t>
      </w:r>
      <w:r w:rsidR="00FC3EAB" w:rsidRPr="00FF6E12">
        <w:t xml:space="preserve"> 165</w:t>
      </w:r>
      <w:r w:rsidRPr="00FF6E12">
        <w:t>.</w:t>
      </w:r>
    </w:p>
  </w:footnote>
  <w:footnote w:id="418">
    <w:p w14:paraId="6E47E642" w14:textId="3EA1437F" w:rsidR="00D1649A" w:rsidRPr="00FF6E12" w:rsidRDefault="00D1649A">
      <w:pPr>
        <w:pStyle w:val="FootnoteText"/>
      </w:pPr>
      <w:r w:rsidRPr="00FF6E12">
        <w:rPr>
          <w:rStyle w:val="FootnoteReference"/>
        </w:rPr>
        <w:footnoteRef/>
      </w:r>
      <w:r w:rsidRPr="00FF6E12">
        <w:t xml:space="preserve"> </w:t>
      </w:r>
      <w:r w:rsidR="005C1E36" w:rsidRPr="00FF6E12">
        <w:t xml:space="preserve">Ian </w:t>
      </w:r>
      <w:r w:rsidRPr="00FF6E12">
        <w:t>O’Connor</w:t>
      </w:r>
      <w:r w:rsidR="005F7B54" w:rsidRPr="00FF6E12">
        <w:t xml:space="preserve">, ‘Models of Juvenile </w:t>
      </w:r>
      <w:r w:rsidR="00755651" w:rsidRPr="00FF6E12">
        <w:t>J</w:t>
      </w:r>
      <w:r w:rsidR="005F7B54" w:rsidRPr="00FF6E12">
        <w:t>ustice</w:t>
      </w:r>
      <w:r w:rsidR="00755651" w:rsidRPr="00FF6E12">
        <w:t>’ in</w:t>
      </w:r>
      <w:r w:rsidR="00A34967" w:rsidRPr="00FF6E12">
        <w:t xml:space="preserve"> Allan Borowski </w:t>
      </w:r>
      <w:r w:rsidR="004A7B04" w:rsidRPr="00FF6E12">
        <w:t>and</w:t>
      </w:r>
      <w:r w:rsidR="00A34967" w:rsidRPr="00FF6E12">
        <w:t xml:space="preserve"> Ian O</w:t>
      </w:r>
      <w:r w:rsidR="00DD5C42">
        <w:t>’</w:t>
      </w:r>
      <w:r w:rsidR="00A34967" w:rsidRPr="00FF6E12">
        <w:t>Connor</w:t>
      </w:r>
      <w:r w:rsidR="004A7B04" w:rsidRPr="00FF6E12">
        <w:t xml:space="preserve"> (eds)</w:t>
      </w:r>
      <w:r w:rsidR="00A34967" w:rsidRPr="00FF6E12">
        <w:t xml:space="preserve">, </w:t>
      </w:r>
      <w:r w:rsidR="00C06F2F" w:rsidRPr="00FF6E12">
        <w:rPr>
          <w:i/>
          <w:iCs/>
        </w:rPr>
        <w:t>Juvenile Crime, Justice and Corrections</w:t>
      </w:r>
      <w:r w:rsidR="00C06F2F" w:rsidRPr="00FF6E12">
        <w:t xml:space="preserve"> </w:t>
      </w:r>
      <w:r w:rsidR="009845D1" w:rsidRPr="00FF6E12">
        <w:t>(</w:t>
      </w:r>
      <w:r w:rsidR="00A34967" w:rsidRPr="00FF6E12">
        <w:t>Addison Wesley Longman, 1997</w:t>
      </w:r>
      <w:r w:rsidR="009845D1" w:rsidRPr="00FF6E12">
        <w:t>)</w:t>
      </w:r>
      <w:r w:rsidR="00A34967" w:rsidRPr="00FF6E12">
        <w:t xml:space="preserve"> </w:t>
      </w:r>
      <w:r w:rsidR="00466551" w:rsidRPr="00FF6E12">
        <w:t>232</w:t>
      </w:r>
      <w:r w:rsidR="00A34967" w:rsidRPr="00FF6E12">
        <w:t>.</w:t>
      </w:r>
    </w:p>
  </w:footnote>
  <w:footnote w:id="419">
    <w:p w14:paraId="57596404" w14:textId="5A260BE6" w:rsidR="00D1649A" w:rsidRPr="00FF6E12" w:rsidRDefault="00D1649A">
      <w:pPr>
        <w:pStyle w:val="FootnoteText"/>
        <w:rPr>
          <w:highlight w:val="yellow"/>
        </w:rPr>
      </w:pPr>
      <w:r w:rsidRPr="00FF6E12">
        <w:rPr>
          <w:rStyle w:val="FootnoteReference"/>
        </w:rPr>
        <w:footnoteRef/>
      </w:r>
      <w:r w:rsidRPr="00FF6E12">
        <w:t xml:space="preserve"> </w:t>
      </w:r>
      <w:r w:rsidR="00ED2F92" w:rsidRPr="00FF6E12">
        <w:t xml:space="preserve">John </w:t>
      </w:r>
      <w:r w:rsidR="00735DEC" w:rsidRPr="00FF6E12">
        <w:t>Pratt,</w:t>
      </w:r>
      <w:r w:rsidR="00ED2F92" w:rsidRPr="00FF6E12">
        <w:t xml:space="preserve"> ‘</w:t>
      </w:r>
      <w:r w:rsidR="00735DEC" w:rsidRPr="00FF6E12">
        <w:t>Welfare and Justice: Incompatible Philosophies</w:t>
      </w:r>
      <w:r w:rsidR="00ED2F92" w:rsidRPr="00FF6E12">
        <w:t>’ in</w:t>
      </w:r>
      <w:r w:rsidR="00735DEC" w:rsidRPr="00FF6E12">
        <w:t xml:space="preserve"> F</w:t>
      </w:r>
      <w:r w:rsidR="00CB401B" w:rsidRPr="00FF6E12">
        <w:t>ay</w:t>
      </w:r>
      <w:r w:rsidR="00735DEC" w:rsidRPr="00FF6E12">
        <w:t xml:space="preserve"> Gale</w:t>
      </w:r>
      <w:r w:rsidR="00CB401B" w:rsidRPr="00FF6E12">
        <w:t xml:space="preserve">, Ngaire </w:t>
      </w:r>
      <w:r w:rsidR="00735DEC" w:rsidRPr="00FF6E12">
        <w:t xml:space="preserve">Naffine </w:t>
      </w:r>
      <w:r w:rsidR="00CB401B" w:rsidRPr="00FF6E12">
        <w:t>and Joy</w:t>
      </w:r>
      <w:r w:rsidR="00735DEC" w:rsidRPr="00FF6E12">
        <w:t xml:space="preserve"> Wundersitz (</w:t>
      </w:r>
      <w:r w:rsidR="00CB401B" w:rsidRPr="00FF6E12">
        <w:t>eds</w:t>
      </w:r>
      <w:r w:rsidR="00735DEC" w:rsidRPr="00FF6E12">
        <w:t xml:space="preserve">), </w:t>
      </w:r>
      <w:r w:rsidR="00735DEC" w:rsidRPr="00FF6E12">
        <w:rPr>
          <w:i/>
          <w:iCs/>
        </w:rPr>
        <w:t>Juvenile Justice: Debating the Issues</w:t>
      </w:r>
      <w:r w:rsidR="00224533" w:rsidRPr="00FF6E12">
        <w:rPr>
          <w:i/>
          <w:iCs/>
        </w:rPr>
        <w:t xml:space="preserve"> </w:t>
      </w:r>
      <w:r w:rsidR="00224533" w:rsidRPr="00FF6E12">
        <w:t>(Allen and Unwin, 1993)</w:t>
      </w:r>
      <w:r w:rsidR="00735DEC" w:rsidRPr="00FF6E12">
        <w:t xml:space="preserve"> 41</w:t>
      </w:r>
      <w:r w:rsidR="00E8774B" w:rsidRPr="00FF6E12">
        <w:t>.</w:t>
      </w:r>
    </w:p>
  </w:footnote>
  <w:footnote w:id="420">
    <w:p w14:paraId="20B6BB66" w14:textId="203BB132" w:rsidR="00D1649A" w:rsidRPr="00FF6E12" w:rsidRDefault="00D1649A">
      <w:pPr>
        <w:pStyle w:val="FootnoteText"/>
        <w:rPr>
          <w:highlight w:val="yellow"/>
        </w:rPr>
      </w:pPr>
      <w:r w:rsidRPr="00FF6E12">
        <w:rPr>
          <w:rStyle w:val="FootnoteReference"/>
        </w:rPr>
        <w:footnoteRef/>
      </w:r>
      <w:r w:rsidRPr="00FF6E12">
        <w:t xml:space="preserve"> Seymour</w:t>
      </w:r>
      <w:r w:rsidR="00FA6802" w:rsidRPr="00FF6E12">
        <w:t xml:space="preserve"> (n </w:t>
      </w:r>
      <w:r w:rsidR="00120EF7" w:rsidRPr="00FF6E12">
        <w:fldChar w:fldCharType="begin"/>
      </w:r>
      <w:r w:rsidR="00120EF7" w:rsidRPr="00FF6E12">
        <w:instrText xml:space="preserve"> NOTEREF _Ref217986370 \h </w:instrText>
      </w:r>
      <w:r w:rsidR="00120EF7" w:rsidRPr="00FF6E12">
        <w:fldChar w:fldCharType="separate"/>
      </w:r>
      <w:r w:rsidR="007D7830">
        <w:t>416</w:t>
      </w:r>
      <w:r w:rsidR="00120EF7" w:rsidRPr="00FF6E12">
        <w:fldChar w:fldCharType="end"/>
      </w:r>
      <w:r w:rsidR="00FA6802" w:rsidRPr="00FF6E12">
        <w:t>) 168.</w:t>
      </w:r>
    </w:p>
  </w:footnote>
  <w:footnote w:id="421">
    <w:p w14:paraId="3BE4A7EB" w14:textId="5A4E4ECC" w:rsidR="00D1649A" w:rsidRPr="00FF6E12" w:rsidRDefault="00D1649A">
      <w:pPr>
        <w:pStyle w:val="FootnoteText"/>
        <w:rPr>
          <w:highlight w:val="yellow"/>
        </w:rPr>
      </w:pPr>
      <w:r w:rsidRPr="00FF6E12">
        <w:rPr>
          <w:rStyle w:val="FootnoteReference"/>
        </w:rPr>
        <w:footnoteRef/>
      </w:r>
      <w:r w:rsidRPr="00FF6E12">
        <w:t xml:space="preserve"> </w:t>
      </w:r>
      <w:r w:rsidR="00DD5C42">
        <w:t>Ibid</w:t>
      </w:r>
      <w:r w:rsidR="00DD4E93" w:rsidRPr="00FF6E12">
        <w:t xml:space="preserve"> 431.</w:t>
      </w:r>
    </w:p>
  </w:footnote>
  <w:footnote w:id="422">
    <w:p w14:paraId="4E0ABB03" w14:textId="50788BEB" w:rsidR="00D1649A" w:rsidRPr="00FF6E12" w:rsidRDefault="00D1649A">
      <w:pPr>
        <w:pStyle w:val="FootnoteText"/>
        <w:rPr>
          <w:highlight w:val="yellow"/>
        </w:rPr>
      </w:pPr>
      <w:r w:rsidRPr="00FF6E12">
        <w:rPr>
          <w:rStyle w:val="FootnoteReference"/>
        </w:rPr>
        <w:footnoteRef/>
      </w:r>
      <w:r w:rsidRPr="00FF6E12">
        <w:t xml:space="preserve"> </w:t>
      </w:r>
      <w:r w:rsidR="00120EF7" w:rsidRPr="00FF6E12">
        <w:t xml:space="preserve">David </w:t>
      </w:r>
      <w:r w:rsidRPr="00FF6E12">
        <w:t xml:space="preserve">Farrington, </w:t>
      </w:r>
      <w:r w:rsidR="00120EF7" w:rsidRPr="00FF6E12">
        <w:t>‘</w:t>
      </w:r>
      <w:r w:rsidRPr="00FF6E12">
        <w:t>The effects of public labelling</w:t>
      </w:r>
      <w:r w:rsidR="00120EF7" w:rsidRPr="00FF6E12">
        <w:t>’ (1977) 17(2)</w:t>
      </w:r>
      <w:r w:rsidRPr="00FF6E12">
        <w:t xml:space="preserve"> </w:t>
      </w:r>
      <w:r w:rsidRPr="00A920EC">
        <w:rPr>
          <w:i/>
          <w:iCs/>
        </w:rPr>
        <w:t>British Journal of Criminology</w:t>
      </w:r>
      <w:r w:rsidR="00120EF7" w:rsidRPr="00FF6E12">
        <w:t xml:space="preserve"> </w:t>
      </w:r>
      <w:r w:rsidRPr="00FF6E12">
        <w:t>112</w:t>
      </w:r>
      <w:r w:rsidR="00120EF7" w:rsidRPr="00FF6E12">
        <w:t>, 112–</w:t>
      </w:r>
      <w:r w:rsidRPr="00FF6E12">
        <w:t>125</w:t>
      </w:r>
      <w:r w:rsidR="00120EF7" w:rsidRPr="00FF6E12">
        <w:t>;</w:t>
      </w:r>
      <w:r w:rsidRPr="00FF6E12">
        <w:t xml:space="preserve"> </w:t>
      </w:r>
      <w:r w:rsidR="00120EF7" w:rsidRPr="00FF6E12">
        <w:t xml:space="preserve">Edwin </w:t>
      </w:r>
      <w:r w:rsidRPr="00FF6E12">
        <w:t>Lemert</w:t>
      </w:r>
      <w:r w:rsidR="00120EF7" w:rsidRPr="00FF6E12">
        <w:t xml:space="preserve">, </w:t>
      </w:r>
      <w:r w:rsidRPr="00FF6E12">
        <w:rPr>
          <w:i/>
          <w:iCs/>
        </w:rPr>
        <w:t>Human Deviance, Social Problems and Social Control</w:t>
      </w:r>
      <w:r w:rsidRPr="00FF6E12">
        <w:t xml:space="preserve"> </w:t>
      </w:r>
      <w:r w:rsidR="00120EF7" w:rsidRPr="00FF6E12">
        <w:t>(</w:t>
      </w:r>
      <w:r w:rsidRPr="00FF6E12">
        <w:t>Prentice Hall</w:t>
      </w:r>
      <w:r w:rsidR="00120EF7" w:rsidRPr="00FF6E12">
        <w:t>, 1972)</w:t>
      </w:r>
      <w:r w:rsidRPr="00FF6E12">
        <w:t>.</w:t>
      </w:r>
    </w:p>
  </w:footnote>
  <w:footnote w:id="423">
    <w:p w14:paraId="0CB5375D" w14:textId="635A0812" w:rsidR="00D1649A" w:rsidRPr="00FF6E12" w:rsidRDefault="00D1649A">
      <w:pPr>
        <w:pStyle w:val="FootnoteText"/>
        <w:rPr>
          <w:highlight w:val="yellow"/>
        </w:rPr>
      </w:pPr>
      <w:r w:rsidRPr="00FF6E12">
        <w:rPr>
          <w:rStyle w:val="FootnoteReference"/>
        </w:rPr>
        <w:footnoteRef/>
      </w:r>
      <w:r w:rsidRPr="00FF6E12">
        <w:t xml:space="preserve"> Seymour</w:t>
      </w:r>
      <w:r w:rsidR="008E404F" w:rsidRPr="00FF6E12">
        <w:t xml:space="preserve"> </w:t>
      </w:r>
      <w:r w:rsidR="00120EF7" w:rsidRPr="00FF6E12">
        <w:t xml:space="preserve">(n </w:t>
      </w:r>
      <w:r w:rsidR="00120EF7" w:rsidRPr="00FF6E12">
        <w:fldChar w:fldCharType="begin"/>
      </w:r>
      <w:r w:rsidR="00120EF7" w:rsidRPr="00FF6E12">
        <w:instrText xml:space="preserve"> NOTEREF _Ref217986370 \h </w:instrText>
      </w:r>
      <w:r w:rsidR="00120EF7" w:rsidRPr="00FF6E12">
        <w:fldChar w:fldCharType="separate"/>
      </w:r>
      <w:r w:rsidR="007D7830">
        <w:t>416</w:t>
      </w:r>
      <w:r w:rsidR="00120EF7" w:rsidRPr="00FF6E12">
        <w:fldChar w:fldCharType="end"/>
      </w:r>
      <w:r w:rsidR="00120EF7" w:rsidRPr="00FF6E12">
        <w:t xml:space="preserve">) </w:t>
      </w:r>
      <w:r w:rsidR="001D7D97" w:rsidRPr="00FF6E12">
        <w:t>168.</w:t>
      </w:r>
    </w:p>
  </w:footnote>
  <w:footnote w:id="424">
    <w:p w14:paraId="1F199306" w14:textId="7698EA9F" w:rsidR="00D1649A" w:rsidRPr="00FF6E12" w:rsidRDefault="00D1649A">
      <w:pPr>
        <w:pStyle w:val="FootnoteText"/>
        <w:rPr>
          <w:highlight w:val="yellow"/>
        </w:rPr>
      </w:pPr>
      <w:r w:rsidRPr="00FF6E12">
        <w:rPr>
          <w:rStyle w:val="FootnoteReference"/>
        </w:rPr>
        <w:footnoteRef/>
      </w:r>
      <w:r w:rsidRPr="00FF6E12">
        <w:t xml:space="preserve"> </w:t>
      </w:r>
      <w:r w:rsidR="00250067" w:rsidRPr="00FF6E12">
        <w:t xml:space="preserve">Kate </w:t>
      </w:r>
      <w:r w:rsidRPr="00FF6E12">
        <w:t>Warner</w:t>
      </w:r>
      <w:r w:rsidR="00896D4E" w:rsidRPr="00FF6E12">
        <w:t>, ‘Family Group Conferences and the Rights of the Offender’</w:t>
      </w:r>
      <w:r w:rsidR="00EB2A4E" w:rsidRPr="00FF6E12">
        <w:t xml:space="preserve"> in </w:t>
      </w:r>
      <w:r w:rsidR="00CD4F0B" w:rsidRPr="00FF6E12">
        <w:t>Christine Alder and Joy Wundersitz (</w:t>
      </w:r>
      <w:r w:rsidR="00AA198A" w:rsidRPr="00FF6E12">
        <w:t>eds</w:t>
      </w:r>
      <w:r w:rsidR="00CD4F0B" w:rsidRPr="00FF6E12">
        <w:t xml:space="preserve">), </w:t>
      </w:r>
      <w:r w:rsidR="00CD4F0B" w:rsidRPr="00FF6E12">
        <w:rPr>
          <w:i/>
          <w:iCs/>
        </w:rPr>
        <w:t xml:space="preserve">Family </w:t>
      </w:r>
      <w:r w:rsidR="00AA198A" w:rsidRPr="00FF6E12">
        <w:rPr>
          <w:i/>
          <w:iCs/>
        </w:rPr>
        <w:t>C</w:t>
      </w:r>
      <w:r w:rsidR="00CD4F0B" w:rsidRPr="00FF6E12">
        <w:rPr>
          <w:i/>
          <w:iCs/>
        </w:rPr>
        <w:t>onferencing and juvenile justice: the way forward or misplaced optimism</w:t>
      </w:r>
      <w:r w:rsidR="00AA198A" w:rsidRPr="00FF6E12">
        <w:rPr>
          <w:i/>
          <w:iCs/>
        </w:rPr>
        <w:t>?</w:t>
      </w:r>
      <w:r w:rsidR="00CD4F0B" w:rsidRPr="00FF6E12">
        <w:t xml:space="preserve"> (Australian Institute of Criminology</w:t>
      </w:r>
      <w:r w:rsidR="005F51D7" w:rsidRPr="00FF6E12">
        <w:t>, 1994)</w:t>
      </w:r>
      <w:r w:rsidR="000C735F" w:rsidRPr="00FF6E12">
        <w:t xml:space="preserve"> 42.</w:t>
      </w:r>
    </w:p>
  </w:footnote>
  <w:footnote w:id="425">
    <w:p w14:paraId="332A1569" w14:textId="348E0BF5" w:rsidR="00D1649A" w:rsidRPr="00FF6E12" w:rsidRDefault="00D1649A">
      <w:pPr>
        <w:pStyle w:val="FootnoteText"/>
        <w:rPr>
          <w:highlight w:val="yellow"/>
        </w:rPr>
      </w:pPr>
      <w:r w:rsidRPr="00FF6E12">
        <w:rPr>
          <w:rStyle w:val="FootnoteReference"/>
        </w:rPr>
        <w:footnoteRef/>
      </w:r>
      <w:r w:rsidRPr="00FF6E12">
        <w:t xml:space="preserve"> </w:t>
      </w:r>
      <w:r w:rsidR="005B7AEC" w:rsidRPr="00FF6E12">
        <w:t xml:space="preserve">Seymour </w:t>
      </w:r>
      <w:r w:rsidR="00120EF7" w:rsidRPr="00FF6E12">
        <w:t xml:space="preserve">(n </w:t>
      </w:r>
      <w:r w:rsidR="00120EF7" w:rsidRPr="00FF6E12">
        <w:fldChar w:fldCharType="begin"/>
      </w:r>
      <w:r w:rsidR="00120EF7" w:rsidRPr="00FF6E12">
        <w:instrText xml:space="preserve"> NOTEREF _Ref217986370 \h </w:instrText>
      </w:r>
      <w:r w:rsidR="00120EF7" w:rsidRPr="00FF6E12">
        <w:fldChar w:fldCharType="separate"/>
      </w:r>
      <w:r w:rsidR="007D7830">
        <w:t>416</w:t>
      </w:r>
      <w:r w:rsidR="00120EF7" w:rsidRPr="00FF6E12">
        <w:fldChar w:fldCharType="end"/>
      </w:r>
      <w:r w:rsidR="00120EF7" w:rsidRPr="00FF6E12">
        <w:t xml:space="preserve">) </w:t>
      </w:r>
      <w:r w:rsidR="005B7AEC" w:rsidRPr="00FF6E12">
        <w:t>152.</w:t>
      </w:r>
    </w:p>
  </w:footnote>
  <w:footnote w:id="426">
    <w:p w14:paraId="70843AE1" w14:textId="2C45B963" w:rsidR="00D1649A" w:rsidRPr="00FF6E12" w:rsidRDefault="00D1649A">
      <w:pPr>
        <w:pStyle w:val="FootnoteText"/>
      </w:pPr>
      <w:r w:rsidRPr="00FF6E12">
        <w:rPr>
          <w:rStyle w:val="FootnoteReference"/>
        </w:rPr>
        <w:footnoteRef/>
      </w:r>
      <w:r w:rsidRPr="00FF6E12">
        <w:t xml:space="preserve"> </w:t>
      </w:r>
      <w:r w:rsidR="000D49CD" w:rsidRPr="00FF6E12">
        <w:t>Warner</w:t>
      </w:r>
      <w:r w:rsidR="00C57584" w:rsidRPr="00FF6E12">
        <w:t xml:space="preserve"> (n </w:t>
      </w:r>
      <w:r w:rsidR="00120EF7" w:rsidRPr="00FF6E12">
        <w:fldChar w:fldCharType="begin"/>
      </w:r>
      <w:r w:rsidR="00120EF7" w:rsidRPr="00FF6E12">
        <w:instrText xml:space="preserve"> NOTEREF _Ref217986586 \h </w:instrText>
      </w:r>
      <w:r w:rsidR="00120EF7" w:rsidRPr="00FF6E12">
        <w:fldChar w:fldCharType="separate"/>
      </w:r>
      <w:r w:rsidR="007D7830">
        <w:t>423</w:t>
      </w:r>
      <w:r w:rsidR="00120EF7" w:rsidRPr="00FF6E12">
        <w:fldChar w:fldCharType="end"/>
      </w:r>
      <w:r w:rsidR="00C57584" w:rsidRPr="00FF6E12">
        <w:t>) 145.</w:t>
      </w:r>
      <w:r w:rsidRPr="00FF6E12">
        <w:t xml:space="preserve"> </w:t>
      </w:r>
    </w:p>
  </w:footnote>
  <w:footnote w:id="427">
    <w:p w14:paraId="20F138CF" w14:textId="610C1EAD" w:rsidR="00D1649A" w:rsidRPr="00FF6E12" w:rsidRDefault="00D1649A">
      <w:pPr>
        <w:pStyle w:val="FootnoteText"/>
        <w:rPr>
          <w:highlight w:val="yellow"/>
        </w:rPr>
      </w:pPr>
      <w:r w:rsidRPr="00FF6E12">
        <w:rPr>
          <w:rStyle w:val="FootnoteReference"/>
        </w:rPr>
        <w:footnoteRef/>
      </w:r>
      <w:r w:rsidR="00A23C6F" w:rsidRPr="00FF6E12">
        <w:t xml:space="preserve"> See Jeremy Prichard, </w:t>
      </w:r>
      <w:r w:rsidR="0061317C" w:rsidRPr="00FF6E12">
        <w:t>‘</w:t>
      </w:r>
      <w:r w:rsidR="00A23C6F" w:rsidRPr="00FF6E12">
        <w:t>Net-widening and the diversion of young people from court: A longitudinal analysis with implications for restorative justice</w:t>
      </w:r>
      <w:r w:rsidR="0061317C" w:rsidRPr="00FF6E12">
        <w:t>’,</w:t>
      </w:r>
      <w:r w:rsidR="00D879B7" w:rsidRPr="00FF6E12">
        <w:t xml:space="preserve"> (2010) 43(1)</w:t>
      </w:r>
      <w:r w:rsidR="0061317C" w:rsidRPr="00FF6E12">
        <w:t xml:space="preserve"> </w:t>
      </w:r>
      <w:r w:rsidR="00A23C6F" w:rsidRPr="00FF6E12">
        <w:rPr>
          <w:i/>
          <w:iCs/>
        </w:rPr>
        <w:t xml:space="preserve">Australian </w:t>
      </w:r>
      <w:r w:rsidR="0061317C" w:rsidRPr="00FF6E12">
        <w:rPr>
          <w:i/>
          <w:iCs/>
        </w:rPr>
        <w:t>and</w:t>
      </w:r>
      <w:r w:rsidR="00A23C6F" w:rsidRPr="00FF6E12">
        <w:rPr>
          <w:i/>
          <w:iCs/>
        </w:rPr>
        <w:t xml:space="preserve"> New Zealand Journal of Criminology</w:t>
      </w:r>
      <w:r w:rsidR="00120EF7" w:rsidRPr="00FF6E12">
        <w:t xml:space="preserve"> </w:t>
      </w:r>
      <w:r w:rsidR="00D879B7" w:rsidRPr="00FF6E12">
        <w:t>113,</w:t>
      </w:r>
      <w:r w:rsidR="00726DE4" w:rsidRPr="00FF6E12">
        <w:t xml:space="preserve"> </w:t>
      </w:r>
      <w:r w:rsidR="00AB2BAE" w:rsidRPr="00FF6E12">
        <w:t>113</w:t>
      </w:r>
      <w:r w:rsidR="00D879B7" w:rsidRPr="00FF6E12">
        <w:t>–</w:t>
      </w:r>
      <w:r w:rsidR="00AB2BAE" w:rsidRPr="00FF6E12">
        <w:t>116.</w:t>
      </w:r>
    </w:p>
  </w:footnote>
  <w:footnote w:id="428">
    <w:p w14:paraId="15BD28E3" w14:textId="03FA2B7D" w:rsidR="00DF79F5" w:rsidRPr="00FF6E12" w:rsidRDefault="00DF79F5">
      <w:pPr>
        <w:pStyle w:val="FootnoteText"/>
      </w:pPr>
      <w:r w:rsidRPr="00FF6E12">
        <w:rPr>
          <w:rStyle w:val="FootnoteReference"/>
        </w:rPr>
        <w:footnoteRef/>
      </w:r>
      <w:r w:rsidRPr="00FF6E12">
        <w:t xml:space="preserve"> </w:t>
      </w:r>
      <w:r w:rsidR="00A94166" w:rsidRPr="00FF6E12">
        <w:t xml:space="preserve">United Nations </w:t>
      </w:r>
      <w:r w:rsidR="00A94166" w:rsidRPr="00A920EC">
        <w:rPr>
          <w:i/>
          <w:iCs/>
        </w:rPr>
        <w:t>Standard Minimum Rules for the Administration of Juvenile Justice</w:t>
      </w:r>
      <w:r w:rsidR="00A94166" w:rsidRPr="00FF6E12">
        <w:t xml:space="preserve"> </w:t>
      </w:r>
      <w:r w:rsidR="00D879B7" w:rsidRPr="00FF6E12">
        <w:t>(</w:t>
      </w:r>
      <w:r w:rsidR="00A94166" w:rsidRPr="00FF6E12">
        <w:t>GA Res 40/33, UN Doc A/RES/40/33</w:t>
      </w:r>
      <w:r w:rsidR="00D879B7" w:rsidRPr="00FF6E12">
        <w:t>,</w:t>
      </w:r>
      <w:r w:rsidR="00A94166" w:rsidRPr="00FF6E12">
        <w:t xml:space="preserve"> 29 November 1985)</w:t>
      </w:r>
      <w:r w:rsidR="00D879B7" w:rsidRPr="00FF6E12">
        <w:t xml:space="preserve"> (‘Beijing Rules’)</w:t>
      </w:r>
      <w:r w:rsidR="00A94166" w:rsidRPr="00FF6E12">
        <w:t xml:space="preserve"> </w:t>
      </w:r>
      <w:r w:rsidR="00D879B7" w:rsidRPr="00FF6E12">
        <w:t xml:space="preserve">r </w:t>
      </w:r>
      <w:r w:rsidRPr="00FF6E12">
        <w:t>11.</w:t>
      </w:r>
    </w:p>
  </w:footnote>
  <w:footnote w:id="429">
    <w:p w14:paraId="14236802" w14:textId="2F631561" w:rsidR="00E421A1" w:rsidRPr="00FF6E12" w:rsidRDefault="00E421A1">
      <w:pPr>
        <w:pStyle w:val="FootnoteText"/>
      </w:pPr>
      <w:r w:rsidRPr="00FF6E12">
        <w:rPr>
          <w:rStyle w:val="FootnoteReference"/>
        </w:rPr>
        <w:footnoteRef/>
      </w:r>
      <w:r w:rsidRPr="00FF6E12">
        <w:t xml:space="preserve"> Convention on the Rights of the Child, opened for signature 20 November 1989, 1577 UNTS 3 (entered into force 2 September 1990)</w:t>
      </w:r>
      <w:r w:rsidR="00D879B7" w:rsidRPr="00FF6E12">
        <w:t xml:space="preserve"> (‘Convention on the Rights of the Child’)</w:t>
      </w:r>
      <w:r w:rsidR="00A94166" w:rsidRPr="00FF6E12">
        <w:t>.</w:t>
      </w:r>
    </w:p>
  </w:footnote>
  <w:footnote w:id="430">
    <w:p w14:paraId="4FA469ED" w14:textId="0AB9682D" w:rsidR="00837C0E" w:rsidRPr="00FF6E12" w:rsidRDefault="00837C0E">
      <w:pPr>
        <w:pStyle w:val="FootnoteText"/>
      </w:pPr>
      <w:r w:rsidRPr="00FF6E12">
        <w:rPr>
          <w:rStyle w:val="FootnoteReference"/>
        </w:rPr>
        <w:footnoteRef/>
      </w:r>
      <w:r w:rsidRPr="00FF6E12">
        <w:t xml:space="preserve"> </w:t>
      </w:r>
      <w:r w:rsidR="00D879B7" w:rsidRPr="00FF6E12">
        <w:t xml:space="preserve">Convention on the Rights of the Child </w:t>
      </w:r>
      <w:r w:rsidR="00FB40F2" w:rsidRPr="00FF6E12">
        <w:t xml:space="preserve">art </w:t>
      </w:r>
      <w:r w:rsidR="008E1453" w:rsidRPr="00FF6E12">
        <w:t>37(b)</w:t>
      </w:r>
    </w:p>
  </w:footnote>
  <w:footnote w:id="431">
    <w:p w14:paraId="18D7DE7E" w14:textId="377D1AEC" w:rsidR="00837C0E" w:rsidRPr="00FF6E12" w:rsidRDefault="00837C0E">
      <w:pPr>
        <w:pStyle w:val="FootnoteText"/>
      </w:pPr>
      <w:r w:rsidRPr="00FF6E12">
        <w:rPr>
          <w:rStyle w:val="FootnoteReference"/>
        </w:rPr>
        <w:footnoteRef/>
      </w:r>
      <w:r w:rsidRPr="00FF6E12">
        <w:t xml:space="preserve"> </w:t>
      </w:r>
      <w:r w:rsidR="00D879B7" w:rsidRPr="00FF6E12">
        <w:t xml:space="preserve">Convention on the Rights of the Child </w:t>
      </w:r>
      <w:r w:rsidR="008E1453" w:rsidRPr="00FF6E12">
        <w:t>art 40.3</w:t>
      </w:r>
      <w:r w:rsidR="009D0149" w:rsidRPr="00FF6E12">
        <w:t>; Beijing Rules r 11.</w:t>
      </w:r>
    </w:p>
  </w:footnote>
  <w:footnote w:id="432">
    <w:p w14:paraId="5BFF46BC" w14:textId="557EA6CD" w:rsidR="00837C0E" w:rsidRPr="00FF6E12" w:rsidRDefault="00837C0E">
      <w:pPr>
        <w:pStyle w:val="FootnoteText"/>
      </w:pPr>
      <w:r w:rsidRPr="00FF6E12">
        <w:rPr>
          <w:rStyle w:val="FootnoteReference"/>
        </w:rPr>
        <w:footnoteRef/>
      </w:r>
      <w:r w:rsidRPr="00FF6E12">
        <w:t xml:space="preserve"> </w:t>
      </w:r>
      <w:r w:rsidR="00FB40F2" w:rsidRPr="00FF6E12">
        <w:t>Convention on the Rights of the Child</w:t>
      </w:r>
      <w:r w:rsidR="008E1453" w:rsidRPr="00FF6E12">
        <w:t xml:space="preserve"> art 40.1</w:t>
      </w:r>
      <w:r w:rsidR="009D0149" w:rsidRPr="00FF6E12">
        <w:t>; Beijing Rules r 17.</w:t>
      </w:r>
    </w:p>
  </w:footnote>
  <w:footnote w:id="433">
    <w:p w14:paraId="28FF7EF8" w14:textId="76D1E2DB" w:rsidR="00837C0E" w:rsidRPr="00FF6E12" w:rsidRDefault="00837C0E">
      <w:pPr>
        <w:pStyle w:val="FootnoteText"/>
      </w:pPr>
      <w:r w:rsidRPr="00FF6E12">
        <w:rPr>
          <w:rStyle w:val="FootnoteReference"/>
        </w:rPr>
        <w:footnoteRef/>
      </w:r>
      <w:r w:rsidRPr="00FF6E12">
        <w:t xml:space="preserve"> </w:t>
      </w:r>
      <w:r w:rsidR="00FB40F2" w:rsidRPr="00FF6E12">
        <w:t xml:space="preserve">Convention on the Rights of the </w:t>
      </w:r>
      <w:r w:rsidR="009D0149" w:rsidRPr="00FF6E12">
        <w:t>Child art</w:t>
      </w:r>
      <w:r w:rsidR="008E1453" w:rsidRPr="00FF6E12">
        <w:t xml:space="preserve"> 40.</w:t>
      </w:r>
      <w:r w:rsidR="009D0149" w:rsidRPr="00FF6E12">
        <w:t>4; Beijing Rules r 18.1.</w:t>
      </w:r>
    </w:p>
  </w:footnote>
  <w:footnote w:id="434">
    <w:p w14:paraId="5017258B" w14:textId="6CF8EA56" w:rsidR="00837C0E" w:rsidRPr="00FF6E12" w:rsidRDefault="00837C0E">
      <w:pPr>
        <w:pStyle w:val="FootnoteText"/>
      </w:pPr>
      <w:r w:rsidRPr="00FF6E12">
        <w:rPr>
          <w:rStyle w:val="FootnoteReference"/>
        </w:rPr>
        <w:footnoteRef/>
      </w:r>
      <w:r w:rsidRPr="00FF6E12">
        <w:t xml:space="preserve"> </w:t>
      </w:r>
      <w:r w:rsidR="00FB40F2" w:rsidRPr="00FF6E12">
        <w:t>Convention on the Rights of the Child</w:t>
      </w:r>
      <w:r w:rsidR="009D0149" w:rsidRPr="00FF6E12">
        <w:t xml:space="preserve"> art 40.4; Beijing Rules r 5.1.</w:t>
      </w:r>
    </w:p>
  </w:footnote>
  <w:footnote w:id="435">
    <w:p w14:paraId="62CB7E04" w14:textId="08FCF87D" w:rsidR="00093CAD" w:rsidRPr="00FF6E12" w:rsidRDefault="00093CAD">
      <w:pPr>
        <w:pStyle w:val="FootnoteText"/>
      </w:pPr>
      <w:r w:rsidRPr="00FF6E12">
        <w:rPr>
          <w:rStyle w:val="FootnoteReference"/>
        </w:rPr>
        <w:footnoteRef/>
      </w:r>
      <w:r w:rsidRPr="00FF6E12">
        <w:t xml:space="preserve"> </w:t>
      </w:r>
      <w:r w:rsidR="00E375A3" w:rsidRPr="00FF6E12">
        <w:t xml:space="preserve">See </w:t>
      </w:r>
      <w:r w:rsidR="008A7B29" w:rsidRPr="00FF6E12">
        <w:t xml:space="preserve">generally </w:t>
      </w:r>
      <w:r w:rsidR="00E375A3" w:rsidRPr="00FF6E12">
        <w:t>Jeremy Prichard</w:t>
      </w:r>
      <w:r w:rsidR="003A5DB2" w:rsidRPr="00FF6E12">
        <w:t>, ‘</w:t>
      </w:r>
      <w:r w:rsidR="00581B7E" w:rsidRPr="00FF6E12">
        <w:t>Juvenile Conferencing and Restorative Justice in Tasmania’ (PhD</w:t>
      </w:r>
      <w:r w:rsidR="00515771" w:rsidRPr="00FF6E12">
        <w:t xml:space="preserve"> Thesis, University of Tasmania, 2004)</w:t>
      </w:r>
      <w:r w:rsidR="00605B04" w:rsidRPr="00FF6E12">
        <w:t xml:space="preserve"> </w:t>
      </w:r>
      <w:r w:rsidR="008A7B29" w:rsidRPr="00FF6E12">
        <w:t>ch 3.</w:t>
      </w:r>
    </w:p>
  </w:footnote>
  <w:footnote w:id="436">
    <w:p w14:paraId="611D2966" w14:textId="303FAF72" w:rsidR="00D1649A" w:rsidRPr="00FF6E12" w:rsidRDefault="00D1649A">
      <w:pPr>
        <w:pStyle w:val="FootnoteText"/>
      </w:pPr>
      <w:r w:rsidRPr="00FF6E12">
        <w:rPr>
          <w:rStyle w:val="FootnoteReference"/>
        </w:rPr>
        <w:footnoteRef/>
      </w:r>
      <w:r w:rsidRPr="00FF6E12">
        <w:t xml:space="preserve"> </w:t>
      </w:r>
      <w:r w:rsidR="000F1FD2" w:rsidRPr="00FF6E12">
        <w:t>I</w:t>
      </w:r>
      <w:r w:rsidR="008A7B29" w:rsidRPr="00FF6E12">
        <w:t>bid.</w:t>
      </w:r>
    </w:p>
  </w:footnote>
  <w:footnote w:id="437">
    <w:p w14:paraId="36CA23D8" w14:textId="50B00183" w:rsidR="00D1649A" w:rsidRPr="00FF6E12" w:rsidRDefault="00D1649A">
      <w:pPr>
        <w:pStyle w:val="FootnoteText"/>
      </w:pPr>
      <w:r w:rsidRPr="00FF6E12">
        <w:rPr>
          <w:rStyle w:val="FootnoteReference"/>
        </w:rPr>
        <w:footnoteRef/>
      </w:r>
      <w:r w:rsidRPr="00FF6E12">
        <w:t xml:space="preserve"> </w:t>
      </w:r>
      <w:r w:rsidR="000F1FD2" w:rsidRPr="00FF6E12">
        <w:t>Ibid.</w:t>
      </w:r>
    </w:p>
  </w:footnote>
  <w:footnote w:id="438">
    <w:p w14:paraId="03CDDDA1" w14:textId="6665C099" w:rsidR="00D1649A" w:rsidRPr="000327C2" w:rsidRDefault="00D1649A">
      <w:pPr>
        <w:pStyle w:val="FootnoteText"/>
      </w:pPr>
      <w:r w:rsidRPr="00FF6E12">
        <w:rPr>
          <w:rStyle w:val="FootnoteReference"/>
        </w:rPr>
        <w:footnoteRef/>
      </w:r>
      <w:r w:rsidRPr="00FF6E12">
        <w:t xml:space="preserve"> </w:t>
      </w:r>
      <w:r w:rsidR="000F1FD2" w:rsidRPr="000327C2">
        <w:t>Ibid.</w:t>
      </w:r>
    </w:p>
  </w:footnote>
  <w:footnote w:id="439">
    <w:p w14:paraId="0BBC19E5" w14:textId="6F1CBAF3" w:rsidR="00D1649A" w:rsidRPr="00FF6E12" w:rsidRDefault="00D1649A">
      <w:pPr>
        <w:pStyle w:val="FootnoteText"/>
        <w:rPr>
          <w:highlight w:val="yellow"/>
        </w:rPr>
      </w:pPr>
      <w:r w:rsidRPr="000327C2">
        <w:rPr>
          <w:rStyle w:val="FootnoteReference"/>
        </w:rPr>
        <w:footnoteRef/>
      </w:r>
      <w:r w:rsidRPr="000327C2">
        <w:t xml:space="preserve"> </w:t>
      </w:r>
      <w:r w:rsidR="00696748" w:rsidRPr="000327C2">
        <w:t xml:space="preserve">Department of Community Services, </w:t>
      </w:r>
      <w:r w:rsidR="00696748" w:rsidRPr="000327C2">
        <w:rPr>
          <w:i/>
          <w:iCs/>
        </w:rPr>
        <w:t>Corrective Services for Young People</w:t>
      </w:r>
      <w:r w:rsidR="00696748" w:rsidRPr="000327C2">
        <w:t xml:space="preserve"> </w:t>
      </w:r>
      <w:r w:rsidR="00696748" w:rsidRPr="000327C2">
        <w:rPr>
          <w:i/>
          <w:iCs/>
        </w:rPr>
        <w:t>(Issues Paper 2)</w:t>
      </w:r>
      <w:r w:rsidR="00696748" w:rsidRPr="000327C2">
        <w:t xml:space="preserve"> (Department of Community Services, </w:t>
      </w:r>
      <w:r w:rsidR="00F65CF2" w:rsidRPr="000327C2">
        <w:t xml:space="preserve">Issues Paper, </w:t>
      </w:r>
      <w:r w:rsidR="00696748" w:rsidRPr="000327C2">
        <w:t>1991)</w:t>
      </w:r>
      <w:r w:rsidR="000327C2" w:rsidRPr="000327C2">
        <w:t>.</w:t>
      </w:r>
    </w:p>
  </w:footnote>
  <w:footnote w:id="440">
    <w:p w14:paraId="4A3A26B4" w14:textId="2FF7940D" w:rsidR="00D1649A" w:rsidRPr="00FF6E12" w:rsidRDefault="00D1649A">
      <w:pPr>
        <w:pStyle w:val="FootnoteText"/>
      </w:pPr>
      <w:r w:rsidRPr="00FF6E12">
        <w:rPr>
          <w:rStyle w:val="FootnoteReference"/>
        </w:rPr>
        <w:footnoteRef/>
      </w:r>
      <w:r w:rsidRPr="00FF6E12">
        <w:t xml:space="preserve"> </w:t>
      </w:r>
      <w:r w:rsidR="006E4933" w:rsidRPr="00FF6E12">
        <w:t xml:space="preserve">Department of Community Services, </w:t>
      </w:r>
      <w:r w:rsidR="006E4933" w:rsidRPr="00FF6E12">
        <w:rPr>
          <w:i/>
          <w:iCs/>
        </w:rPr>
        <w:t>Corrective Services for Young People</w:t>
      </w:r>
      <w:r w:rsidR="006E4933" w:rsidRPr="00FF6E12">
        <w:t xml:space="preserve"> </w:t>
      </w:r>
      <w:r w:rsidR="006E4933" w:rsidRPr="00FF6E12">
        <w:rPr>
          <w:i/>
          <w:iCs/>
        </w:rPr>
        <w:t>(Issues Paper 2)</w:t>
      </w:r>
      <w:r w:rsidR="006E4933" w:rsidRPr="00FF6E12">
        <w:t xml:space="preserve"> </w:t>
      </w:r>
      <w:r w:rsidR="000300AE" w:rsidRPr="00FF6E12">
        <w:t>(</w:t>
      </w:r>
      <w:r w:rsidR="006E4933" w:rsidRPr="00FF6E12">
        <w:t xml:space="preserve">Department of Community Services, </w:t>
      </w:r>
      <w:r w:rsidR="00334F99" w:rsidRPr="00FF6E12">
        <w:t xml:space="preserve">Issues Paper, </w:t>
      </w:r>
      <w:r w:rsidR="000300AE" w:rsidRPr="00FF6E12">
        <w:t xml:space="preserve">1991) </w:t>
      </w:r>
      <w:r w:rsidRPr="00FF6E12">
        <w:t>11.</w:t>
      </w:r>
    </w:p>
  </w:footnote>
  <w:footnote w:id="441">
    <w:p w14:paraId="33EBB04B" w14:textId="77777777" w:rsidR="00D1649A" w:rsidRPr="00FF6E12" w:rsidRDefault="00D1649A">
      <w:pPr>
        <w:pStyle w:val="FootnoteText"/>
      </w:pPr>
      <w:r w:rsidRPr="00FF6E12">
        <w:rPr>
          <w:rStyle w:val="FootnoteReference"/>
        </w:rPr>
        <w:footnoteRef/>
      </w:r>
      <w:r w:rsidRPr="00FF6E12">
        <w:t xml:space="preserve"> The report called these ‘family group conferences’, adopting the New Zealand terminology.</w:t>
      </w:r>
    </w:p>
  </w:footnote>
  <w:footnote w:id="442">
    <w:p w14:paraId="73D6EC1C" w14:textId="2442CBF9" w:rsidR="00D1649A" w:rsidRPr="00FF6E12" w:rsidRDefault="00D1649A">
      <w:pPr>
        <w:pStyle w:val="FootnoteText"/>
      </w:pPr>
      <w:r w:rsidRPr="00FF6E12">
        <w:rPr>
          <w:rStyle w:val="FootnoteReference"/>
        </w:rPr>
        <w:footnoteRef/>
      </w:r>
      <w:r w:rsidRPr="00FF6E12">
        <w:t xml:space="preserve"> </w:t>
      </w:r>
      <w:r w:rsidR="00334F99" w:rsidRPr="00FF6E12">
        <w:t xml:space="preserve">United Nations </w:t>
      </w:r>
      <w:r w:rsidR="00334F99" w:rsidRPr="00FF6E12">
        <w:rPr>
          <w:i/>
          <w:iCs/>
        </w:rPr>
        <w:t>Standard Minimum Rules for the Administration of Juvenile Justice</w:t>
      </w:r>
      <w:r w:rsidR="00334F99" w:rsidRPr="00FF6E12">
        <w:t xml:space="preserve"> (GA Res 40/33, UN Doc A/RES/40/33, 29 November 1985) (‘Beijing Rules’).</w:t>
      </w:r>
    </w:p>
  </w:footnote>
  <w:footnote w:id="443">
    <w:p w14:paraId="2E4972A9" w14:textId="509EABC7" w:rsidR="00D1649A" w:rsidRPr="00FF6E12" w:rsidRDefault="00D1649A" w:rsidP="00A920EC">
      <w:pPr>
        <w:pStyle w:val="FootnoteText"/>
        <w:rPr>
          <w:highlight w:val="yellow"/>
        </w:rPr>
      </w:pPr>
      <w:r w:rsidRPr="00FF6E12">
        <w:rPr>
          <w:rStyle w:val="FootnoteReference"/>
        </w:rPr>
        <w:footnoteRef/>
      </w:r>
      <w:r w:rsidRPr="00FF6E12">
        <w:t xml:space="preserve"> T</w:t>
      </w:r>
      <w:r w:rsidR="00B93436" w:rsidRPr="00FF6E12">
        <w:t>ony</w:t>
      </w:r>
      <w:r w:rsidRPr="00FF6E12">
        <w:t xml:space="preserve"> Marshall,</w:t>
      </w:r>
      <w:r w:rsidR="00334F99" w:rsidRPr="00FF6E12">
        <w:t xml:space="preserve"> </w:t>
      </w:r>
      <w:r w:rsidRPr="00FF6E12">
        <w:rPr>
          <w:i/>
          <w:iCs/>
        </w:rPr>
        <w:t>Restorative Justice: An Overview</w:t>
      </w:r>
      <w:r w:rsidR="00334F99" w:rsidRPr="00FF6E12">
        <w:t xml:space="preserve"> (</w:t>
      </w:r>
      <w:r w:rsidRPr="00FF6E12">
        <w:t>Home Office</w:t>
      </w:r>
      <w:r w:rsidR="00B93436" w:rsidRPr="00FF6E12">
        <w:t>,</w:t>
      </w:r>
      <w:r w:rsidRPr="00FF6E12">
        <w:t xml:space="preserve"> United Kingdom, </w:t>
      </w:r>
      <w:r w:rsidR="00334F99" w:rsidRPr="00FF6E12">
        <w:t xml:space="preserve">1996) </w:t>
      </w:r>
      <w:r w:rsidRPr="00FF6E12">
        <w:t>5.</w:t>
      </w:r>
    </w:p>
  </w:footnote>
  <w:footnote w:id="444">
    <w:p w14:paraId="52C085C6" w14:textId="3D8123EE" w:rsidR="00D1649A" w:rsidRPr="00FF6E12" w:rsidRDefault="00D1649A" w:rsidP="00A920EC">
      <w:pPr>
        <w:pStyle w:val="FootnoteText"/>
      </w:pPr>
      <w:r w:rsidRPr="00FF6E12">
        <w:rPr>
          <w:rStyle w:val="FootnoteReference"/>
        </w:rPr>
        <w:footnoteRef/>
      </w:r>
      <w:r w:rsidRPr="00FF6E12">
        <w:t xml:space="preserve"> </w:t>
      </w:r>
      <w:r w:rsidR="00D1233A" w:rsidRPr="00FF6E12">
        <w:t xml:space="preserve">See generally </w:t>
      </w:r>
      <w:r w:rsidR="00AC0DC1" w:rsidRPr="00FF6E12">
        <w:t xml:space="preserve">John </w:t>
      </w:r>
      <w:r w:rsidRPr="00FF6E12">
        <w:t xml:space="preserve">Braithwaite, </w:t>
      </w:r>
      <w:r w:rsidR="00AC0DC1" w:rsidRPr="00FF6E12">
        <w:t>‘Restorative justice: Assessing optimistic and pessimistic accounts</w:t>
      </w:r>
      <w:r w:rsidR="00F01194" w:rsidRPr="00FF6E12">
        <w:t xml:space="preserve">’ </w:t>
      </w:r>
      <w:r w:rsidR="00B93436" w:rsidRPr="00FF6E12">
        <w:t xml:space="preserve">(1999) </w:t>
      </w:r>
      <w:r w:rsidR="00F01194" w:rsidRPr="00FF6E12">
        <w:rPr>
          <w:i/>
          <w:iCs/>
        </w:rPr>
        <w:t xml:space="preserve">Crime and Justice </w:t>
      </w:r>
      <w:r w:rsidR="00964C8D" w:rsidRPr="00FF6E12">
        <w:t>1</w:t>
      </w:r>
      <w:r w:rsidR="00B93436" w:rsidRPr="00FF6E12">
        <w:t>, 1–</w:t>
      </w:r>
      <w:r w:rsidR="00964C8D" w:rsidRPr="00FF6E12">
        <w:t>127.</w:t>
      </w:r>
    </w:p>
  </w:footnote>
  <w:footnote w:id="445">
    <w:p w14:paraId="3ED8E89A" w14:textId="5073E7F1" w:rsidR="00D1649A" w:rsidRPr="00FF6E12" w:rsidRDefault="00D1649A" w:rsidP="00A920EC">
      <w:pPr>
        <w:pStyle w:val="FootnoteText"/>
      </w:pPr>
      <w:r w:rsidRPr="00FF6E12">
        <w:rPr>
          <w:rStyle w:val="FootnoteReference"/>
        </w:rPr>
        <w:footnoteRef/>
      </w:r>
      <w:r w:rsidRPr="00FF6E12">
        <w:t xml:space="preserve"> Prichard </w:t>
      </w:r>
      <w:r w:rsidR="00EB03FC" w:rsidRPr="00FF6E12">
        <w:t>(n</w:t>
      </w:r>
      <w:r w:rsidR="00C42B94">
        <w:t xml:space="preserve"> </w:t>
      </w:r>
      <w:r w:rsidR="00C42B94">
        <w:fldChar w:fldCharType="begin"/>
      </w:r>
      <w:r w:rsidR="00C42B94">
        <w:instrText xml:space="preserve"> NOTEREF _Ref217997405 \h </w:instrText>
      </w:r>
      <w:r w:rsidR="00C42B94">
        <w:fldChar w:fldCharType="separate"/>
      </w:r>
      <w:r w:rsidR="007D7830">
        <w:t>434</w:t>
      </w:r>
      <w:r w:rsidR="00C42B94">
        <w:fldChar w:fldCharType="end"/>
      </w:r>
      <w:r w:rsidR="00EB03FC" w:rsidRPr="00FF6E12">
        <w:t>)</w:t>
      </w:r>
      <w:r w:rsidR="006B34DF" w:rsidRPr="00FF6E12">
        <w:t xml:space="preserve"> 56.</w:t>
      </w:r>
    </w:p>
  </w:footnote>
  <w:footnote w:id="446">
    <w:p w14:paraId="65F8556A" w14:textId="5887CC10" w:rsidR="00C77A86" w:rsidRPr="00FF6E12" w:rsidRDefault="00C77A86" w:rsidP="00A920EC">
      <w:pPr>
        <w:pStyle w:val="FootnoteText"/>
      </w:pPr>
      <w:r w:rsidRPr="00FF6E12">
        <w:rPr>
          <w:rStyle w:val="FootnoteReference"/>
        </w:rPr>
        <w:footnoteRef/>
      </w:r>
      <w:r w:rsidRPr="00FF6E12">
        <w:t xml:space="preserve"> The exception is prescribed offences (where the </w:t>
      </w:r>
      <w:r w:rsidR="00010A1D" w:rsidRPr="00FF6E12">
        <w:t>Supreme C</w:t>
      </w:r>
      <w:r w:rsidRPr="00FF6E12">
        <w:t xml:space="preserve">ourt has a discretion). See </w:t>
      </w:r>
      <w:r w:rsidR="00010A1D" w:rsidRPr="00FF6E12">
        <w:t>[</w:t>
      </w:r>
      <w:r w:rsidR="00B93436" w:rsidRPr="00FF6E12">
        <w:fldChar w:fldCharType="begin"/>
      </w:r>
      <w:r w:rsidR="00B93436" w:rsidRPr="00FF6E12">
        <w:instrText xml:space="preserve"> REF _Ref217987503 \r \h </w:instrText>
      </w:r>
      <w:r w:rsidR="00B93436" w:rsidRPr="00FF6E12">
        <w:fldChar w:fldCharType="separate"/>
      </w:r>
      <w:r w:rsidR="007D7830">
        <w:t>8.3</w:t>
      </w:r>
      <w:r w:rsidR="00B93436" w:rsidRPr="00FF6E12">
        <w:fldChar w:fldCharType="end"/>
      </w:r>
      <w:r w:rsidR="00010A1D" w:rsidRPr="00FF6E12">
        <w:t>]</w:t>
      </w:r>
      <w:r w:rsidRPr="00FF6E12">
        <w:t>.</w:t>
      </w:r>
    </w:p>
  </w:footnote>
  <w:footnote w:id="447">
    <w:p w14:paraId="003D7512" w14:textId="2FC8735A" w:rsidR="006966E3" w:rsidRPr="00FF6E12" w:rsidRDefault="006966E3">
      <w:pPr>
        <w:pStyle w:val="FootnoteText"/>
      </w:pPr>
      <w:r w:rsidRPr="00FF6E12">
        <w:rPr>
          <w:rStyle w:val="FootnoteReference"/>
        </w:rPr>
        <w:footnoteRef/>
      </w:r>
      <w:r w:rsidRPr="00FF6E12">
        <w:t xml:space="preserve"> </w:t>
      </w:r>
      <w:r w:rsidR="00D874F9" w:rsidRPr="00FF6E12">
        <w:t>DECYP</w:t>
      </w:r>
      <w:r w:rsidR="00B93436" w:rsidRPr="00FF6E12">
        <w:t xml:space="preserve"> (n </w:t>
      </w:r>
      <w:r w:rsidR="00B93436" w:rsidRPr="00FF6E12">
        <w:fldChar w:fldCharType="begin"/>
      </w:r>
      <w:r w:rsidR="00B93436" w:rsidRPr="00FF6E12">
        <w:instrText xml:space="preserve"> NOTEREF _Ref217907385 \h </w:instrText>
      </w:r>
      <w:r w:rsidR="00B93436" w:rsidRPr="00FF6E12">
        <w:fldChar w:fldCharType="separate"/>
      </w:r>
      <w:r w:rsidR="007D7830">
        <w:t>35</w:t>
      </w:r>
      <w:r w:rsidR="00B93436" w:rsidRPr="00FF6E12">
        <w:fldChar w:fldCharType="end"/>
      </w:r>
      <w:r w:rsidR="00B93436" w:rsidRPr="00FF6E12">
        <w:t>)</w:t>
      </w:r>
      <w:r w:rsidR="00D874F9" w:rsidRPr="00FF6E12">
        <w:t xml:space="preserve"> </w:t>
      </w:r>
      <w:r w:rsidRPr="00FF6E12">
        <w:t>11.</w:t>
      </w:r>
    </w:p>
  </w:footnote>
  <w:footnote w:id="448">
    <w:p w14:paraId="60161087" w14:textId="0C1050DE" w:rsidR="00D1649A" w:rsidRPr="00FF6E12" w:rsidRDefault="00D1649A" w:rsidP="00A920EC">
      <w:pPr>
        <w:pStyle w:val="FootnoteText"/>
      </w:pPr>
      <w:r w:rsidRPr="00FF6E12">
        <w:rPr>
          <w:rStyle w:val="FootnoteReference"/>
        </w:rPr>
        <w:footnoteRef/>
      </w:r>
      <w:r w:rsidRPr="00FF6E12">
        <w:t xml:space="preserve"> See</w:t>
      </w:r>
      <w:r w:rsidR="0018410A" w:rsidRPr="00FF6E12">
        <w:t xml:space="preserve"> Arch, </w:t>
      </w:r>
      <w:r w:rsidR="0018410A" w:rsidRPr="00FF6E12">
        <w:rPr>
          <w:i/>
          <w:iCs/>
        </w:rPr>
        <w:t>What is Arch?</w:t>
      </w:r>
      <w:r w:rsidR="0018410A" w:rsidRPr="00FF6E12">
        <w:t xml:space="preserve"> </w:t>
      </w:r>
      <w:r w:rsidR="00B93436" w:rsidRPr="00FF6E12">
        <w:t xml:space="preserve">(Web page, nd) </w:t>
      </w:r>
      <w:r w:rsidR="00F84410" w:rsidRPr="00FF6E12">
        <w:t>&lt;</w:t>
      </w:r>
      <w:r w:rsidR="00F84410" w:rsidRPr="00A920EC">
        <w:t>https://arch.tas.gov.au/</w:t>
      </w:r>
      <w:r w:rsidR="00F84410" w:rsidRPr="00FF6E12">
        <w:t>&gt;</w:t>
      </w:r>
      <w:r w:rsidRPr="00FF6E12">
        <w:t>.</w:t>
      </w:r>
    </w:p>
  </w:footnote>
  <w:footnote w:id="449">
    <w:p w14:paraId="4984E5B5" w14:textId="68FAFF5B" w:rsidR="00D1649A" w:rsidRPr="00FF6E12" w:rsidRDefault="00D1649A" w:rsidP="00A920EC">
      <w:pPr>
        <w:pStyle w:val="FootnoteText"/>
      </w:pPr>
      <w:r w:rsidRPr="00FF6E12">
        <w:rPr>
          <w:rStyle w:val="FootnoteReference"/>
        </w:rPr>
        <w:footnoteRef/>
      </w:r>
      <w:r w:rsidRPr="00FF6E12">
        <w:t xml:space="preserve"> See Tasmania Police,</w:t>
      </w:r>
      <w:r w:rsidR="00B93436" w:rsidRPr="00FF6E12">
        <w:t xml:space="preserve"> </w:t>
      </w:r>
      <w:r w:rsidR="00B93436" w:rsidRPr="00A920EC">
        <w:rPr>
          <w:i/>
          <w:iCs/>
        </w:rPr>
        <w:t>Reporting Sexual Violence To Police</w:t>
      </w:r>
      <w:r w:rsidR="00B93436" w:rsidRPr="00FF6E12">
        <w:t xml:space="preserve"> (Web page, nd)</w:t>
      </w:r>
      <w:r w:rsidRPr="00FF6E12">
        <w:t xml:space="preserve"> &lt;https://www.police.tas.gov.au/what-we-do/family-and-sexual-violence/sexual-violence/reporting-sexual-violence-to-police/&gt;.</w:t>
      </w:r>
    </w:p>
  </w:footnote>
  <w:footnote w:id="450">
    <w:p w14:paraId="0747481C" w14:textId="29A06F60" w:rsidR="005854B5" w:rsidRPr="00FF6E12" w:rsidRDefault="005854B5" w:rsidP="00A920EC">
      <w:pPr>
        <w:pStyle w:val="FootnoteText"/>
      </w:pPr>
      <w:r w:rsidRPr="00FF6E12">
        <w:rPr>
          <w:rStyle w:val="FootnoteReference"/>
        </w:rPr>
        <w:footnoteRef/>
      </w:r>
      <w:r w:rsidRPr="00FF6E12">
        <w:t xml:space="preserve"> </w:t>
      </w:r>
      <w:r w:rsidR="004E7BC1" w:rsidRPr="00FF6E12">
        <w:t>DECYP</w:t>
      </w:r>
      <w:r w:rsidR="00B93436" w:rsidRPr="00FF6E12">
        <w:t xml:space="preserve"> (n </w:t>
      </w:r>
      <w:r w:rsidR="00B93436" w:rsidRPr="00FF6E12">
        <w:fldChar w:fldCharType="begin"/>
      </w:r>
      <w:r w:rsidR="00B93436" w:rsidRPr="00FF6E12">
        <w:instrText xml:space="preserve"> NOTEREF _Ref217907385 \h </w:instrText>
      </w:r>
      <w:r w:rsidR="00B93436" w:rsidRPr="00FF6E12">
        <w:fldChar w:fldCharType="separate"/>
      </w:r>
      <w:r w:rsidR="007D7830">
        <w:t>35</w:t>
      </w:r>
      <w:r w:rsidR="00B93436" w:rsidRPr="00FF6E12">
        <w:fldChar w:fldCharType="end"/>
      </w:r>
      <w:r w:rsidR="00B93436" w:rsidRPr="00FF6E12">
        <w:t>)</w:t>
      </w:r>
      <w:r w:rsidR="004E7BC1" w:rsidRPr="00FF6E12">
        <w:t xml:space="preserve"> </w:t>
      </w:r>
      <w:r w:rsidRPr="00FF6E12">
        <w:t>11–12</w:t>
      </w:r>
      <w:r w:rsidR="00B93436" w:rsidRPr="00FF6E12">
        <w:t>.</w:t>
      </w:r>
    </w:p>
  </w:footnote>
  <w:footnote w:id="451">
    <w:p w14:paraId="17CBA91F" w14:textId="782206B6" w:rsidR="00D1649A" w:rsidRPr="00FF6E12" w:rsidRDefault="00D1649A" w:rsidP="00A920EC">
      <w:pPr>
        <w:pStyle w:val="FootnoteText"/>
      </w:pPr>
      <w:r w:rsidRPr="00FF6E12">
        <w:rPr>
          <w:rStyle w:val="FootnoteReference"/>
        </w:rPr>
        <w:footnoteRef/>
      </w:r>
      <w:r w:rsidRPr="00FF6E12">
        <w:t xml:space="preserve"> See </w:t>
      </w:r>
      <w:r w:rsidR="00B93436" w:rsidRPr="00FF6E12">
        <w:t>Australian Federal Police (AFP)</w:t>
      </w:r>
      <w:r w:rsidRPr="00FF6E12">
        <w:t xml:space="preserve">, </w:t>
      </w:r>
      <w:r w:rsidRPr="00FF6E12">
        <w:rPr>
          <w:i/>
          <w:iCs/>
        </w:rPr>
        <w:t>AFT and TASPOL launch JACET to combat child exploitation</w:t>
      </w:r>
      <w:r w:rsidRPr="00FF6E12">
        <w:t xml:space="preserve">, </w:t>
      </w:r>
      <w:r w:rsidR="00B93436" w:rsidRPr="00FF6E12">
        <w:t xml:space="preserve">(AFP, Media Release, </w:t>
      </w:r>
      <w:r w:rsidRPr="00FF6E12">
        <w:t>4 November 2019</w:t>
      </w:r>
      <w:r w:rsidR="00B93436" w:rsidRPr="00FF6E12">
        <w:t>)</w:t>
      </w:r>
      <w:r w:rsidRPr="00FF6E12">
        <w:t xml:space="preserve"> &lt;</w:t>
      </w:r>
      <w:r w:rsidR="00F84410" w:rsidRPr="00A920EC">
        <w:t>https://afp.gov.au/news-centre/media-release/afp-and-taspol-launch-jacet-combat-child-exploitation</w:t>
      </w:r>
      <w:r w:rsidRPr="00FF6E12">
        <w:t>&gt;.</w:t>
      </w:r>
      <w:r w:rsidR="001A7F1B" w:rsidRPr="00FF6E12">
        <w:t xml:space="preserve"> </w:t>
      </w:r>
      <w:r w:rsidR="00B93436" w:rsidRPr="00FF6E12">
        <w:t>Note</w:t>
      </w:r>
      <w:r w:rsidR="001A7F1B" w:rsidRPr="00FF6E12">
        <w:t xml:space="preserve"> that the AFP have arrangements with local </w:t>
      </w:r>
      <w:r w:rsidR="00BA1215" w:rsidRPr="00FF6E12">
        <w:t>police</w:t>
      </w:r>
      <w:r w:rsidR="001A7F1B" w:rsidRPr="00FF6E12">
        <w:t xml:space="preserve"> in </w:t>
      </w:r>
      <w:r w:rsidR="00BA1215" w:rsidRPr="00FF6E12">
        <w:t>other</w:t>
      </w:r>
      <w:r w:rsidR="001A7F1B" w:rsidRPr="00FF6E12">
        <w:t xml:space="preserve"> states and </w:t>
      </w:r>
      <w:r w:rsidR="00BA1215" w:rsidRPr="00FF6E12">
        <w:t>territories</w:t>
      </w:r>
      <w:r w:rsidR="00B93436" w:rsidRPr="00FF6E12">
        <w:t>.</w:t>
      </w:r>
    </w:p>
  </w:footnote>
  <w:footnote w:id="452">
    <w:p w14:paraId="7B23B63E" w14:textId="6F5282FF" w:rsidR="00D1649A" w:rsidRPr="00FF6E12" w:rsidRDefault="00D1649A" w:rsidP="00A920EC">
      <w:pPr>
        <w:pStyle w:val="FootnoteText"/>
      </w:pPr>
      <w:r w:rsidRPr="00FF6E12">
        <w:rPr>
          <w:rStyle w:val="FootnoteReference"/>
        </w:rPr>
        <w:footnoteRef/>
      </w:r>
      <w:r w:rsidRPr="00FF6E12">
        <w:t xml:space="preserve"> </w:t>
      </w:r>
      <w:r w:rsidR="00B93436" w:rsidRPr="00FF6E12">
        <w:t>Note</w:t>
      </w:r>
      <w:r w:rsidRPr="00FF6E12">
        <w:t xml:space="preserve"> that there is a memorandum of understanding between the two offices in relation to which offence should prosecute, see </w:t>
      </w:r>
      <w:r w:rsidR="004F52C1" w:rsidRPr="00FF6E12">
        <w:t>Director of Public Prosecutions Tasmania</w:t>
      </w:r>
      <w:r w:rsidR="00B93436" w:rsidRPr="00FF6E12">
        <w:t xml:space="preserve"> (n </w:t>
      </w:r>
      <w:r w:rsidR="00B93436" w:rsidRPr="00FF6E12">
        <w:fldChar w:fldCharType="begin"/>
      </w:r>
      <w:r w:rsidR="00B93436" w:rsidRPr="00FF6E12">
        <w:instrText xml:space="preserve"> NOTEREF _Ref217984282 \h </w:instrText>
      </w:r>
      <w:r w:rsidR="00B93436" w:rsidRPr="00FF6E12">
        <w:fldChar w:fldCharType="separate"/>
      </w:r>
      <w:r w:rsidR="007D7830">
        <w:t>359</w:t>
      </w:r>
      <w:r w:rsidR="00B93436" w:rsidRPr="00FF6E12">
        <w:fldChar w:fldCharType="end"/>
      </w:r>
      <w:r w:rsidR="00B93436" w:rsidRPr="00FF6E12">
        <w:t>)</w:t>
      </w:r>
      <w:r w:rsidR="004F52C1" w:rsidRPr="00FF6E12">
        <w:t xml:space="preserve"> </w:t>
      </w:r>
      <w:r w:rsidRPr="00FF6E12">
        <w:t>9–10.</w:t>
      </w:r>
    </w:p>
  </w:footnote>
  <w:footnote w:id="453">
    <w:p w14:paraId="157AB25B" w14:textId="62C20A9F" w:rsidR="00D1649A" w:rsidRPr="00FF6E12" w:rsidRDefault="00D1649A" w:rsidP="00A920EC">
      <w:pPr>
        <w:pStyle w:val="FootnoteText"/>
      </w:pPr>
      <w:r w:rsidRPr="00FF6E12">
        <w:rPr>
          <w:rStyle w:val="FootnoteReference"/>
        </w:rPr>
        <w:footnoteRef/>
      </w:r>
      <w:r w:rsidRPr="00FF6E12">
        <w:t xml:space="preserve"> </w:t>
      </w:r>
      <w:r w:rsidR="00B93436" w:rsidRPr="00FF6E12">
        <w:t xml:space="preserve">Ibid </w:t>
      </w:r>
      <w:r w:rsidRPr="00FF6E12">
        <w:t>34.</w:t>
      </w:r>
    </w:p>
  </w:footnote>
  <w:footnote w:id="454">
    <w:p w14:paraId="1F1903C2" w14:textId="2D15D871" w:rsidR="00D1649A" w:rsidRPr="00FF6E12" w:rsidRDefault="00D1649A" w:rsidP="00A920EC">
      <w:pPr>
        <w:pStyle w:val="FootnoteText"/>
      </w:pPr>
      <w:r w:rsidRPr="00FF6E12">
        <w:rPr>
          <w:rStyle w:val="FootnoteReference"/>
        </w:rPr>
        <w:footnoteRef/>
      </w:r>
      <w:r w:rsidRPr="00FF6E12">
        <w:t xml:space="preserve"> </w:t>
      </w:r>
      <w:r w:rsidR="00B93436" w:rsidRPr="00FF6E12">
        <w:t>Ibid</w:t>
      </w:r>
      <w:r w:rsidRPr="00FF6E12">
        <w:t>.</w:t>
      </w:r>
    </w:p>
  </w:footnote>
  <w:footnote w:id="455">
    <w:p w14:paraId="1DB1F3E2" w14:textId="31EF7EBC" w:rsidR="00D1649A" w:rsidRPr="00FF6E12" w:rsidRDefault="00D1649A" w:rsidP="00A920EC">
      <w:pPr>
        <w:pStyle w:val="FootnoteText"/>
      </w:pPr>
      <w:r w:rsidRPr="00FF6E12">
        <w:rPr>
          <w:rStyle w:val="FootnoteReference"/>
        </w:rPr>
        <w:footnoteRef/>
      </w:r>
      <w:r w:rsidRPr="00FF6E12">
        <w:t xml:space="preserve"> </w:t>
      </w:r>
      <w:r w:rsidR="00B93436" w:rsidRPr="00FF6E12">
        <w:t>Ibid</w:t>
      </w:r>
      <w:r w:rsidR="00DF617B" w:rsidRPr="00FF6E12">
        <w:t xml:space="preserve"> </w:t>
      </w:r>
      <w:r w:rsidRPr="00FF6E12">
        <w:t>9.</w:t>
      </w:r>
    </w:p>
  </w:footnote>
  <w:footnote w:id="456">
    <w:p w14:paraId="4EE5E6BD" w14:textId="3A26FE94" w:rsidR="00D1649A" w:rsidRPr="00FF6E12" w:rsidRDefault="00D1649A" w:rsidP="00A920EC">
      <w:pPr>
        <w:pStyle w:val="FootnoteText"/>
      </w:pPr>
      <w:r w:rsidRPr="00FF6E12">
        <w:rPr>
          <w:rStyle w:val="FootnoteReference"/>
        </w:rPr>
        <w:footnoteRef/>
      </w:r>
      <w:r w:rsidRPr="00FF6E12">
        <w:t xml:space="preserve"> </w:t>
      </w:r>
      <w:r w:rsidR="00B93436" w:rsidRPr="00A920EC">
        <w:rPr>
          <w:i/>
          <w:iCs/>
        </w:rPr>
        <w:t>Children, Young Persons and Their Families Act 1997</w:t>
      </w:r>
      <w:r w:rsidR="00B93436" w:rsidRPr="00FF6E12">
        <w:t xml:space="preserve"> (Tas) ss </w:t>
      </w:r>
      <w:r w:rsidRPr="00FF6E12">
        <w:t xml:space="preserve">3 (definition of </w:t>
      </w:r>
      <w:r w:rsidR="00B93436" w:rsidRPr="00FF6E12">
        <w:t>‘</w:t>
      </w:r>
      <w:r w:rsidRPr="00FF6E12">
        <w:t>abuse</w:t>
      </w:r>
      <w:r w:rsidR="00B93436" w:rsidRPr="00FF6E12">
        <w:t>’</w:t>
      </w:r>
      <w:r w:rsidRPr="00FF6E12">
        <w:t>)</w:t>
      </w:r>
      <w:r w:rsidR="00B93436" w:rsidRPr="00FF6E12">
        <w:t>, 14</w:t>
      </w:r>
      <w:r w:rsidRPr="00FF6E12">
        <w:t xml:space="preserve">. </w:t>
      </w:r>
      <w:r w:rsidR="00B93436" w:rsidRPr="00FF6E12">
        <w:rPr>
          <w:i/>
          <w:iCs/>
        </w:rPr>
        <w:t>Children, Young Persons and Their Families Act 1997</w:t>
      </w:r>
      <w:r w:rsidR="00B93436" w:rsidRPr="00FF6E12">
        <w:t xml:space="preserve"> (Tas) s </w:t>
      </w:r>
      <w:r w:rsidRPr="00FF6E12">
        <w:t xml:space="preserve">13 also sets out a responsibility to prevent abuse or neglect. It is also an offence under the </w:t>
      </w:r>
      <w:r w:rsidRPr="00FF6E12">
        <w:rPr>
          <w:i/>
          <w:iCs/>
        </w:rPr>
        <w:t xml:space="preserve">Criminal Code </w:t>
      </w:r>
      <w:r w:rsidRPr="00FF6E12">
        <w:t>(Tas) for a person in authority (such as a school) to protect a child from a sexual offence</w:t>
      </w:r>
      <w:r w:rsidR="00B93436" w:rsidRPr="00FF6E12">
        <w:t>:</w:t>
      </w:r>
      <w:r w:rsidRPr="00FF6E12">
        <w:t xml:space="preserve"> </w:t>
      </w:r>
      <w:r w:rsidR="00B93436" w:rsidRPr="00FF6E12">
        <w:rPr>
          <w:i/>
          <w:iCs/>
        </w:rPr>
        <w:t xml:space="preserve">Criminal Code </w:t>
      </w:r>
      <w:r w:rsidR="00B93436" w:rsidRPr="00FF6E12">
        <w:t xml:space="preserve">(Tas) </w:t>
      </w:r>
      <w:r w:rsidRPr="00FF6E12">
        <w:t>s 125E</w:t>
      </w:r>
      <w:r w:rsidR="00573142">
        <w:t>.</w:t>
      </w:r>
    </w:p>
  </w:footnote>
  <w:footnote w:id="457">
    <w:p w14:paraId="64D1BEFE" w14:textId="708DB36F" w:rsidR="00D1649A" w:rsidRPr="00FF6E12" w:rsidRDefault="00D1649A" w:rsidP="00A920EC">
      <w:pPr>
        <w:pStyle w:val="FootnoteText"/>
      </w:pPr>
      <w:r w:rsidRPr="00FF6E12">
        <w:rPr>
          <w:rStyle w:val="FootnoteReference"/>
        </w:rPr>
        <w:footnoteRef/>
      </w:r>
      <w:r w:rsidR="00C80EC8" w:rsidRPr="00FF6E12">
        <w:t xml:space="preserve"> </w:t>
      </w:r>
      <w:r w:rsidR="005C13C5" w:rsidRPr="00FF6E12">
        <w:t>Strong</w:t>
      </w:r>
      <w:r w:rsidR="00DC752A" w:rsidRPr="00FF6E12">
        <w:t xml:space="preserve"> Families</w:t>
      </w:r>
      <w:r w:rsidR="00711537" w:rsidRPr="00FF6E12">
        <w:t>,</w:t>
      </w:r>
      <w:r w:rsidR="00DC752A" w:rsidRPr="00FF6E12">
        <w:t xml:space="preserve"> Safe Kids, </w:t>
      </w:r>
      <w:r w:rsidR="005C13C5" w:rsidRPr="00FF6E12">
        <w:rPr>
          <w:i/>
          <w:iCs/>
        </w:rPr>
        <w:t>When</w:t>
      </w:r>
      <w:r w:rsidR="00DC752A" w:rsidRPr="00FF6E12">
        <w:rPr>
          <w:i/>
          <w:iCs/>
        </w:rPr>
        <w:t xml:space="preserve"> a </w:t>
      </w:r>
      <w:r w:rsidR="004A5A50" w:rsidRPr="00FF6E12">
        <w:rPr>
          <w:i/>
          <w:iCs/>
        </w:rPr>
        <w:t>c</w:t>
      </w:r>
      <w:r w:rsidR="005C13C5" w:rsidRPr="00FF6E12">
        <w:rPr>
          <w:i/>
          <w:iCs/>
        </w:rPr>
        <w:t xml:space="preserve">hild </w:t>
      </w:r>
      <w:r w:rsidR="004A5A50" w:rsidRPr="00FF6E12">
        <w:rPr>
          <w:i/>
          <w:iCs/>
        </w:rPr>
        <w:t>n</w:t>
      </w:r>
      <w:r w:rsidR="005C13C5" w:rsidRPr="00FF6E12">
        <w:rPr>
          <w:i/>
          <w:iCs/>
        </w:rPr>
        <w:t>ee</w:t>
      </w:r>
      <w:r w:rsidR="004A5A50" w:rsidRPr="00FF6E12">
        <w:rPr>
          <w:i/>
          <w:iCs/>
        </w:rPr>
        <w:t>d</w:t>
      </w:r>
      <w:r w:rsidR="005C13C5" w:rsidRPr="00FF6E12">
        <w:rPr>
          <w:i/>
          <w:iCs/>
        </w:rPr>
        <w:t xml:space="preserve">s </w:t>
      </w:r>
      <w:r w:rsidR="004A5A50" w:rsidRPr="00FF6E12">
        <w:rPr>
          <w:i/>
          <w:iCs/>
        </w:rPr>
        <w:t>y</w:t>
      </w:r>
      <w:r w:rsidR="005C13C5" w:rsidRPr="00FF6E12">
        <w:rPr>
          <w:i/>
          <w:iCs/>
        </w:rPr>
        <w:t xml:space="preserve">our </w:t>
      </w:r>
      <w:r w:rsidR="004A5A50" w:rsidRPr="00FF6E12">
        <w:rPr>
          <w:i/>
          <w:iCs/>
        </w:rPr>
        <w:t>h</w:t>
      </w:r>
      <w:r w:rsidR="005C13C5" w:rsidRPr="00FF6E12">
        <w:rPr>
          <w:i/>
          <w:iCs/>
        </w:rPr>
        <w:t xml:space="preserve">elp, </w:t>
      </w:r>
      <w:r w:rsidR="004A5A50" w:rsidRPr="00FF6E12">
        <w:rPr>
          <w:i/>
          <w:iCs/>
        </w:rPr>
        <w:t>g</w:t>
      </w:r>
      <w:r w:rsidR="005C13C5" w:rsidRPr="00FF6E12">
        <w:rPr>
          <w:i/>
          <w:iCs/>
        </w:rPr>
        <w:t xml:space="preserve">et the </w:t>
      </w:r>
      <w:r w:rsidR="004A5A50" w:rsidRPr="00FF6E12">
        <w:rPr>
          <w:i/>
          <w:iCs/>
        </w:rPr>
        <w:t>h</w:t>
      </w:r>
      <w:r w:rsidR="005C13C5" w:rsidRPr="00FF6E12">
        <w:rPr>
          <w:i/>
          <w:iCs/>
        </w:rPr>
        <w:t xml:space="preserve">elp you </w:t>
      </w:r>
      <w:r w:rsidR="004A5A50" w:rsidRPr="00FF6E12">
        <w:rPr>
          <w:i/>
          <w:iCs/>
        </w:rPr>
        <w:t>n</w:t>
      </w:r>
      <w:r w:rsidR="005C13C5" w:rsidRPr="00FF6E12">
        <w:rPr>
          <w:i/>
          <w:iCs/>
        </w:rPr>
        <w:t>eed</w:t>
      </w:r>
      <w:r w:rsidR="004A5A50" w:rsidRPr="00FF6E12">
        <w:rPr>
          <w:i/>
          <w:iCs/>
        </w:rPr>
        <w:t xml:space="preserve"> </w:t>
      </w:r>
      <w:r w:rsidR="004A5A50" w:rsidRPr="00A920EC">
        <w:t>(Web page, nd)</w:t>
      </w:r>
      <w:r w:rsidR="005C13C5" w:rsidRPr="00A920EC">
        <w:t xml:space="preserve"> </w:t>
      </w:r>
      <w:r w:rsidRPr="00FF6E12">
        <w:t>&lt;https://strongfamiliessafekids.tas.gov.au/&gt;</w:t>
      </w:r>
      <w:r w:rsidR="00573142">
        <w:t>.</w:t>
      </w:r>
    </w:p>
  </w:footnote>
  <w:footnote w:id="458">
    <w:p w14:paraId="5D990A69" w14:textId="6579C644" w:rsidR="00D1649A" w:rsidRPr="00FF6E12" w:rsidRDefault="00D1649A" w:rsidP="00A920EC">
      <w:pPr>
        <w:pStyle w:val="FootnoteText"/>
      </w:pPr>
      <w:r w:rsidRPr="00FF6E12">
        <w:rPr>
          <w:rStyle w:val="FootnoteReference"/>
        </w:rPr>
        <w:footnoteRef/>
      </w:r>
      <w:r w:rsidRPr="00FF6E12">
        <w:t xml:space="preserve"> See </w:t>
      </w:r>
      <w:r w:rsidR="00387A4F" w:rsidRPr="00FF6E12">
        <w:t>[</w:t>
      </w:r>
      <w:r w:rsidR="00CA443E">
        <w:fldChar w:fldCharType="begin"/>
      </w:r>
      <w:r w:rsidR="00CA443E">
        <w:instrText xml:space="preserve"> REF _Ref218253000 \r \h </w:instrText>
      </w:r>
      <w:r w:rsidR="00CA443E">
        <w:fldChar w:fldCharType="separate"/>
      </w:r>
      <w:r w:rsidR="007D7830">
        <w:t>3.4</w:t>
      </w:r>
      <w:r w:rsidR="00CA443E">
        <w:fldChar w:fldCharType="end"/>
      </w:r>
      <w:r w:rsidR="00B93928" w:rsidRPr="00FF6E12">
        <w:t>]</w:t>
      </w:r>
      <w:r w:rsidRPr="00FF6E12">
        <w:t xml:space="preserve">. </w:t>
      </w:r>
    </w:p>
  </w:footnote>
  <w:footnote w:id="459">
    <w:p w14:paraId="53314CD0" w14:textId="2E8CBE3A" w:rsidR="00D1649A" w:rsidRPr="00FF6E12" w:rsidRDefault="00D1649A" w:rsidP="00A920EC">
      <w:pPr>
        <w:pStyle w:val="FootnoteText"/>
      </w:pPr>
      <w:r w:rsidRPr="00FF6E12">
        <w:rPr>
          <w:rStyle w:val="FootnoteReference"/>
        </w:rPr>
        <w:footnoteRef/>
      </w:r>
      <w:r w:rsidRPr="00FF6E12">
        <w:t xml:space="preserve"> </w:t>
      </w:r>
      <w:r w:rsidR="004A5A50" w:rsidRPr="00FF6E12">
        <w:rPr>
          <w:i/>
          <w:iCs/>
        </w:rPr>
        <w:t xml:space="preserve">Criminal Code </w:t>
      </w:r>
      <w:r w:rsidR="004A5A50" w:rsidRPr="00FF6E12">
        <w:t xml:space="preserve">(Tas) s </w:t>
      </w:r>
      <w:r w:rsidRPr="00FF6E12">
        <w:t xml:space="preserve">105A. </w:t>
      </w:r>
      <w:r w:rsidR="00711537" w:rsidRPr="00FF6E12">
        <w:t>Note</w:t>
      </w:r>
      <w:r w:rsidRPr="00FF6E12">
        <w:t xml:space="preserve"> that a prosecution under this section can only be commenced with the written authority of the </w:t>
      </w:r>
      <w:r w:rsidR="00053A3B" w:rsidRPr="00FF6E12">
        <w:t>Director of Public Prosecutions</w:t>
      </w:r>
      <w:r w:rsidR="004A5A50" w:rsidRPr="00FF6E12">
        <w:t xml:space="preserve">: </w:t>
      </w:r>
      <w:r w:rsidR="004A5A50" w:rsidRPr="00FF6E12">
        <w:rPr>
          <w:i/>
          <w:iCs/>
        </w:rPr>
        <w:t xml:space="preserve">Criminal Code </w:t>
      </w:r>
      <w:r w:rsidR="004A5A50" w:rsidRPr="00FF6E12">
        <w:t xml:space="preserve">(Tas) s </w:t>
      </w:r>
      <w:r w:rsidRPr="00FF6E12">
        <w:t xml:space="preserve">105A(6). See </w:t>
      </w:r>
      <w:r w:rsidR="004A5A50" w:rsidRPr="00FF6E12">
        <w:t xml:space="preserve">Director of Public Prosecutions Tasmania (n </w:t>
      </w:r>
      <w:r w:rsidR="004A5A50" w:rsidRPr="00FF6E12">
        <w:fldChar w:fldCharType="begin"/>
      </w:r>
      <w:r w:rsidR="004A5A50" w:rsidRPr="00FF6E12">
        <w:instrText xml:space="preserve"> NOTEREF _Ref217984282 \h </w:instrText>
      </w:r>
      <w:r w:rsidR="004A5A50" w:rsidRPr="00FF6E12">
        <w:fldChar w:fldCharType="separate"/>
      </w:r>
      <w:r w:rsidR="007D7830">
        <w:t>359</w:t>
      </w:r>
      <w:r w:rsidR="004A5A50" w:rsidRPr="00FF6E12">
        <w:fldChar w:fldCharType="end"/>
      </w:r>
      <w:r w:rsidR="004A5A50" w:rsidRPr="00FF6E12">
        <w:t xml:space="preserve">) </w:t>
      </w:r>
      <w:r w:rsidRPr="00FF6E12">
        <w:t>41.</w:t>
      </w:r>
    </w:p>
  </w:footnote>
  <w:footnote w:id="460">
    <w:p w14:paraId="3585BB2A" w14:textId="58241066" w:rsidR="008B0653" w:rsidRPr="00FF6E12" w:rsidRDefault="008B0653" w:rsidP="00A920EC">
      <w:pPr>
        <w:pStyle w:val="FootnoteText"/>
      </w:pPr>
      <w:r w:rsidRPr="00FF6E12">
        <w:rPr>
          <w:rStyle w:val="FootnoteReference"/>
        </w:rPr>
        <w:footnoteRef/>
      </w:r>
      <w:r w:rsidRPr="00FF6E12">
        <w:t xml:space="preserve"> </w:t>
      </w:r>
      <w:r w:rsidR="00CF5A5D" w:rsidRPr="00FF6E12">
        <w:t>Also s</w:t>
      </w:r>
      <w:r w:rsidRPr="00FF6E12">
        <w:t xml:space="preserve">ee discussion at </w:t>
      </w:r>
      <w:r w:rsidR="003919E0" w:rsidRPr="00FF6E12">
        <w:t>[</w:t>
      </w:r>
      <w:r w:rsidR="00CF5A5D" w:rsidRPr="00FF6E12">
        <w:fldChar w:fldCharType="begin"/>
      </w:r>
      <w:r w:rsidR="00CF5A5D" w:rsidRPr="00FF6E12">
        <w:instrText xml:space="preserve"> REF _Ref217988136 \r \h </w:instrText>
      </w:r>
      <w:r w:rsidR="00CF5A5D" w:rsidRPr="00FF6E12">
        <w:fldChar w:fldCharType="separate"/>
      </w:r>
      <w:r w:rsidR="007D7830">
        <w:t>8.2</w:t>
      </w:r>
      <w:r w:rsidR="00CF5A5D" w:rsidRPr="00FF6E12">
        <w:fldChar w:fldCharType="end"/>
      </w:r>
      <w:r w:rsidR="003919E0" w:rsidRPr="00FF6E12">
        <w:t>]</w:t>
      </w:r>
      <w:r w:rsidRPr="00FF6E12">
        <w:t>.</w:t>
      </w:r>
    </w:p>
  </w:footnote>
  <w:footnote w:id="461">
    <w:p w14:paraId="3339392F" w14:textId="77777777" w:rsidR="008B7834" w:rsidRPr="00FF6E12" w:rsidRDefault="008B7834">
      <w:pPr>
        <w:pStyle w:val="FootnoteText"/>
      </w:pPr>
      <w:r w:rsidRPr="00FF6E12">
        <w:rPr>
          <w:rStyle w:val="FootnoteReference"/>
        </w:rPr>
        <w:footnoteRef/>
      </w:r>
      <w:r w:rsidRPr="00FF6E12">
        <w:t xml:space="preserve"> </w:t>
      </w:r>
      <w:r w:rsidRPr="00FF6E12">
        <w:rPr>
          <w:i/>
          <w:iCs/>
        </w:rPr>
        <w:t xml:space="preserve">Youth Justice Act 1997 </w:t>
      </w:r>
      <w:r w:rsidRPr="00FF6E12">
        <w:t>(Tas) s 3 (definition of ‘youth’).</w:t>
      </w:r>
    </w:p>
  </w:footnote>
  <w:footnote w:id="462">
    <w:p w14:paraId="0A2EDE7F" w14:textId="40850F2D" w:rsidR="00DC186B" w:rsidRPr="00FF6E12" w:rsidRDefault="00DC186B">
      <w:pPr>
        <w:pStyle w:val="FootnoteText"/>
      </w:pPr>
      <w:r w:rsidRPr="00FF6E12">
        <w:rPr>
          <w:rStyle w:val="FootnoteReference"/>
        </w:rPr>
        <w:footnoteRef/>
      </w:r>
      <w:r w:rsidRPr="00FF6E12">
        <w:t xml:space="preserve"> </w:t>
      </w:r>
      <w:r w:rsidRPr="00FF6E12">
        <w:rPr>
          <w:i/>
          <w:iCs/>
        </w:rPr>
        <w:t xml:space="preserve">Youth Justice Act 1997 </w:t>
      </w:r>
      <w:r w:rsidRPr="00FF6E12">
        <w:t>(Tas) s</w:t>
      </w:r>
      <w:r w:rsidR="002A55CB" w:rsidRPr="00FF6E12">
        <w:t>s</w:t>
      </w:r>
      <w:r w:rsidRPr="00FF6E12">
        <w:t xml:space="preserve"> 3 (definition of </w:t>
      </w:r>
      <w:r w:rsidR="00CF5A5D" w:rsidRPr="00FF6E12">
        <w:t>‘</w:t>
      </w:r>
      <w:r w:rsidRPr="00FF6E12">
        <w:t>offence</w:t>
      </w:r>
      <w:r w:rsidR="00CF5A5D" w:rsidRPr="00FF6E12">
        <w:t>’</w:t>
      </w:r>
      <w:r w:rsidRPr="00FF6E12">
        <w:t xml:space="preserve">, definition of </w:t>
      </w:r>
      <w:r w:rsidR="00CF5A5D" w:rsidRPr="00FF6E12">
        <w:t>‘</w:t>
      </w:r>
      <w:r w:rsidRPr="00FF6E12">
        <w:t>prescribed offence</w:t>
      </w:r>
      <w:r w:rsidR="00CF5A5D" w:rsidRPr="00FF6E12">
        <w:t>’</w:t>
      </w:r>
      <w:r w:rsidRPr="00FF6E12">
        <w:t>), 161.</w:t>
      </w:r>
    </w:p>
  </w:footnote>
  <w:footnote w:id="463">
    <w:p w14:paraId="1B5DC030" w14:textId="5B3CD89D" w:rsidR="00C77A86" w:rsidRPr="00FF6E12" w:rsidRDefault="00C77A86">
      <w:pPr>
        <w:pStyle w:val="FootnoteText"/>
      </w:pPr>
      <w:r w:rsidRPr="00FF6E12">
        <w:rPr>
          <w:rStyle w:val="FootnoteReference"/>
        </w:rPr>
        <w:footnoteRef/>
      </w:r>
      <w:r w:rsidRPr="00FF6E12">
        <w:t xml:space="preserve"> </w:t>
      </w:r>
      <w:r w:rsidRPr="00FF6E12">
        <w:rPr>
          <w:i/>
          <w:iCs/>
        </w:rPr>
        <w:t xml:space="preserve">Youth Justice Act 1997 </w:t>
      </w:r>
      <w:r w:rsidRPr="00FF6E12">
        <w:t>(Tas)</w:t>
      </w:r>
      <w:r w:rsidR="00DC186B" w:rsidRPr="00FF6E12">
        <w:t xml:space="preserve"> s 3 (definition of </w:t>
      </w:r>
      <w:r w:rsidR="00CF5A5D" w:rsidRPr="00FF6E12">
        <w:t>‘</w:t>
      </w:r>
      <w:r w:rsidR="00DC186B" w:rsidRPr="00FF6E12">
        <w:t>prescribed offence</w:t>
      </w:r>
      <w:r w:rsidR="00CF5A5D" w:rsidRPr="00FF6E12">
        <w:t>’</w:t>
      </w:r>
      <w:r w:rsidR="00DC186B" w:rsidRPr="00FF6E12">
        <w:t>).</w:t>
      </w:r>
    </w:p>
  </w:footnote>
  <w:footnote w:id="464">
    <w:p w14:paraId="76A2B6BE" w14:textId="34DAA5B0" w:rsidR="00C77A86" w:rsidRPr="00FF6E12" w:rsidRDefault="00C77A86">
      <w:pPr>
        <w:pStyle w:val="FootnoteText"/>
      </w:pPr>
      <w:r w:rsidRPr="00FF6E12">
        <w:rPr>
          <w:rStyle w:val="FootnoteReference"/>
        </w:rPr>
        <w:footnoteRef/>
      </w:r>
      <w:r w:rsidRPr="00FF6E12">
        <w:t xml:space="preserve"> </w:t>
      </w:r>
      <w:r w:rsidRPr="00FF6E12">
        <w:rPr>
          <w:i/>
          <w:iCs/>
        </w:rPr>
        <w:t xml:space="preserve">Youth Justice Act 1997 </w:t>
      </w:r>
      <w:r w:rsidRPr="00FF6E12">
        <w:t>(Tas)</w:t>
      </w:r>
      <w:r w:rsidR="00DC186B" w:rsidRPr="00FF6E12">
        <w:t xml:space="preserve"> s 3 (definition of </w:t>
      </w:r>
      <w:r w:rsidR="00CF5A5D" w:rsidRPr="00FF6E12">
        <w:t>‘</w:t>
      </w:r>
      <w:r w:rsidR="00DC186B" w:rsidRPr="00FF6E12">
        <w:t>prescribed offence</w:t>
      </w:r>
      <w:r w:rsidR="00CF5A5D" w:rsidRPr="00FF6E12">
        <w:t>’</w:t>
      </w:r>
      <w:r w:rsidR="00DC186B" w:rsidRPr="00FF6E12">
        <w:t>).</w:t>
      </w:r>
    </w:p>
  </w:footnote>
  <w:footnote w:id="465">
    <w:p w14:paraId="5B4997E6" w14:textId="78A889B8" w:rsidR="00C77A86" w:rsidRPr="00FF6E12" w:rsidRDefault="00C77A86">
      <w:pPr>
        <w:pStyle w:val="FootnoteText"/>
      </w:pPr>
      <w:r w:rsidRPr="00FF6E12">
        <w:rPr>
          <w:rStyle w:val="FootnoteReference"/>
        </w:rPr>
        <w:footnoteRef/>
      </w:r>
      <w:r w:rsidRPr="00FF6E12">
        <w:t xml:space="preserve"> </w:t>
      </w:r>
      <w:r w:rsidRPr="00FF6E12">
        <w:rPr>
          <w:i/>
          <w:iCs/>
        </w:rPr>
        <w:t xml:space="preserve">Youth Justice Act 1997 </w:t>
      </w:r>
      <w:r w:rsidRPr="00FF6E12">
        <w:t>(Tas)</w:t>
      </w:r>
      <w:r w:rsidR="00DC186B" w:rsidRPr="00FF6E12">
        <w:t xml:space="preserve"> s 3 (definition of </w:t>
      </w:r>
      <w:r w:rsidR="00CF5A5D" w:rsidRPr="00FF6E12">
        <w:t>‘</w:t>
      </w:r>
      <w:r w:rsidR="00DC186B" w:rsidRPr="00FF6E12">
        <w:t>prescribed offence</w:t>
      </w:r>
      <w:r w:rsidR="00CF5A5D" w:rsidRPr="00FF6E12">
        <w:t>’</w:t>
      </w:r>
      <w:r w:rsidR="00DC186B" w:rsidRPr="00FF6E12">
        <w:t>).</w:t>
      </w:r>
    </w:p>
  </w:footnote>
  <w:footnote w:id="466">
    <w:p w14:paraId="31553C94" w14:textId="387D4FE5" w:rsidR="00C77A86" w:rsidRPr="00FF6E12" w:rsidRDefault="00C77A86">
      <w:pPr>
        <w:pStyle w:val="FootnoteText"/>
      </w:pPr>
      <w:r w:rsidRPr="00FF6E12">
        <w:rPr>
          <w:rStyle w:val="FootnoteReference"/>
        </w:rPr>
        <w:footnoteRef/>
      </w:r>
      <w:r w:rsidRPr="00FF6E12">
        <w:t xml:space="preserve"> </w:t>
      </w:r>
      <w:r w:rsidRPr="00FF6E12">
        <w:rPr>
          <w:i/>
          <w:iCs/>
        </w:rPr>
        <w:t xml:space="preserve">Youth Justice Act 1997 </w:t>
      </w:r>
      <w:r w:rsidRPr="00FF6E12">
        <w:t>(Tas)</w:t>
      </w:r>
      <w:r w:rsidR="00DC186B" w:rsidRPr="00FF6E12">
        <w:t xml:space="preserve"> s 3 (definition of </w:t>
      </w:r>
      <w:r w:rsidR="00CF5A5D" w:rsidRPr="00FF6E12">
        <w:t>‘</w:t>
      </w:r>
      <w:r w:rsidR="00DC186B" w:rsidRPr="00FF6E12">
        <w:t>prescribed offence</w:t>
      </w:r>
      <w:r w:rsidR="00CF5A5D" w:rsidRPr="00FF6E12">
        <w:t>’</w:t>
      </w:r>
      <w:r w:rsidR="00DC186B" w:rsidRPr="00FF6E12">
        <w:t>).</w:t>
      </w:r>
    </w:p>
  </w:footnote>
  <w:footnote w:id="467">
    <w:p w14:paraId="2E01D46E" w14:textId="36E561DD" w:rsidR="00C77A86" w:rsidRPr="00FF6E12" w:rsidRDefault="00C77A86">
      <w:pPr>
        <w:pStyle w:val="FootnoteText"/>
      </w:pPr>
      <w:r w:rsidRPr="00FF6E12">
        <w:rPr>
          <w:rStyle w:val="FootnoteReference"/>
        </w:rPr>
        <w:footnoteRef/>
      </w:r>
      <w:r w:rsidRPr="00FF6E12">
        <w:t xml:space="preserve"> </w:t>
      </w:r>
      <w:r w:rsidRPr="00A920EC">
        <w:rPr>
          <w:i/>
          <w:iCs/>
        </w:rPr>
        <w:t>Youth Justice Act 1997</w:t>
      </w:r>
      <w:r w:rsidRPr="00FF6E12">
        <w:t xml:space="preserve"> (Tas) s </w:t>
      </w:r>
      <w:r w:rsidR="00304940" w:rsidRPr="00FF6E12">
        <w:t>107</w:t>
      </w:r>
      <w:r w:rsidRPr="00FF6E12">
        <w:t>.</w:t>
      </w:r>
    </w:p>
  </w:footnote>
  <w:footnote w:id="468">
    <w:p w14:paraId="5D1779B9" w14:textId="4BA407E4" w:rsidR="00513546" w:rsidRPr="00FF6E12" w:rsidRDefault="00513546">
      <w:pPr>
        <w:pStyle w:val="FootnoteText"/>
      </w:pPr>
      <w:r w:rsidRPr="00FF6E12">
        <w:rPr>
          <w:rStyle w:val="FootnoteReference"/>
        </w:rPr>
        <w:footnoteRef/>
      </w:r>
      <w:r w:rsidRPr="00FF6E12">
        <w:t xml:space="preserve"> </w:t>
      </w:r>
      <w:r w:rsidR="002A55CB" w:rsidRPr="00A920EC">
        <w:rPr>
          <w:i/>
          <w:iCs/>
        </w:rPr>
        <w:t>Criminal Code</w:t>
      </w:r>
      <w:r w:rsidR="002A55CB" w:rsidRPr="00FF6E12">
        <w:t xml:space="preserve"> (Tas) ss</w:t>
      </w:r>
      <w:r w:rsidRPr="00FF6E12">
        <w:t xml:space="preserve"> 308(1)</w:t>
      </w:r>
      <w:r w:rsidR="00105819" w:rsidRPr="00FF6E12">
        <w:t xml:space="preserve">, </w:t>
      </w:r>
      <w:r w:rsidR="002A55CB" w:rsidRPr="00FF6E12">
        <w:t>308</w:t>
      </w:r>
      <w:r w:rsidR="00105819" w:rsidRPr="00FF6E12">
        <w:t>(4).</w:t>
      </w:r>
    </w:p>
  </w:footnote>
  <w:footnote w:id="469">
    <w:p w14:paraId="1685C8E2" w14:textId="1A801495" w:rsidR="00105819" w:rsidRPr="00FF6E12" w:rsidRDefault="00105819">
      <w:pPr>
        <w:pStyle w:val="FootnoteText"/>
      </w:pPr>
      <w:r w:rsidRPr="00FF6E12">
        <w:rPr>
          <w:rStyle w:val="FootnoteReference"/>
        </w:rPr>
        <w:footnoteRef/>
      </w:r>
      <w:r w:rsidRPr="00FF6E12">
        <w:t xml:space="preserve"> </w:t>
      </w:r>
      <w:r w:rsidRPr="00A920EC">
        <w:rPr>
          <w:i/>
          <w:iCs/>
        </w:rPr>
        <w:t>Youth Justice Act 1997</w:t>
      </w:r>
      <w:r w:rsidRPr="00FF6E12">
        <w:t xml:space="preserve"> (Tas) s </w:t>
      </w:r>
      <w:r w:rsidR="00940E8C" w:rsidRPr="00FF6E12">
        <w:t>160.</w:t>
      </w:r>
    </w:p>
  </w:footnote>
  <w:footnote w:id="470">
    <w:p w14:paraId="4C332A46" w14:textId="6ECF87CC" w:rsidR="0099628D" w:rsidRPr="00FF6E12" w:rsidRDefault="0099628D">
      <w:pPr>
        <w:pStyle w:val="FootnoteText"/>
      </w:pPr>
      <w:r w:rsidRPr="00FF6E12">
        <w:rPr>
          <w:rStyle w:val="FootnoteReference"/>
        </w:rPr>
        <w:footnoteRef/>
      </w:r>
      <w:r w:rsidRPr="00FF6E12">
        <w:t xml:space="preserve"> </w:t>
      </w:r>
      <w:r w:rsidR="00203A58" w:rsidRPr="00FF6E12">
        <w:t xml:space="preserve">Supreme Court of Tasmania, </w:t>
      </w:r>
      <w:r w:rsidR="006A7731" w:rsidRPr="00A920EC">
        <w:rPr>
          <w:i/>
          <w:iCs/>
        </w:rPr>
        <w:t>Practice Direct</w:t>
      </w:r>
      <w:r w:rsidR="00297565" w:rsidRPr="00A920EC">
        <w:rPr>
          <w:i/>
          <w:iCs/>
        </w:rPr>
        <w:t xml:space="preserve">ion </w:t>
      </w:r>
      <w:r w:rsidR="0029350C" w:rsidRPr="00A920EC">
        <w:rPr>
          <w:i/>
          <w:iCs/>
        </w:rPr>
        <w:t>No 2 of 2015</w:t>
      </w:r>
      <w:r w:rsidR="00DE35CE" w:rsidRPr="00A920EC">
        <w:rPr>
          <w:i/>
          <w:iCs/>
        </w:rPr>
        <w:t>: Remitting Of Criminal Matters To The Magistrates Court</w:t>
      </w:r>
      <w:r w:rsidR="00DE35CE" w:rsidRPr="00FF6E12">
        <w:t xml:space="preserve">, </w:t>
      </w:r>
      <w:r w:rsidR="00CF5A5D" w:rsidRPr="00FF6E12">
        <w:t>27 October 2015</w:t>
      </w:r>
      <w:r w:rsidR="003919E0" w:rsidRPr="00FF6E12">
        <w:t xml:space="preserve">. </w:t>
      </w:r>
      <w:r w:rsidRPr="00FF6E12">
        <w:t>The sexual offences listed are</w:t>
      </w:r>
      <w:r w:rsidR="00CF5A5D" w:rsidRPr="00FF6E12">
        <w:t>:</w:t>
      </w:r>
      <w:r w:rsidRPr="00FF6E12">
        <w:t xml:space="preserve"> </w:t>
      </w:r>
      <w:r w:rsidR="006A7731" w:rsidRPr="00FF6E12">
        <w:t>s</w:t>
      </w:r>
      <w:r w:rsidR="0052090C" w:rsidRPr="00FF6E12">
        <w:t xml:space="preserve"> </w:t>
      </w:r>
      <w:r w:rsidR="006A7731" w:rsidRPr="00FF6E12">
        <w:t xml:space="preserve">124(1) of the </w:t>
      </w:r>
      <w:r w:rsidR="006A7731" w:rsidRPr="00FF6E12">
        <w:rPr>
          <w:i/>
          <w:iCs/>
        </w:rPr>
        <w:t xml:space="preserve">Criminal Code </w:t>
      </w:r>
      <w:r w:rsidR="006A7731" w:rsidRPr="00FF6E12">
        <w:t>(Tas) where the accused is 25 years old or young</w:t>
      </w:r>
      <w:r w:rsidR="002A55CB" w:rsidRPr="00FF6E12">
        <w:t>er</w:t>
      </w:r>
      <w:r w:rsidR="006A7731" w:rsidRPr="00FF6E12">
        <w:t>, and the complain</w:t>
      </w:r>
      <w:r w:rsidR="00CF5A5D" w:rsidRPr="00FF6E12">
        <w:t>an</w:t>
      </w:r>
      <w:r w:rsidR="006A7731" w:rsidRPr="00FF6E12">
        <w:t>t is at least 15 years old</w:t>
      </w:r>
      <w:r w:rsidR="00CF5A5D" w:rsidRPr="00FF6E12">
        <w:t>;</w:t>
      </w:r>
      <w:r w:rsidR="006A7731" w:rsidRPr="00FF6E12">
        <w:t xml:space="preserve"> and charge</w:t>
      </w:r>
      <w:r w:rsidR="0052090C" w:rsidRPr="00FF6E12">
        <w:t>s</w:t>
      </w:r>
      <w:r w:rsidR="006A7731" w:rsidRPr="00FF6E12">
        <w:t xml:space="preserve"> of indecent assault</w:t>
      </w:r>
      <w:r w:rsidR="00CF5A5D" w:rsidRPr="00FF6E12">
        <w:t>,</w:t>
      </w:r>
      <w:r w:rsidR="006A7731" w:rsidRPr="00FF6E12">
        <w:t xml:space="preserve"> contrary to s 127</w:t>
      </w:r>
      <w:r w:rsidR="0052090C" w:rsidRPr="00FF6E12">
        <w:t xml:space="preserve"> of the</w:t>
      </w:r>
      <w:r w:rsidR="006A7731" w:rsidRPr="00FF6E12">
        <w:t xml:space="preserve"> </w:t>
      </w:r>
      <w:r w:rsidR="006A7731" w:rsidRPr="00FF6E12">
        <w:rPr>
          <w:i/>
          <w:iCs/>
        </w:rPr>
        <w:t>Criminal Code</w:t>
      </w:r>
      <w:r w:rsidR="0052090C" w:rsidRPr="00FF6E12">
        <w:rPr>
          <w:i/>
          <w:iCs/>
        </w:rPr>
        <w:t xml:space="preserve"> </w:t>
      </w:r>
      <w:r w:rsidR="0052090C" w:rsidRPr="00FF6E12">
        <w:t>(Tas)</w:t>
      </w:r>
      <w:r w:rsidR="006A7731" w:rsidRPr="00FF6E12">
        <w:t>, where the alleged assault appears to be relatively minor.</w:t>
      </w:r>
    </w:p>
  </w:footnote>
  <w:footnote w:id="471">
    <w:p w14:paraId="255CAC45" w14:textId="2A999260"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28.</w:t>
      </w:r>
    </w:p>
  </w:footnote>
  <w:footnote w:id="472">
    <w:p w14:paraId="6F498B56" w14:textId="60912AB0" w:rsidR="00D1649A" w:rsidRPr="00FF6E12" w:rsidRDefault="00D1649A">
      <w:pPr>
        <w:pStyle w:val="FootnoteText"/>
      </w:pPr>
      <w:r w:rsidRPr="00FF6E12">
        <w:rPr>
          <w:rStyle w:val="FootnoteReference"/>
        </w:rPr>
        <w:footnoteRef/>
      </w:r>
      <w:r w:rsidRPr="00FF6E12">
        <w:t xml:space="preserve"> </w:t>
      </w:r>
      <w:r w:rsidR="00CF5A5D" w:rsidRPr="00FF6E12">
        <w:rPr>
          <w:i/>
          <w:iCs/>
        </w:rPr>
        <w:t>Youth Justice Act 1997</w:t>
      </w:r>
      <w:r w:rsidR="00CF5A5D" w:rsidRPr="00FF6E12">
        <w:t xml:space="preserve"> (Tas) s</w:t>
      </w:r>
      <w:r w:rsidR="007342DA" w:rsidRPr="00FF6E12">
        <w:t xml:space="preserve"> </w:t>
      </w:r>
      <w:r w:rsidRPr="00FF6E12">
        <w:t>103(2).</w:t>
      </w:r>
    </w:p>
  </w:footnote>
  <w:footnote w:id="473">
    <w:p w14:paraId="73734BE3" w14:textId="3C1F9C85" w:rsidR="00D1649A" w:rsidRPr="00FF6E12" w:rsidRDefault="00D1649A">
      <w:pPr>
        <w:pStyle w:val="FootnoteText"/>
      </w:pPr>
      <w:r w:rsidRPr="00FF6E12">
        <w:rPr>
          <w:rStyle w:val="FootnoteReference"/>
        </w:rPr>
        <w:footnoteRef/>
      </w:r>
      <w:r w:rsidRPr="00FF6E12">
        <w:t xml:space="preserve"> </w:t>
      </w:r>
      <w:r w:rsidR="00CF5A5D" w:rsidRPr="00FF6E12">
        <w:rPr>
          <w:i/>
          <w:iCs/>
        </w:rPr>
        <w:t>Youth Justice Act 1997</w:t>
      </w:r>
      <w:r w:rsidR="00CF5A5D" w:rsidRPr="00FF6E12">
        <w:t xml:space="preserve"> (Tas) s</w:t>
      </w:r>
      <w:r w:rsidRPr="00FF6E12">
        <w:t xml:space="preserve"> 161A(1).</w:t>
      </w:r>
    </w:p>
  </w:footnote>
  <w:footnote w:id="474">
    <w:p w14:paraId="2F255BFF" w14:textId="5CED854B"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w:t>
      </w:r>
      <w:r w:rsidR="007342DA" w:rsidRPr="00FF6E12">
        <w:t>s</w:t>
      </w:r>
      <w:r w:rsidRPr="00FF6E12">
        <w:t>s 4, 5.</w:t>
      </w:r>
    </w:p>
  </w:footnote>
  <w:footnote w:id="475">
    <w:p w14:paraId="474724A5"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7.</w:t>
      </w:r>
    </w:p>
  </w:footnote>
  <w:footnote w:id="476">
    <w:p w14:paraId="43A13C96" w14:textId="5A94D257" w:rsidR="006017AA" w:rsidRPr="00FF6E12" w:rsidRDefault="006017AA">
      <w:pPr>
        <w:pStyle w:val="FootnoteText"/>
      </w:pPr>
      <w:r w:rsidRPr="00FF6E12">
        <w:rPr>
          <w:rStyle w:val="FootnoteReference"/>
        </w:rPr>
        <w:footnoteRef/>
      </w:r>
      <w:r w:rsidRPr="00FF6E12">
        <w:t xml:space="preserve"> </w:t>
      </w:r>
      <w:r w:rsidR="00D44A90" w:rsidRPr="00FF6E12">
        <w:t>See also Part 8.</w:t>
      </w:r>
    </w:p>
  </w:footnote>
  <w:footnote w:id="477">
    <w:p w14:paraId="0F55B412" w14:textId="0A5D2DB0" w:rsidR="00D1649A" w:rsidRPr="00FF6E12" w:rsidRDefault="00D1649A" w:rsidP="00A920EC">
      <w:pPr>
        <w:pStyle w:val="FootnoteText"/>
      </w:pPr>
      <w:r w:rsidRPr="00FF6E12">
        <w:rPr>
          <w:rStyle w:val="FootnoteReference"/>
        </w:rPr>
        <w:footnoteRef/>
      </w:r>
      <w:r w:rsidRPr="00FF6E12">
        <w:t xml:space="preserve"> See discussion in </w:t>
      </w:r>
      <w:r w:rsidR="00DE35CE" w:rsidRPr="00FF6E12">
        <w:t xml:space="preserve">YJRT </w:t>
      </w:r>
      <w:r w:rsidR="00247827" w:rsidRPr="00A920EC">
        <w:rPr>
          <w:i/>
          <w:iCs/>
        </w:rPr>
        <w:t>Framework</w:t>
      </w:r>
      <w:r w:rsidR="00247827" w:rsidRPr="00FF6E12">
        <w:t xml:space="preserve"> </w:t>
      </w:r>
      <w:r w:rsidR="00DE35CE" w:rsidRPr="00FF6E12">
        <w:t xml:space="preserve">(n </w:t>
      </w:r>
      <w:r w:rsidR="00DE35CE" w:rsidRPr="00FF6E12">
        <w:fldChar w:fldCharType="begin"/>
      </w:r>
      <w:r w:rsidR="00DE35CE" w:rsidRPr="00FF6E12">
        <w:instrText xml:space="preserve"> NOTEREF _Ref217903737 \h </w:instrText>
      </w:r>
      <w:r w:rsidR="00DE35CE" w:rsidRPr="00FF6E12">
        <w:fldChar w:fldCharType="separate"/>
      </w:r>
      <w:r w:rsidR="007D7830">
        <w:t>37</w:t>
      </w:r>
      <w:r w:rsidR="00DE35CE" w:rsidRPr="00FF6E12">
        <w:fldChar w:fldCharType="end"/>
      </w:r>
      <w:r w:rsidR="00DE35CE" w:rsidRPr="00FF6E12">
        <w:t>)</w:t>
      </w:r>
      <w:r w:rsidRPr="00FF6E12">
        <w:t>.</w:t>
      </w:r>
      <w:r w:rsidR="00F87503" w:rsidRPr="00FF6E12">
        <w:t xml:space="preserve"> See also </w:t>
      </w:r>
      <w:r w:rsidR="00DE35CE" w:rsidRPr="00FF6E12">
        <w:t xml:space="preserve">YJRT </w:t>
      </w:r>
      <w:r w:rsidR="00247827" w:rsidRPr="00A920EC">
        <w:rPr>
          <w:i/>
          <w:iCs/>
        </w:rPr>
        <w:t>Model of Care</w:t>
      </w:r>
      <w:r w:rsidR="00247827" w:rsidRPr="00FF6E12">
        <w:t xml:space="preserve"> </w:t>
      </w:r>
      <w:r w:rsidR="00DE35CE" w:rsidRPr="00FF6E12">
        <w:t xml:space="preserve">(n </w:t>
      </w:r>
      <w:r w:rsidR="00DE35CE" w:rsidRPr="00FF6E12">
        <w:fldChar w:fldCharType="begin"/>
      </w:r>
      <w:r w:rsidR="00DE35CE" w:rsidRPr="00FF6E12">
        <w:instrText xml:space="preserve"> NOTEREF _Ref217905264 \h </w:instrText>
      </w:r>
      <w:r w:rsidR="00DE35CE" w:rsidRPr="00FF6E12">
        <w:fldChar w:fldCharType="separate"/>
      </w:r>
      <w:r w:rsidR="007D7830">
        <w:t>38</w:t>
      </w:r>
      <w:r w:rsidR="00DE35CE" w:rsidRPr="00FF6E12">
        <w:fldChar w:fldCharType="end"/>
      </w:r>
      <w:r w:rsidR="00DE35CE" w:rsidRPr="00FF6E12">
        <w:t>)</w:t>
      </w:r>
      <w:r w:rsidR="00F87503" w:rsidRPr="00FF6E12">
        <w:t>.</w:t>
      </w:r>
    </w:p>
  </w:footnote>
  <w:footnote w:id="478">
    <w:p w14:paraId="65E9E01E" w14:textId="6DCED8B6" w:rsidR="00D1649A" w:rsidRPr="00FF6E12" w:rsidRDefault="00D1649A" w:rsidP="00A920EC">
      <w:pPr>
        <w:pStyle w:val="FootnoteText"/>
      </w:pPr>
      <w:r w:rsidRPr="00FF6E12">
        <w:rPr>
          <w:rStyle w:val="FootnoteReference"/>
        </w:rPr>
        <w:footnoteRef/>
      </w:r>
      <w:r w:rsidRPr="00FF6E12">
        <w:t xml:space="preserve"> The </w:t>
      </w:r>
      <w:r w:rsidR="00053A3B" w:rsidRPr="00FF6E12">
        <w:t xml:space="preserve">Director of Public </w:t>
      </w:r>
      <w:r w:rsidR="00C73B99" w:rsidRPr="00FF6E12">
        <w:t>Prosecution’s</w:t>
      </w:r>
      <w:r w:rsidRPr="00FF6E12">
        <w:t xml:space="preserve"> guidelines explain that the test that is applied to decision to prosecute is that’ there is reasonable prospect of conviction on the available and admissible evidence’, </w:t>
      </w:r>
      <w:r w:rsidR="00674FC2" w:rsidRPr="00FF6E12">
        <w:t xml:space="preserve">Director of Public Prosecutions Tasmania (n </w:t>
      </w:r>
      <w:r w:rsidR="00674FC2" w:rsidRPr="00FF6E12">
        <w:fldChar w:fldCharType="begin"/>
      </w:r>
      <w:r w:rsidR="00674FC2" w:rsidRPr="00FF6E12">
        <w:instrText xml:space="preserve"> NOTEREF _Ref217984282 \h </w:instrText>
      </w:r>
      <w:r w:rsidR="00674FC2" w:rsidRPr="00FF6E12">
        <w:fldChar w:fldCharType="separate"/>
      </w:r>
      <w:r w:rsidR="007D7830">
        <w:t>359</w:t>
      </w:r>
      <w:r w:rsidR="00674FC2" w:rsidRPr="00FF6E12">
        <w:fldChar w:fldCharType="end"/>
      </w:r>
      <w:r w:rsidR="00674FC2" w:rsidRPr="00FF6E12">
        <w:t xml:space="preserve">) </w:t>
      </w:r>
      <w:r w:rsidRPr="00FF6E12">
        <w:t xml:space="preserve">5. The decision for police to charge is a lower standard: satisfied that the legal ingredients are present to justify the laying of a complaint, ie a prima facie case has been made out, </w:t>
      </w:r>
      <w:r w:rsidR="00674FC2" w:rsidRPr="00FF6E12">
        <w:t xml:space="preserve">Director of Public Prosecutions Tasmania (n </w:t>
      </w:r>
      <w:r w:rsidR="00674FC2" w:rsidRPr="00FF6E12">
        <w:fldChar w:fldCharType="begin"/>
      </w:r>
      <w:r w:rsidR="00674FC2" w:rsidRPr="00FF6E12">
        <w:instrText xml:space="preserve"> NOTEREF _Ref217984282 \h </w:instrText>
      </w:r>
      <w:r w:rsidR="00674FC2" w:rsidRPr="00FF6E12">
        <w:fldChar w:fldCharType="separate"/>
      </w:r>
      <w:r w:rsidR="007D7830">
        <w:t>359</w:t>
      </w:r>
      <w:r w:rsidR="00674FC2" w:rsidRPr="00FF6E12">
        <w:fldChar w:fldCharType="end"/>
      </w:r>
      <w:r w:rsidR="00674FC2" w:rsidRPr="00FF6E12">
        <w:t xml:space="preserve">) </w:t>
      </w:r>
      <w:r w:rsidRPr="00FF6E12">
        <w:t>36.</w:t>
      </w:r>
    </w:p>
  </w:footnote>
  <w:footnote w:id="479">
    <w:p w14:paraId="5847C6F9" w14:textId="1974B95A" w:rsidR="00D1649A" w:rsidRPr="00FF6E12" w:rsidRDefault="00D1649A">
      <w:pPr>
        <w:pStyle w:val="FootnoteText"/>
      </w:pPr>
      <w:r w:rsidRPr="00FF6E12">
        <w:rPr>
          <w:rStyle w:val="FootnoteReference"/>
        </w:rPr>
        <w:footnoteRef/>
      </w:r>
      <w:r w:rsidRPr="00FF6E12">
        <w:t xml:space="preserve"> </w:t>
      </w:r>
      <w:r w:rsidR="002A786C" w:rsidRPr="00FF6E12">
        <w:t>Participant</w:t>
      </w:r>
      <w:r w:rsidRPr="00FF6E12">
        <w:t xml:space="preserve"> 22</w:t>
      </w:r>
      <w:r w:rsidR="00B24975" w:rsidRPr="00FF6E12">
        <w:t>.</w:t>
      </w:r>
    </w:p>
  </w:footnote>
  <w:footnote w:id="480">
    <w:p w14:paraId="54A923C2" w14:textId="183247BB" w:rsidR="00D1649A" w:rsidRPr="00FF6E12" w:rsidRDefault="00D1649A">
      <w:pPr>
        <w:pStyle w:val="FootnoteText"/>
      </w:pPr>
      <w:r w:rsidRPr="00FF6E12">
        <w:rPr>
          <w:rStyle w:val="FootnoteReference"/>
        </w:rPr>
        <w:footnoteRef/>
      </w:r>
      <w:r w:rsidRPr="00FF6E12">
        <w:t xml:space="preserve"> </w:t>
      </w:r>
      <w:r w:rsidRPr="00FF6E12">
        <w:rPr>
          <w:i/>
          <w:iCs/>
        </w:rPr>
        <w:t xml:space="preserve">Youth Justice Act 1997 </w:t>
      </w:r>
      <w:r w:rsidRPr="00FF6E12">
        <w:t>(Tas) s 3 (definition</w:t>
      </w:r>
      <w:r w:rsidR="00296B76">
        <w:t>s</w:t>
      </w:r>
      <w:r w:rsidRPr="00FF6E12">
        <w:t xml:space="preserve"> of </w:t>
      </w:r>
      <w:r w:rsidR="00674FC2" w:rsidRPr="00FF6E12">
        <w:t>‘</w:t>
      </w:r>
      <w:r w:rsidRPr="00FF6E12">
        <w:t>offence</w:t>
      </w:r>
      <w:r w:rsidR="00674FC2" w:rsidRPr="00FF6E12">
        <w:t>’</w:t>
      </w:r>
      <w:r w:rsidRPr="00FF6E12">
        <w:t xml:space="preserve">, </w:t>
      </w:r>
      <w:r w:rsidR="00674FC2" w:rsidRPr="00FF6E12">
        <w:t>‘</w:t>
      </w:r>
      <w:r w:rsidRPr="00FF6E12">
        <w:t>prescribed offence’).</w:t>
      </w:r>
    </w:p>
  </w:footnote>
  <w:footnote w:id="481">
    <w:p w14:paraId="77CDB97E" w14:textId="0AEAACE1" w:rsidR="00D1649A" w:rsidRPr="00FF6E12" w:rsidRDefault="00D1649A">
      <w:pPr>
        <w:pStyle w:val="FootnoteText"/>
      </w:pPr>
      <w:r w:rsidRPr="00FF6E12">
        <w:rPr>
          <w:rStyle w:val="FootnoteReference"/>
        </w:rPr>
        <w:footnoteRef/>
      </w:r>
      <w:r w:rsidRPr="00FF6E12">
        <w:t xml:space="preserve"> See Appendix </w:t>
      </w:r>
      <w:r w:rsidR="00B24975" w:rsidRPr="00FF6E12">
        <w:t>B</w:t>
      </w:r>
      <w:r w:rsidRPr="00FF6E12">
        <w:t>.</w:t>
      </w:r>
    </w:p>
  </w:footnote>
  <w:footnote w:id="482">
    <w:p w14:paraId="27B60442" w14:textId="2DB04CEF" w:rsidR="00D1649A" w:rsidRPr="00FF6E12" w:rsidRDefault="00D1649A">
      <w:pPr>
        <w:pStyle w:val="FootnoteText"/>
      </w:pPr>
      <w:r w:rsidRPr="00FF6E12">
        <w:rPr>
          <w:rStyle w:val="FootnoteReference"/>
        </w:rPr>
        <w:footnoteRef/>
      </w:r>
      <w:r w:rsidRPr="00FF6E12">
        <w:t xml:space="preserve"> See Appendix </w:t>
      </w:r>
      <w:r w:rsidR="00B24975" w:rsidRPr="00FF6E12">
        <w:t>B</w:t>
      </w:r>
      <w:r w:rsidRPr="00FF6E12">
        <w:t>.</w:t>
      </w:r>
    </w:p>
  </w:footnote>
  <w:footnote w:id="483">
    <w:p w14:paraId="0CCE2FF2" w14:textId="3639550B" w:rsidR="00D1649A" w:rsidRPr="00FF6E12" w:rsidRDefault="00D1649A">
      <w:pPr>
        <w:pStyle w:val="FootnoteText"/>
      </w:pPr>
      <w:r w:rsidRPr="00FF6E12">
        <w:rPr>
          <w:rStyle w:val="FootnoteReference"/>
        </w:rPr>
        <w:footnoteRef/>
      </w:r>
      <w:r w:rsidRPr="00FF6E12">
        <w:t xml:space="preserve"> See </w:t>
      </w:r>
      <w:r w:rsidR="00674FC2" w:rsidRPr="00FF6E12">
        <w:rPr>
          <w:i/>
          <w:iCs/>
        </w:rPr>
        <w:t xml:space="preserve">Youth Justice Act 1997 </w:t>
      </w:r>
      <w:r w:rsidR="00674FC2" w:rsidRPr="00FF6E12">
        <w:t xml:space="preserve">(Tas) </w:t>
      </w:r>
      <w:r w:rsidRPr="00FF6E12">
        <w:t xml:space="preserve">ss 9(2), </w:t>
      </w:r>
      <w:r w:rsidR="00674FC2" w:rsidRPr="00FF6E12">
        <w:t>9</w:t>
      </w:r>
      <w:r w:rsidRPr="00FF6E12">
        <w:t>(6)(d).</w:t>
      </w:r>
    </w:p>
  </w:footnote>
  <w:footnote w:id="484">
    <w:p w14:paraId="5D1213D4" w14:textId="042CCD83" w:rsidR="00D1649A" w:rsidRPr="00FF6E12" w:rsidRDefault="00D1649A">
      <w:pPr>
        <w:pStyle w:val="FootnoteText"/>
      </w:pPr>
      <w:r w:rsidRPr="00FF6E12">
        <w:rPr>
          <w:rStyle w:val="FootnoteReference"/>
        </w:rPr>
        <w:footnoteRef/>
      </w:r>
      <w:r w:rsidRPr="00FF6E12">
        <w:t xml:space="preserve"> See </w:t>
      </w:r>
      <w:r w:rsidR="00350D4E" w:rsidRPr="00FF6E12">
        <w:t xml:space="preserve">TSAC (n </w:t>
      </w:r>
      <w:r w:rsidR="00350D4E" w:rsidRPr="00FF6E12">
        <w:fldChar w:fldCharType="begin"/>
      </w:r>
      <w:r w:rsidR="00350D4E" w:rsidRPr="00FF6E12">
        <w:instrText xml:space="preserve"> NOTEREF _Ref217929806 \h </w:instrText>
      </w:r>
      <w:r w:rsidR="00350D4E" w:rsidRPr="00FF6E12">
        <w:fldChar w:fldCharType="separate"/>
      </w:r>
      <w:r w:rsidR="007D7830">
        <w:t>167</w:t>
      </w:r>
      <w:r w:rsidR="00350D4E" w:rsidRPr="00FF6E12">
        <w:fldChar w:fldCharType="end"/>
      </w:r>
      <w:r w:rsidR="00350D4E" w:rsidRPr="00FF6E12">
        <w:t>)</w:t>
      </w:r>
      <w:r w:rsidR="00BA7514" w:rsidRPr="00FF6E12">
        <w:t>.</w:t>
      </w:r>
    </w:p>
  </w:footnote>
  <w:footnote w:id="485">
    <w:p w14:paraId="198F9FB5" w14:textId="0E2EE828" w:rsidR="00D1649A" w:rsidRPr="00FF6E12" w:rsidRDefault="00D1649A">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pt</w:t>
      </w:r>
      <w:r w:rsidR="008D1630" w:rsidRPr="00FF6E12">
        <w:t xml:space="preserve"> </w:t>
      </w:r>
      <w:r w:rsidRPr="00FF6E12">
        <w:t xml:space="preserve">5 </w:t>
      </w:r>
      <w:r w:rsidR="00A214D5" w:rsidRPr="00FF6E12">
        <w:t xml:space="preserve">ch </w:t>
      </w:r>
      <w:r w:rsidRPr="00FF6E12">
        <w:t>12 [5.3.4]</w:t>
      </w:r>
      <w:r w:rsidR="00A214D5" w:rsidRPr="00FF6E12">
        <w:t>,</w:t>
      </w:r>
      <w:r w:rsidRPr="00FF6E12">
        <w:t xml:space="preserve"> quoting the Commissioner for Children.</w:t>
      </w:r>
    </w:p>
  </w:footnote>
  <w:footnote w:id="486">
    <w:p w14:paraId="05CE68BA" w14:textId="12885A1A" w:rsidR="00855C72" w:rsidRPr="00FF6E12" w:rsidRDefault="00855C72">
      <w:pPr>
        <w:pStyle w:val="FootnoteText"/>
      </w:pPr>
      <w:r w:rsidRPr="00FF6E12">
        <w:rPr>
          <w:rStyle w:val="FootnoteReference"/>
        </w:rPr>
        <w:footnoteRef/>
      </w:r>
      <w:r w:rsidRPr="00FF6E12">
        <w:t xml:space="preserve"> </w:t>
      </w:r>
      <w:r w:rsidR="00760D38" w:rsidRPr="00FF6E12">
        <w:t xml:space="preserve">See generally </w:t>
      </w:r>
      <w:r w:rsidR="00806A3B" w:rsidRPr="00FF6E12">
        <w:t xml:space="preserve">Prichard </w:t>
      </w:r>
      <w:r w:rsidR="00281CB2" w:rsidRPr="00FF6E12">
        <w:t xml:space="preserve">(n </w:t>
      </w:r>
      <w:r w:rsidR="00D67B12" w:rsidRPr="00FF6E12">
        <w:fldChar w:fldCharType="begin"/>
      </w:r>
      <w:r w:rsidR="00D67B12" w:rsidRPr="00FF6E12">
        <w:instrText xml:space="preserve"> NOTEREF _Ref217997405 \h </w:instrText>
      </w:r>
      <w:r w:rsidR="00D67B12" w:rsidRPr="00FF6E12">
        <w:fldChar w:fldCharType="separate"/>
      </w:r>
      <w:r w:rsidR="007D7830">
        <w:t>434</w:t>
      </w:r>
      <w:r w:rsidR="00D67B12" w:rsidRPr="00FF6E12">
        <w:fldChar w:fldCharType="end"/>
      </w:r>
      <w:r w:rsidR="006A7F0F" w:rsidRPr="00FF6E12">
        <w:t>)</w:t>
      </w:r>
      <w:r w:rsidR="00760D38" w:rsidRPr="00FF6E12">
        <w:t xml:space="preserve"> ch 2.</w:t>
      </w:r>
    </w:p>
  </w:footnote>
  <w:footnote w:id="487">
    <w:p w14:paraId="35EEA79D"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8(2).</w:t>
      </w:r>
    </w:p>
  </w:footnote>
  <w:footnote w:id="488">
    <w:p w14:paraId="1FA1091B" w14:textId="5DCEC501" w:rsidR="00D1649A" w:rsidRPr="00FF6E12" w:rsidRDefault="00D1649A">
      <w:pPr>
        <w:pStyle w:val="FootnoteText"/>
      </w:pPr>
      <w:r w:rsidRPr="00FF6E12">
        <w:rPr>
          <w:rStyle w:val="FootnoteReference"/>
        </w:rPr>
        <w:footnoteRef/>
      </w:r>
      <w:r w:rsidRPr="00FF6E12">
        <w:t xml:space="preserve"> </w:t>
      </w:r>
      <w:r w:rsidRPr="00FF6E12">
        <w:rPr>
          <w:i/>
          <w:iCs/>
        </w:rPr>
        <w:t xml:space="preserve">Tasmania Police Manual </w:t>
      </w:r>
      <w:r w:rsidRPr="00FF6E12">
        <w:t>(</w:t>
      </w:r>
      <w:r w:rsidR="00DD5C42">
        <w:t xml:space="preserve">Tasmania Police, </w:t>
      </w:r>
      <w:r w:rsidRPr="00FF6E12">
        <w:t>March 2025) [9.1.4].</w:t>
      </w:r>
    </w:p>
  </w:footnote>
  <w:footnote w:id="489">
    <w:p w14:paraId="7FE706D4" w14:textId="0D03B2DD" w:rsidR="00D1649A" w:rsidRPr="00FF6E12" w:rsidRDefault="00D1649A">
      <w:pPr>
        <w:pStyle w:val="FootnoteText"/>
      </w:pPr>
      <w:r w:rsidRPr="00FF6E12">
        <w:rPr>
          <w:rStyle w:val="FootnoteReference"/>
        </w:rPr>
        <w:footnoteRef/>
      </w:r>
      <w:r w:rsidRPr="00FF6E12">
        <w:t xml:space="preserve"> This is where the young person doesn’t agree with being formally caution</w:t>
      </w:r>
      <w:r w:rsidR="00D67B12" w:rsidRPr="00FF6E12">
        <w:t>,</w:t>
      </w:r>
      <w:r w:rsidRPr="00FF6E12">
        <w:t xml:space="preserve"> or will not sign the formal caution or enter an undertaking if required to do so, </w:t>
      </w:r>
      <w:r w:rsidR="008D1630" w:rsidRPr="00FF6E12">
        <w:rPr>
          <w:i/>
          <w:iCs/>
        </w:rPr>
        <w:t xml:space="preserve">Youth Justice Act 1997 </w:t>
      </w:r>
      <w:r w:rsidR="008D1630" w:rsidRPr="00FF6E12">
        <w:t xml:space="preserve">(Tas) </w:t>
      </w:r>
      <w:r w:rsidRPr="00FF6E12">
        <w:t>s 9(6)(b).</w:t>
      </w:r>
    </w:p>
  </w:footnote>
  <w:footnote w:id="490">
    <w:p w14:paraId="5CFDF1CB" w14:textId="76ED5C7D" w:rsidR="00D1649A" w:rsidRPr="00FF6E12" w:rsidRDefault="00D1649A">
      <w:pPr>
        <w:pStyle w:val="FootnoteText"/>
      </w:pPr>
      <w:r w:rsidRPr="00FF6E12">
        <w:rPr>
          <w:rStyle w:val="FootnoteReference"/>
        </w:rPr>
        <w:footnoteRef/>
      </w:r>
      <w:r w:rsidRPr="00FF6E12">
        <w:t xml:space="preserve"> This is where the young person doesn’t agree with a community conference being convened or entering into an undertaking to attend the community conference, </w:t>
      </w:r>
      <w:r w:rsidR="008D1630" w:rsidRPr="00FF6E12">
        <w:rPr>
          <w:i/>
          <w:iCs/>
        </w:rPr>
        <w:t xml:space="preserve">Youth Justice Act 1997 </w:t>
      </w:r>
      <w:r w:rsidR="008D1630" w:rsidRPr="00FF6E12">
        <w:t xml:space="preserve">(Tas) </w:t>
      </w:r>
      <w:r w:rsidRPr="00FF6E12">
        <w:t>s 9(6)(c).</w:t>
      </w:r>
    </w:p>
  </w:footnote>
  <w:footnote w:id="491">
    <w:p w14:paraId="1531DF7A"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9(6).</w:t>
      </w:r>
    </w:p>
  </w:footnote>
  <w:footnote w:id="492">
    <w:p w14:paraId="3556FFEC"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9(2)(c).</w:t>
      </w:r>
    </w:p>
  </w:footnote>
  <w:footnote w:id="493">
    <w:p w14:paraId="65A4C7D7"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9(2)(a).</w:t>
      </w:r>
    </w:p>
  </w:footnote>
  <w:footnote w:id="494">
    <w:p w14:paraId="7D936B67" w14:textId="1EDF9865"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w:t>
      </w:r>
      <w:r w:rsidR="00917D13" w:rsidRPr="00FF6E12">
        <w:t xml:space="preserve"> </w:t>
      </w:r>
      <w:r w:rsidRPr="00FF6E12">
        <w:t>9(2)(b).</w:t>
      </w:r>
    </w:p>
  </w:footnote>
  <w:footnote w:id="495">
    <w:p w14:paraId="1B8C48A1"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9(4).</w:t>
      </w:r>
    </w:p>
  </w:footnote>
  <w:footnote w:id="496">
    <w:p w14:paraId="6FCB05DA"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9(3).</w:t>
      </w:r>
    </w:p>
  </w:footnote>
  <w:footnote w:id="497">
    <w:p w14:paraId="7804B404" w14:textId="448A2E6F" w:rsidR="00D75AE0" w:rsidRPr="00FF6E12" w:rsidRDefault="00D75AE0">
      <w:pPr>
        <w:pStyle w:val="FootnoteText"/>
      </w:pPr>
      <w:r w:rsidRPr="00FF6E12">
        <w:rPr>
          <w:rStyle w:val="FootnoteReference"/>
        </w:rPr>
        <w:footnoteRef/>
      </w:r>
      <w:r w:rsidRPr="00FF6E12">
        <w:t xml:space="preserve"> </w:t>
      </w:r>
      <w:r w:rsidR="00C42B94" w:rsidRPr="00FF6E12">
        <w:t>Prichard (n</w:t>
      </w:r>
      <w:r w:rsidR="00C42B94">
        <w:t xml:space="preserve"> </w:t>
      </w:r>
      <w:r w:rsidR="00C42B94">
        <w:fldChar w:fldCharType="begin"/>
      </w:r>
      <w:r w:rsidR="00C42B94">
        <w:instrText xml:space="preserve"> NOTEREF _Ref217997405 \h </w:instrText>
      </w:r>
      <w:r w:rsidR="00C42B94">
        <w:fldChar w:fldCharType="separate"/>
      </w:r>
      <w:r w:rsidR="007D7830">
        <w:t>434</w:t>
      </w:r>
      <w:r w:rsidR="00C42B94">
        <w:fldChar w:fldCharType="end"/>
      </w:r>
      <w:r w:rsidR="00C42B94" w:rsidRPr="00FF6E12">
        <w:t xml:space="preserve">) </w:t>
      </w:r>
      <w:r w:rsidR="003F163B" w:rsidRPr="00FF6E12">
        <w:t>116</w:t>
      </w:r>
      <w:r w:rsidR="0016638C" w:rsidRPr="00FF6E12">
        <w:t>–</w:t>
      </w:r>
      <w:r w:rsidR="003F163B" w:rsidRPr="00FF6E12">
        <w:t>118.</w:t>
      </w:r>
    </w:p>
  </w:footnote>
  <w:footnote w:id="498">
    <w:p w14:paraId="5DEFCFBE" w14:textId="26C4683B" w:rsidR="002C60F2" w:rsidRPr="00FF6E12" w:rsidRDefault="002C60F2">
      <w:pPr>
        <w:pStyle w:val="FootnoteText"/>
      </w:pPr>
      <w:r w:rsidRPr="00FF6E12">
        <w:rPr>
          <w:rStyle w:val="FootnoteReference"/>
        </w:rPr>
        <w:footnoteRef/>
      </w:r>
      <w:r w:rsidRPr="00FF6E12">
        <w:t xml:space="preserve"> </w:t>
      </w:r>
      <w:r w:rsidR="00CD52BF" w:rsidRPr="00FF6E12">
        <w:t>Ibid.</w:t>
      </w:r>
    </w:p>
  </w:footnote>
  <w:footnote w:id="499">
    <w:p w14:paraId="24D15687"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10(1).</w:t>
      </w:r>
    </w:p>
  </w:footnote>
  <w:footnote w:id="500">
    <w:p w14:paraId="0DF139EF"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11.</w:t>
      </w:r>
    </w:p>
  </w:footnote>
  <w:footnote w:id="501">
    <w:p w14:paraId="7A4844D6" w14:textId="77777777" w:rsidR="00D1649A" w:rsidRPr="00FF6E12" w:rsidRDefault="00D1649A" w:rsidP="00A920EC">
      <w:pPr>
        <w:pStyle w:val="FootnoteText"/>
      </w:pPr>
      <w:r w:rsidRPr="00FF6E12">
        <w:rPr>
          <w:rStyle w:val="FootnoteReference"/>
        </w:rPr>
        <w:footnoteRef/>
      </w:r>
      <w:r w:rsidRPr="00FF6E12">
        <w:t xml:space="preserve"> </w:t>
      </w:r>
      <w:r w:rsidRPr="00A920EC">
        <w:rPr>
          <w:i/>
          <w:iCs/>
        </w:rPr>
        <w:t>Youth Justice Act 1997</w:t>
      </w:r>
      <w:r w:rsidRPr="00FF6E12">
        <w:t xml:space="preserve"> (Tas) s 19(4)(a).</w:t>
      </w:r>
    </w:p>
  </w:footnote>
  <w:footnote w:id="502">
    <w:p w14:paraId="4185BCBB" w14:textId="77777777" w:rsidR="00D1649A" w:rsidRPr="00FF6E12" w:rsidRDefault="00D1649A" w:rsidP="00A920EC">
      <w:pPr>
        <w:pStyle w:val="FootnoteText"/>
      </w:pPr>
      <w:r w:rsidRPr="00FF6E12">
        <w:rPr>
          <w:rStyle w:val="FootnoteReference"/>
        </w:rPr>
        <w:footnoteRef/>
      </w:r>
      <w:r w:rsidRPr="00FF6E12">
        <w:t xml:space="preserve"> </w:t>
      </w:r>
      <w:r w:rsidRPr="00FF6E12">
        <w:rPr>
          <w:i/>
          <w:iCs/>
        </w:rPr>
        <w:t xml:space="preserve">Youth Justice Act 1997 </w:t>
      </w:r>
      <w:r w:rsidRPr="00FF6E12">
        <w:t>(Tas) ss 6A, 10(2)(c).</w:t>
      </w:r>
    </w:p>
  </w:footnote>
  <w:footnote w:id="503">
    <w:p w14:paraId="42A6167E" w14:textId="77777777" w:rsidR="00D1649A" w:rsidRPr="00FF6E12" w:rsidRDefault="00D1649A">
      <w:pPr>
        <w:pStyle w:val="FootnoteText"/>
      </w:pPr>
      <w:r w:rsidRPr="00FF6E12">
        <w:rPr>
          <w:rStyle w:val="FootnoteReference"/>
        </w:rPr>
        <w:footnoteRef/>
      </w:r>
      <w:r w:rsidRPr="00FF6E12">
        <w:t xml:space="preserve"> </w:t>
      </w:r>
      <w:r w:rsidRPr="00FF6E12">
        <w:rPr>
          <w:i/>
          <w:iCs/>
        </w:rPr>
        <w:t xml:space="preserve">Youth Justice Act 1997 </w:t>
      </w:r>
      <w:r w:rsidRPr="00FF6E12">
        <w:t>(Tas) ss 6A, 10(2)(ca).</w:t>
      </w:r>
    </w:p>
  </w:footnote>
  <w:footnote w:id="504">
    <w:p w14:paraId="78B9C154"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10(2).</w:t>
      </w:r>
    </w:p>
  </w:footnote>
  <w:footnote w:id="505">
    <w:p w14:paraId="093AA064" w14:textId="3FE802FC" w:rsidR="00D1649A" w:rsidRPr="00FF6E12" w:rsidRDefault="00D1649A">
      <w:pPr>
        <w:pStyle w:val="FootnoteText"/>
      </w:pPr>
      <w:r w:rsidRPr="00FF6E12">
        <w:rPr>
          <w:rStyle w:val="FootnoteReference"/>
        </w:rPr>
        <w:footnoteRef/>
      </w:r>
      <w:r w:rsidR="0095127F" w:rsidRPr="00FF6E12">
        <w:t xml:space="preserve"> </w:t>
      </w:r>
      <w:r w:rsidRPr="00A920EC">
        <w:rPr>
          <w:i/>
          <w:iCs/>
        </w:rPr>
        <w:t>Youth Justice Act 1997</w:t>
      </w:r>
      <w:r w:rsidRPr="00FF6E12">
        <w:t xml:space="preserve"> (Tas) s 10(7).</w:t>
      </w:r>
    </w:p>
  </w:footnote>
  <w:footnote w:id="506">
    <w:p w14:paraId="2927CCF5" w14:textId="1538B3FC"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w:t>
      </w:r>
      <w:r w:rsidR="00D67B12" w:rsidRPr="00FF6E12">
        <w:t>s</w:t>
      </w:r>
      <w:r w:rsidRPr="00FF6E12">
        <w:t xml:space="preserve"> 10(8), </w:t>
      </w:r>
      <w:r w:rsidR="00D67B12" w:rsidRPr="00FF6E12">
        <w:t>10</w:t>
      </w:r>
      <w:r w:rsidRPr="00FF6E12">
        <w:t>(8A).</w:t>
      </w:r>
    </w:p>
  </w:footnote>
  <w:footnote w:id="507">
    <w:p w14:paraId="76EEA86B"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12A.</w:t>
      </w:r>
    </w:p>
  </w:footnote>
  <w:footnote w:id="508">
    <w:p w14:paraId="3CC013C5"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12A(4).</w:t>
      </w:r>
    </w:p>
  </w:footnote>
  <w:footnote w:id="509">
    <w:p w14:paraId="2FC352FF"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10(10).</w:t>
      </w:r>
    </w:p>
  </w:footnote>
  <w:footnote w:id="510">
    <w:p w14:paraId="7353BFB9" w14:textId="093B75D7" w:rsidR="00D1649A" w:rsidRPr="00FF6E12" w:rsidRDefault="00D1649A">
      <w:pPr>
        <w:pStyle w:val="FootnoteText"/>
      </w:pPr>
      <w:r w:rsidRPr="00FF6E12">
        <w:rPr>
          <w:rStyle w:val="FootnoteReference"/>
        </w:rPr>
        <w:footnoteRef/>
      </w:r>
      <w:r w:rsidRPr="00FF6E12">
        <w:t xml:space="preserve"> </w:t>
      </w:r>
      <w:r w:rsidRPr="00A920EC">
        <w:rPr>
          <w:i/>
          <w:iCs/>
        </w:rPr>
        <w:t>Young Offenders Act 1993</w:t>
      </w:r>
      <w:r w:rsidRPr="00FF6E12">
        <w:t xml:space="preserve"> (SA)</w:t>
      </w:r>
      <w:r w:rsidR="00D67B12" w:rsidRPr="00FF6E12">
        <w:t xml:space="preserve"> </w:t>
      </w:r>
      <w:r w:rsidRPr="00FF6E12">
        <w:t>s</w:t>
      </w:r>
      <w:r w:rsidR="00D67B12" w:rsidRPr="00FF6E12">
        <w:t>s</w:t>
      </w:r>
      <w:r w:rsidRPr="00FF6E12">
        <w:t xml:space="preserve"> 8(1)(a)–(c).</w:t>
      </w:r>
    </w:p>
  </w:footnote>
  <w:footnote w:id="511">
    <w:p w14:paraId="0A162EC6" w14:textId="78DF46DF" w:rsidR="00410E17" w:rsidRPr="00FF6E12" w:rsidRDefault="00410E17">
      <w:pPr>
        <w:pStyle w:val="FootnoteText"/>
      </w:pPr>
      <w:r w:rsidRPr="00FF6E12">
        <w:rPr>
          <w:rStyle w:val="FootnoteReference"/>
        </w:rPr>
        <w:footnoteRef/>
      </w:r>
      <w:r w:rsidRPr="00FF6E12">
        <w:t xml:space="preserve"> </w:t>
      </w:r>
      <w:r w:rsidR="00604BE9" w:rsidRPr="009D75FC">
        <w:t xml:space="preserve">Prichard </w:t>
      </w:r>
      <w:r w:rsidR="009D75FC" w:rsidRPr="009D75FC">
        <w:t xml:space="preserve">(n </w:t>
      </w:r>
      <w:r w:rsidR="009D75FC" w:rsidRPr="009D75FC">
        <w:fldChar w:fldCharType="begin"/>
      </w:r>
      <w:r w:rsidR="009D75FC" w:rsidRPr="009D75FC">
        <w:instrText xml:space="preserve"> NOTEREF _Ref217997405 \h </w:instrText>
      </w:r>
      <w:r w:rsidR="009D75FC">
        <w:instrText xml:space="preserve"> \* MERGEFORMAT </w:instrText>
      </w:r>
      <w:r w:rsidR="009D75FC" w:rsidRPr="009D75FC">
        <w:fldChar w:fldCharType="separate"/>
      </w:r>
      <w:r w:rsidR="007D7830">
        <w:t>434</w:t>
      </w:r>
      <w:r w:rsidR="009D75FC" w:rsidRPr="009D75FC">
        <w:fldChar w:fldCharType="end"/>
      </w:r>
      <w:r w:rsidR="009D75FC" w:rsidRPr="009D75FC">
        <w:t>)</w:t>
      </w:r>
      <w:r w:rsidR="00604BE9" w:rsidRPr="009D75FC">
        <w:t xml:space="preserve"> 116</w:t>
      </w:r>
      <w:r w:rsidR="0016638C" w:rsidRPr="009D75FC">
        <w:t>–</w:t>
      </w:r>
      <w:r w:rsidR="00604BE9" w:rsidRPr="009D75FC">
        <w:t>7.</w:t>
      </w:r>
    </w:p>
  </w:footnote>
  <w:footnote w:id="512">
    <w:p w14:paraId="6EEF1A29" w14:textId="5208855F"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w:t>
      </w:r>
      <w:r w:rsidR="00D67B12" w:rsidRPr="00FF6E12">
        <w:t>s</w:t>
      </w:r>
      <w:r w:rsidRPr="00FF6E12">
        <w:t xml:space="preserve"> 14, 15(1).</w:t>
      </w:r>
    </w:p>
  </w:footnote>
  <w:footnote w:id="513">
    <w:p w14:paraId="4AA4D78A"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16(1).</w:t>
      </w:r>
    </w:p>
  </w:footnote>
  <w:footnote w:id="514">
    <w:p w14:paraId="30EDB555"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17.</w:t>
      </w:r>
    </w:p>
  </w:footnote>
  <w:footnote w:id="515">
    <w:p w14:paraId="2A523C72"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16(2).</w:t>
      </w:r>
    </w:p>
  </w:footnote>
  <w:footnote w:id="516">
    <w:p w14:paraId="2FE5AE97" w14:textId="77777777"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s 18(1).</w:t>
      </w:r>
    </w:p>
  </w:footnote>
  <w:footnote w:id="517">
    <w:p w14:paraId="1967B425" w14:textId="22AB5D48"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w:t>
      </w:r>
      <w:r w:rsidR="00917D13" w:rsidRPr="00FF6E12">
        <w:t xml:space="preserve">s </w:t>
      </w:r>
      <w:r w:rsidRPr="00FF6E12">
        <w:t>20(1).</w:t>
      </w:r>
    </w:p>
  </w:footnote>
  <w:footnote w:id="518">
    <w:p w14:paraId="3A76A863" w14:textId="0ED24221" w:rsidR="00D1649A" w:rsidRPr="00FF6E12" w:rsidRDefault="00D1649A">
      <w:pPr>
        <w:pStyle w:val="FootnoteText"/>
      </w:pPr>
      <w:r w:rsidRPr="00FF6E12">
        <w:rPr>
          <w:rStyle w:val="FootnoteReference"/>
        </w:rPr>
        <w:footnoteRef/>
      </w:r>
      <w:r w:rsidRPr="00FF6E12">
        <w:t xml:space="preserve"> </w:t>
      </w:r>
      <w:r w:rsidRPr="00A920EC">
        <w:rPr>
          <w:i/>
          <w:iCs/>
        </w:rPr>
        <w:t>Youth Justice Act 1997</w:t>
      </w:r>
      <w:r w:rsidRPr="00FF6E12">
        <w:t xml:space="preserve"> (Tas) </w:t>
      </w:r>
      <w:r w:rsidR="00917D13" w:rsidRPr="00FF6E12">
        <w:t xml:space="preserve">s </w:t>
      </w:r>
      <w:r w:rsidRPr="00FF6E12">
        <w:t>20(2).</w:t>
      </w:r>
    </w:p>
  </w:footnote>
  <w:footnote w:id="519">
    <w:p w14:paraId="2E11FEEE" w14:textId="6F9BC180" w:rsidR="009A1331" w:rsidRPr="00FF6E12" w:rsidRDefault="009A1331" w:rsidP="00A920EC">
      <w:pPr>
        <w:pStyle w:val="FootnoteText"/>
      </w:pPr>
      <w:r w:rsidRPr="00FF6E12">
        <w:rPr>
          <w:rStyle w:val="FootnoteReference"/>
        </w:rPr>
        <w:footnoteRef/>
      </w:r>
      <w:r w:rsidRPr="00FF6E12">
        <w:t xml:space="preserve"> </w:t>
      </w:r>
      <w:r w:rsidR="00917D13" w:rsidRPr="00A920EC">
        <w:rPr>
          <w:i/>
          <w:iCs/>
        </w:rPr>
        <w:t>Youth Justice Act 1997</w:t>
      </w:r>
      <w:r w:rsidR="00917D13" w:rsidRPr="00FF6E12">
        <w:t xml:space="preserve"> (Tas)</w:t>
      </w:r>
      <w:r w:rsidRPr="00FF6E12">
        <w:t xml:space="preserve"> s 37.</w:t>
      </w:r>
    </w:p>
  </w:footnote>
  <w:footnote w:id="520">
    <w:p w14:paraId="036DB540" w14:textId="3F230851" w:rsidR="009A1331" w:rsidRPr="00FF6E12" w:rsidRDefault="009A1331" w:rsidP="00A920EC">
      <w:pPr>
        <w:pStyle w:val="FootnoteText"/>
      </w:pPr>
      <w:r w:rsidRPr="00FF6E12">
        <w:rPr>
          <w:rStyle w:val="FootnoteReference"/>
        </w:rPr>
        <w:footnoteRef/>
      </w:r>
      <w:r w:rsidRPr="00FF6E12">
        <w:t xml:space="preserve"> </w:t>
      </w:r>
      <w:r w:rsidR="00917D13" w:rsidRPr="00A920EC">
        <w:rPr>
          <w:i/>
          <w:iCs/>
        </w:rPr>
        <w:t>Youth Justice Act 1997</w:t>
      </w:r>
      <w:r w:rsidR="00917D13" w:rsidRPr="00FF6E12">
        <w:t xml:space="preserve"> (Tas) </w:t>
      </w:r>
      <w:r w:rsidR="007308AE" w:rsidRPr="00FF6E12">
        <w:t>s</w:t>
      </w:r>
      <w:r w:rsidRPr="00FF6E12">
        <w:t>s 16, 39.</w:t>
      </w:r>
    </w:p>
  </w:footnote>
  <w:footnote w:id="521">
    <w:p w14:paraId="22CF01FD" w14:textId="3E02CFFC" w:rsidR="009A1331" w:rsidRPr="00FF6E12" w:rsidRDefault="009A1331" w:rsidP="00A920EC">
      <w:pPr>
        <w:pStyle w:val="FootnoteText"/>
      </w:pPr>
      <w:r w:rsidRPr="00FF6E12">
        <w:rPr>
          <w:rStyle w:val="FootnoteReference"/>
        </w:rPr>
        <w:footnoteRef/>
      </w:r>
      <w:r w:rsidRPr="00FF6E12">
        <w:t xml:space="preserve"> </w:t>
      </w:r>
      <w:r w:rsidR="007308AE" w:rsidRPr="00A920EC">
        <w:rPr>
          <w:i/>
          <w:iCs/>
        </w:rPr>
        <w:t>Youth Justice Act 1997</w:t>
      </w:r>
      <w:r w:rsidR="007308AE" w:rsidRPr="00FF6E12">
        <w:t xml:space="preserve"> (Tas)</w:t>
      </w:r>
      <w:r w:rsidRPr="00FF6E12">
        <w:t xml:space="preserve"> </w:t>
      </w:r>
      <w:r w:rsidR="007308AE" w:rsidRPr="00FF6E12">
        <w:t>s</w:t>
      </w:r>
      <w:r w:rsidRPr="00FF6E12">
        <w:t>s 40A, 41.</w:t>
      </w:r>
    </w:p>
  </w:footnote>
  <w:footnote w:id="522">
    <w:p w14:paraId="7A8C010D" w14:textId="4AB75826" w:rsidR="009A1331" w:rsidRPr="00FF6E12" w:rsidRDefault="009A1331" w:rsidP="00A920EC">
      <w:pPr>
        <w:pStyle w:val="FootnoteText"/>
      </w:pPr>
      <w:r w:rsidRPr="00FF6E12">
        <w:rPr>
          <w:rStyle w:val="FootnoteReference"/>
        </w:rPr>
        <w:footnoteRef/>
      </w:r>
      <w:r w:rsidRPr="00FF6E12">
        <w:t xml:space="preserve"> </w:t>
      </w:r>
      <w:r w:rsidR="007308AE" w:rsidRPr="00A920EC">
        <w:rPr>
          <w:i/>
          <w:iCs/>
        </w:rPr>
        <w:t>Youth Justice Act 1997</w:t>
      </w:r>
      <w:r w:rsidR="007308AE" w:rsidRPr="00FF6E12">
        <w:t xml:space="preserve"> (Tas)</w:t>
      </w:r>
      <w:r w:rsidRPr="00FF6E12">
        <w:t xml:space="preserve"> </w:t>
      </w:r>
      <w:r w:rsidR="007308AE" w:rsidRPr="00FF6E12">
        <w:t>s</w:t>
      </w:r>
      <w:r w:rsidRPr="00FF6E12">
        <w:t>s 42</w:t>
      </w:r>
      <w:r w:rsidR="00D67B12" w:rsidRPr="00FF6E12">
        <w:t>,</w:t>
      </w:r>
      <w:r w:rsidRPr="00FF6E12">
        <w:t xml:space="preserve"> 43.</w:t>
      </w:r>
    </w:p>
  </w:footnote>
  <w:footnote w:id="523">
    <w:p w14:paraId="68114E20" w14:textId="76BD7661" w:rsidR="009A1331" w:rsidRPr="00FF6E12" w:rsidRDefault="009A1331" w:rsidP="00A920EC">
      <w:pPr>
        <w:pStyle w:val="FootnoteText"/>
      </w:pPr>
      <w:r w:rsidRPr="00FF6E12">
        <w:rPr>
          <w:rStyle w:val="FootnoteReference"/>
        </w:rPr>
        <w:footnoteRef/>
      </w:r>
      <w:r w:rsidRPr="00FF6E12">
        <w:t xml:space="preserve"> </w:t>
      </w:r>
      <w:r w:rsidR="007308AE" w:rsidRPr="00A920EC">
        <w:rPr>
          <w:i/>
          <w:iCs/>
        </w:rPr>
        <w:t>Youth Justice Act 1997</w:t>
      </w:r>
      <w:r w:rsidR="007308AE" w:rsidRPr="00FF6E12">
        <w:t xml:space="preserve"> (Tas)</w:t>
      </w:r>
      <w:r w:rsidRPr="00FF6E12">
        <w:t xml:space="preserve"> s</w:t>
      </w:r>
      <w:r w:rsidR="007308AE" w:rsidRPr="00FF6E12">
        <w:t>s</w:t>
      </w:r>
      <w:r w:rsidRPr="00FF6E12">
        <w:t xml:space="preserve"> 47</w:t>
      </w:r>
      <w:r w:rsidR="00D67B12" w:rsidRPr="00FF6E12">
        <w:t>,</w:t>
      </w:r>
      <w:r w:rsidRPr="00FF6E12">
        <w:t xml:space="preserve"> 56A,</w:t>
      </w:r>
    </w:p>
  </w:footnote>
  <w:footnote w:id="524">
    <w:p w14:paraId="7AEF0BF2" w14:textId="5D735981" w:rsidR="009A1331" w:rsidRPr="00FF6E12" w:rsidRDefault="009A1331" w:rsidP="00A920EC">
      <w:pPr>
        <w:pStyle w:val="FootnoteText"/>
      </w:pPr>
      <w:r w:rsidRPr="00FF6E12">
        <w:rPr>
          <w:rStyle w:val="FootnoteReference"/>
        </w:rPr>
        <w:footnoteRef/>
      </w:r>
      <w:r w:rsidRPr="00FF6E12">
        <w:t xml:space="preserve"> </w:t>
      </w:r>
      <w:r w:rsidR="00D67B12" w:rsidRPr="00FF6E12">
        <w:rPr>
          <w:i/>
          <w:iCs/>
        </w:rPr>
        <w:t>Youth Justice Act 1997</w:t>
      </w:r>
      <w:r w:rsidR="00D67B12" w:rsidRPr="00FF6E12">
        <w:t xml:space="preserve"> (Tas) s</w:t>
      </w:r>
      <w:r w:rsidRPr="00FF6E12">
        <w:t xml:space="preserve"> 56A(4).</w:t>
      </w:r>
    </w:p>
  </w:footnote>
  <w:footnote w:id="525">
    <w:p w14:paraId="3FAA3973" w14:textId="2B5EF6DB" w:rsidR="009A1331" w:rsidRPr="00FF6E12" w:rsidRDefault="009A1331" w:rsidP="00A920EC">
      <w:pPr>
        <w:pStyle w:val="FootnoteText"/>
      </w:pPr>
      <w:r w:rsidRPr="00FF6E12">
        <w:rPr>
          <w:rStyle w:val="FootnoteReference"/>
        </w:rPr>
        <w:footnoteRef/>
      </w:r>
      <w:r w:rsidRPr="00FF6E12">
        <w:t xml:space="preserve"> </w:t>
      </w:r>
      <w:r w:rsidR="00343F5A" w:rsidRPr="00FF6E12">
        <w:rPr>
          <w:i/>
          <w:iCs/>
        </w:rPr>
        <w:t xml:space="preserve">Youth Justice Act 1997 </w:t>
      </w:r>
      <w:r w:rsidR="00343F5A" w:rsidRPr="00FF6E12">
        <w:t>(Tas) s</w:t>
      </w:r>
      <w:r w:rsidRPr="00FF6E12">
        <w:t>s 65(4), 69(4).</w:t>
      </w:r>
    </w:p>
  </w:footnote>
  <w:footnote w:id="526">
    <w:p w14:paraId="7526B999" w14:textId="540FA47C" w:rsidR="00D1649A" w:rsidRPr="00FF6E12" w:rsidRDefault="00D1649A">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w:t>
      </w:r>
      <w:r w:rsidRPr="00FF6E12">
        <w:t xml:space="preserve">ol 4 </w:t>
      </w:r>
      <w:r w:rsidR="00A214D5" w:rsidRPr="00FF6E12">
        <w:t xml:space="preserve">ch </w:t>
      </w:r>
      <w:r w:rsidRPr="00FF6E12">
        <w:t>9 [10.2.6].</w:t>
      </w:r>
    </w:p>
  </w:footnote>
  <w:footnote w:id="527">
    <w:p w14:paraId="1E0739B2" w14:textId="33942D80" w:rsidR="001D7C7A" w:rsidRPr="00FF6E12" w:rsidRDefault="001D7C7A">
      <w:pPr>
        <w:pStyle w:val="FootnoteText"/>
      </w:pPr>
      <w:r w:rsidRPr="00FF6E12">
        <w:rPr>
          <w:rStyle w:val="FootnoteReference"/>
        </w:rPr>
        <w:footnoteRef/>
      </w:r>
      <w:r w:rsidRPr="00FF6E12">
        <w:t xml:space="preserve"> </w:t>
      </w:r>
      <w:r w:rsidR="00920489">
        <w:t>Madeline Ken</w:t>
      </w:r>
      <w:r w:rsidR="00C04F75">
        <w:t xml:space="preserve">nedy, Email to Jeremy Prichard, </w:t>
      </w:r>
      <w:r w:rsidR="005671CF">
        <w:t>1 August 2025.</w:t>
      </w:r>
    </w:p>
  </w:footnote>
  <w:footnote w:id="528">
    <w:p w14:paraId="03F5C79B" w14:textId="25E6A42C" w:rsidR="001D7C7A" w:rsidRPr="00FF6E12" w:rsidRDefault="001D7C7A">
      <w:pPr>
        <w:pStyle w:val="FootnoteText"/>
      </w:pPr>
      <w:r w:rsidRPr="00FF6E12">
        <w:rPr>
          <w:rStyle w:val="FootnoteReference"/>
        </w:rPr>
        <w:footnoteRef/>
      </w:r>
      <w:r w:rsidRPr="00FF6E12">
        <w:t xml:space="preserve"> </w:t>
      </w:r>
      <w:r w:rsidR="005671CF">
        <w:t>Ibid</w:t>
      </w:r>
      <w:r w:rsidR="003C2C40">
        <w:t>.</w:t>
      </w:r>
    </w:p>
  </w:footnote>
  <w:footnote w:id="529">
    <w:p w14:paraId="6F407D38" w14:textId="0C2383C8" w:rsidR="00D01AA1" w:rsidRPr="00FF6E12" w:rsidRDefault="00D01AA1">
      <w:pPr>
        <w:pStyle w:val="FootnoteText"/>
      </w:pPr>
      <w:r w:rsidRPr="00FF6E12">
        <w:rPr>
          <w:rStyle w:val="FootnoteReference"/>
        </w:rPr>
        <w:footnoteRef/>
      </w:r>
      <w:r w:rsidR="00851109"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xml:space="preserve">) </w:t>
      </w:r>
      <w:r w:rsidR="00BC35D3" w:rsidRPr="00FF6E12">
        <w:t>Recommendation</w:t>
      </w:r>
      <w:r w:rsidRPr="00FF6E12">
        <w:t xml:space="preserve"> 12.13.1(c)</w:t>
      </w:r>
      <w:r w:rsidR="00BC35D3" w:rsidRPr="00FF6E12">
        <w:t xml:space="preserve">. Diversion is discussed further in Part </w:t>
      </w:r>
      <w:r w:rsidR="007024A2" w:rsidRPr="00FF6E12">
        <w:t>7</w:t>
      </w:r>
      <w:r w:rsidR="00BC35D3" w:rsidRPr="00FF6E12">
        <w:t>.</w:t>
      </w:r>
    </w:p>
  </w:footnote>
  <w:footnote w:id="530">
    <w:p w14:paraId="3D652C19" w14:textId="2C859683" w:rsidR="00457F1F" w:rsidRPr="00FF6E12" w:rsidRDefault="00457F1F">
      <w:pPr>
        <w:pStyle w:val="FootnoteText"/>
      </w:pPr>
      <w:r w:rsidRPr="00FF6E12">
        <w:rPr>
          <w:rStyle w:val="FootnoteReference"/>
        </w:rPr>
        <w:footnoteRef/>
      </w:r>
      <w:r w:rsidRPr="00FF6E12">
        <w:t xml:space="preserve"> </w:t>
      </w:r>
      <w:r w:rsidR="00A214D5" w:rsidRPr="00FF6E12">
        <w:t>Ibid</w:t>
      </w:r>
      <w:r w:rsidR="00851109" w:rsidRPr="00FF6E12">
        <w:t xml:space="preserve"> </w:t>
      </w:r>
      <w:r w:rsidRPr="00FF6E12">
        <w:t>Recommendation 15.</w:t>
      </w:r>
    </w:p>
  </w:footnote>
  <w:footnote w:id="531">
    <w:p w14:paraId="23CE81F1" w14:textId="5941DF96" w:rsidR="00B24F29" w:rsidRPr="00FF6E12" w:rsidRDefault="00B24F29">
      <w:pPr>
        <w:pStyle w:val="FootnoteText"/>
      </w:pPr>
      <w:r w:rsidRPr="00FF6E12">
        <w:rPr>
          <w:rStyle w:val="FootnoteReference"/>
        </w:rPr>
        <w:footnoteRef/>
      </w:r>
      <w:r w:rsidRPr="00FF6E12">
        <w:t xml:space="preserve"> </w:t>
      </w:r>
      <w:r w:rsidR="00A214D5" w:rsidRPr="00FF6E12">
        <w:t>Ibid</w:t>
      </w:r>
      <w:r w:rsidR="00851109" w:rsidRPr="00FF6E12">
        <w:t xml:space="preserve"> </w:t>
      </w:r>
      <w:r w:rsidR="00A214D5" w:rsidRPr="00FF6E12">
        <w:t xml:space="preserve">vol </w:t>
      </w:r>
      <w:r w:rsidR="008554FE" w:rsidRPr="00FF6E12">
        <w:t xml:space="preserve">5 </w:t>
      </w:r>
      <w:r w:rsidR="00A214D5" w:rsidRPr="00FF6E12">
        <w:t xml:space="preserve">ch </w:t>
      </w:r>
      <w:r w:rsidR="008554FE" w:rsidRPr="00FF6E12">
        <w:t xml:space="preserve">12 </w:t>
      </w:r>
      <w:r w:rsidR="00851109" w:rsidRPr="00FF6E12">
        <w:t>[</w:t>
      </w:r>
      <w:r w:rsidR="008554FE" w:rsidRPr="00FF6E12">
        <w:t>5.2</w:t>
      </w:r>
      <w:r w:rsidR="00851109" w:rsidRPr="00FF6E12">
        <w:t>].</w:t>
      </w:r>
    </w:p>
  </w:footnote>
  <w:footnote w:id="532">
    <w:p w14:paraId="182965FC" w14:textId="4C87F774" w:rsidR="0048727A" w:rsidRPr="00FF6E12" w:rsidRDefault="0048727A">
      <w:pPr>
        <w:pStyle w:val="FootnoteText"/>
      </w:pPr>
      <w:r w:rsidRPr="00FF6E12">
        <w:rPr>
          <w:rStyle w:val="FootnoteReference"/>
        </w:rPr>
        <w:footnoteRef/>
      </w:r>
      <w:r w:rsidRPr="00FF6E12">
        <w:t xml:space="preserve"> See Appendix </w:t>
      </w:r>
      <w:r w:rsidR="009C5F7A" w:rsidRPr="00FF6E12">
        <w:t>K</w:t>
      </w:r>
      <w:r w:rsidR="002063F2" w:rsidRPr="00FF6E12">
        <w:t xml:space="preserve"> and </w:t>
      </w:r>
      <w:r w:rsidR="00380554">
        <w:t xml:space="preserve">Appendix </w:t>
      </w:r>
      <w:r w:rsidR="002063F2" w:rsidRPr="00FF6E12">
        <w:t>L</w:t>
      </w:r>
      <w:r w:rsidR="009C5F7A" w:rsidRPr="00FF6E12">
        <w:t>. See also</w:t>
      </w:r>
      <w:r w:rsidR="00A91328" w:rsidRPr="00FF6E12">
        <w:t xml:space="preserve"> Tasmania Government</w:t>
      </w:r>
      <w:r w:rsidR="001C2CF1" w:rsidRPr="00FF6E12">
        <w:t xml:space="preserve"> (n </w:t>
      </w:r>
      <w:r w:rsidR="001C2CF1" w:rsidRPr="00FF6E12">
        <w:fldChar w:fldCharType="begin"/>
      </w:r>
      <w:r w:rsidR="001C2CF1" w:rsidRPr="00FF6E12">
        <w:instrText xml:space="preserve"> NOTEREF _Ref217905183 \h </w:instrText>
      </w:r>
      <w:r w:rsidR="001C2CF1" w:rsidRPr="00FF6E12">
        <w:fldChar w:fldCharType="separate"/>
      </w:r>
      <w:r w:rsidR="007D7830">
        <w:t>11</w:t>
      </w:r>
      <w:r w:rsidR="001C2CF1" w:rsidRPr="00FF6E12">
        <w:fldChar w:fldCharType="end"/>
      </w:r>
      <w:r w:rsidR="001C2CF1" w:rsidRPr="00FF6E12">
        <w:t>).</w:t>
      </w:r>
    </w:p>
  </w:footnote>
  <w:footnote w:id="533">
    <w:p w14:paraId="0F765D23" w14:textId="33454A45" w:rsidR="00D04DFB" w:rsidRPr="00FF6E12" w:rsidRDefault="00D04DFB">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xml:space="preserve">) </w:t>
      </w:r>
      <w:r w:rsidRPr="00FF6E12">
        <w:t>Recommendation 12.12.</w:t>
      </w:r>
    </w:p>
  </w:footnote>
  <w:footnote w:id="534">
    <w:p w14:paraId="433831C2" w14:textId="01D96A90" w:rsidR="00D87E64" w:rsidRPr="00FF6E12" w:rsidRDefault="00D87E64">
      <w:pPr>
        <w:pStyle w:val="FootnoteText"/>
      </w:pPr>
      <w:r w:rsidRPr="00FF6E12">
        <w:rPr>
          <w:rStyle w:val="FootnoteReference"/>
        </w:rPr>
        <w:footnoteRef/>
      </w:r>
      <w:r w:rsidRPr="00FF6E12">
        <w:t xml:space="preserve"> </w:t>
      </w:r>
      <w:r w:rsidR="008C6647" w:rsidRPr="00FF6E12">
        <w:t xml:space="preserve">See Part 3. </w:t>
      </w:r>
      <w:r w:rsidR="00B01B25" w:rsidRPr="00FF6E12">
        <w:t xml:space="preserve">The </w:t>
      </w:r>
      <w:r w:rsidRPr="00FF6E12">
        <w:t>Youth Justice Diversionary Services Framework</w:t>
      </w:r>
      <w:r w:rsidR="003D10CF" w:rsidRPr="00FF6E12">
        <w:t xml:space="preserve"> applies to </w:t>
      </w:r>
      <w:r w:rsidR="0072738A" w:rsidRPr="00FF6E12">
        <w:t>organisations</w:t>
      </w:r>
      <w:r w:rsidR="003D10CF" w:rsidRPr="00FF6E12">
        <w:t xml:space="preserve"> </w:t>
      </w:r>
      <w:r w:rsidR="0072738A" w:rsidRPr="00FF6E12">
        <w:t>delivering</w:t>
      </w:r>
      <w:r w:rsidR="003D10CF" w:rsidRPr="00FF6E12">
        <w:t xml:space="preserve"> these services with Tasmanian </w:t>
      </w:r>
      <w:r w:rsidR="0072738A" w:rsidRPr="00FF6E12">
        <w:t>Government</w:t>
      </w:r>
      <w:r w:rsidR="003D10CF" w:rsidRPr="00FF6E12">
        <w:t xml:space="preserve"> funding. </w:t>
      </w:r>
      <w:r w:rsidR="007352A5" w:rsidRPr="00FF6E12">
        <w:t>See Tasmania</w:t>
      </w:r>
      <w:r w:rsidR="00E32296" w:rsidRPr="00FF6E12">
        <w:t>n</w:t>
      </w:r>
      <w:r w:rsidR="007352A5" w:rsidRPr="00FF6E12">
        <w:t xml:space="preserve"> Government</w:t>
      </w:r>
      <w:r w:rsidR="00E32296" w:rsidRPr="00FF6E12">
        <w:t xml:space="preserve"> (n </w:t>
      </w:r>
      <w:r w:rsidR="00E32296" w:rsidRPr="00FF6E12">
        <w:fldChar w:fldCharType="begin"/>
      </w:r>
      <w:r w:rsidR="00E32296" w:rsidRPr="00FF6E12">
        <w:instrText xml:space="preserve"> NOTEREF _Ref217905183 \h </w:instrText>
      </w:r>
      <w:r w:rsidR="00E32296" w:rsidRPr="00FF6E12">
        <w:fldChar w:fldCharType="separate"/>
      </w:r>
      <w:r w:rsidR="007D7830">
        <w:t>11</w:t>
      </w:r>
      <w:r w:rsidR="00E32296" w:rsidRPr="00FF6E12">
        <w:fldChar w:fldCharType="end"/>
      </w:r>
      <w:r w:rsidR="00E32296" w:rsidRPr="00FF6E12">
        <w:t>)</w:t>
      </w:r>
      <w:r w:rsidR="007352A5" w:rsidRPr="00FF6E12">
        <w:t>.</w:t>
      </w:r>
    </w:p>
  </w:footnote>
  <w:footnote w:id="535">
    <w:p w14:paraId="77537D44" w14:textId="320383C8" w:rsidR="007352A5" w:rsidRPr="00FF6E12" w:rsidRDefault="007352A5">
      <w:pPr>
        <w:pStyle w:val="FootnoteText"/>
      </w:pPr>
      <w:r w:rsidRPr="00FF6E12">
        <w:rPr>
          <w:rStyle w:val="FootnoteReference"/>
        </w:rPr>
        <w:footnoteRef/>
      </w:r>
      <w:r w:rsidRPr="00FF6E12">
        <w:t xml:space="preserve"> See </w:t>
      </w:r>
      <w:r w:rsidR="00E32296" w:rsidRPr="00FF6E12">
        <w:t xml:space="preserve">YJRT </w:t>
      </w:r>
      <w:r w:rsidR="00E32296" w:rsidRPr="00FF6E12">
        <w:rPr>
          <w:i/>
          <w:iCs/>
        </w:rPr>
        <w:t>Model of Care</w:t>
      </w:r>
      <w:r w:rsidR="00E32296" w:rsidRPr="00FF6E12">
        <w:t xml:space="preserve"> (n </w:t>
      </w:r>
      <w:r w:rsidR="00E32296" w:rsidRPr="00FF6E12">
        <w:fldChar w:fldCharType="begin"/>
      </w:r>
      <w:r w:rsidR="00E32296" w:rsidRPr="00FF6E12">
        <w:instrText xml:space="preserve"> NOTEREF _Ref217905264 \h </w:instrText>
      </w:r>
      <w:r w:rsidR="00E32296" w:rsidRPr="00FF6E12">
        <w:fldChar w:fldCharType="separate"/>
      </w:r>
      <w:r w:rsidR="007D7830">
        <w:t>38</w:t>
      </w:r>
      <w:r w:rsidR="00E32296" w:rsidRPr="00FF6E12">
        <w:fldChar w:fldCharType="end"/>
      </w:r>
      <w:r w:rsidR="00E32296" w:rsidRPr="00FF6E12">
        <w:t>)</w:t>
      </w:r>
      <w:r w:rsidRPr="00FF6E12">
        <w:t xml:space="preserve">. See also </w:t>
      </w:r>
      <w:r w:rsidR="00E32296" w:rsidRPr="00FF6E12">
        <w:t xml:space="preserve">Tasmanian Government (n </w:t>
      </w:r>
      <w:r w:rsidR="00E32296" w:rsidRPr="00FF6E12">
        <w:fldChar w:fldCharType="begin"/>
      </w:r>
      <w:r w:rsidR="00E32296" w:rsidRPr="00FF6E12">
        <w:instrText xml:space="preserve"> NOTEREF _Ref217905183 \h </w:instrText>
      </w:r>
      <w:r w:rsidR="00E32296" w:rsidRPr="00FF6E12">
        <w:fldChar w:fldCharType="separate"/>
      </w:r>
      <w:r w:rsidR="007D7830">
        <w:t>11</w:t>
      </w:r>
      <w:r w:rsidR="00E32296" w:rsidRPr="00FF6E12">
        <w:fldChar w:fldCharType="end"/>
      </w:r>
      <w:r w:rsidR="00E32296" w:rsidRPr="00FF6E12">
        <w:t>)</w:t>
      </w:r>
      <w:r w:rsidRPr="00FF6E12">
        <w:t>.</w:t>
      </w:r>
    </w:p>
  </w:footnote>
  <w:footnote w:id="536">
    <w:p w14:paraId="25647FF6" w14:textId="6CCEF044" w:rsidR="007A0DD8" w:rsidRPr="00FF6E12" w:rsidRDefault="007A0DD8">
      <w:pPr>
        <w:pStyle w:val="FootnoteText"/>
      </w:pPr>
      <w:r w:rsidRPr="00FF6E12">
        <w:rPr>
          <w:rStyle w:val="FootnoteReference"/>
        </w:rPr>
        <w:footnoteRef/>
      </w:r>
      <w:r w:rsidRPr="00FF6E12">
        <w:t xml:space="preserve"> See also </w:t>
      </w:r>
      <w:r w:rsidR="00E32296" w:rsidRPr="00FF6E12">
        <w:t xml:space="preserve">YJRT </w:t>
      </w:r>
      <w:r w:rsidR="00E32296" w:rsidRPr="00A920EC">
        <w:rPr>
          <w:i/>
          <w:iCs/>
        </w:rPr>
        <w:t>Action Plan Report 2024–25</w:t>
      </w:r>
      <w:r w:rsidR="00E32296" w:rsidRPr="00FF6E12">
        <w:t xml:space="preserve"> (n </w:t>
      </w:r>
      <w:r w:rsidR="00E32296" w:rsidRPr="00FF6E12">
        <w:fldChar w:fldCharType="begin"/>
      </w:r>
      <w:r w:rsidR="00E32296" w:rsidRPr="00FF6E12">
        <w:instrText xml:space="preserve"> NOTEREF _Ref217905264 \h </w:instrText>
      </w:r>
      <w:r w:rsidR="00E32296" w:rsidRPr="00FF6E12">
        <w:fldChar w:fldCharType="separate"/>
      </w:r>
      <w:r w:rsidR="007D7830">
        <w:t>38</w:t>
      </w:r>
      <w:r w:rsidR="00E32296" w:rsidRPr="00FF6E12">
        <w:fldChar w:fldCharType="end"/>
      </w:r>
      <w:r w:rsidR="00E32296" w:rsidRPr="00FF6E12">
        <w:t>).</w:t>
      </w:r>
    </w:p>
  </w:footnote>
  <w:footnote w:id="537">
    <w:p w14:paraId="6E028D86" w14:textId="2F4BC7A9" w:rsidR="00F86811" w:rsidRPr="00FF6E12" w:rsidRDefault="00F86811">
      <w:pPr>
        <w:pStyle w:val="FootnoteText"/>
      </w:pPr>
      <w:r w:rsidRPr="00FF6E12">
        <w:rPr>
          <w:rStyle w:val="FootnoteReference"/>
        </w:rPr>
        <w:footnoteRef/>
      </w:r>
      <w:r w:rsidRPr="00FF6E12">
        <w:t xml:space="preserve"> </w:t>
      </w:r>
      <w:r w:rsidR="00D77746" w:rsidRPr="00FF6E12">
        <w:t xml:space="preserve">Catia Malvaso et al, </w:t>
      </w:r>
      <w:r w:rsidR="00BC75D0" w:rsidRPr="00FF6E12">
        <w:t xml:space="preserve">‘Adverse Childhood </w:t>
      </w:r>
      <w:r w:rsidR="0069306F" w:rsidRPr="00FF6E12">
        <w:t>Experiences</w:t>
      </w:r>
      <w:r w:rsidR="00BC75D0" w:rsidRPr="00FF6E12">
        <w:t xml:space="preserve"> and Trauma among Young P</w:t>
      </w:r>
      <w:r w:rsidR="0069306F" w:rsidRPr="00FF6E12">
        <w:t>eople</w:t>
      </w:r>
      <w:r w:rsidR="00BC75D0" w:rsidRPr="00FF6E12">
        <w:t xml:space="preserve"> in the Youth Justice System’</w:t>
      </w:r>
      <w:r w:rsidR="001C2CF1" w:rsidRPr="00FF6E12">
        <w:t xml:space="preserve"> (2022) 651</w:t>
      </w:r>
      <w:r w:rsidR="00BC75D0" w:rsidRPr="00FF6E12">
        <w:t xml:space="preserve"> </w:t>
      </w:r>
      <w:r w:rsidR="0069306F" w:rsidRPr="00FF6E12">
        <w:rPr>
          <w:i/>
          <w:iCs/>
        </w:rPr>
        <w:t xml:space="preserve">Trends and Issues in Crime and Criminal Justice </w:t>
      </w:r>
      <w:r w:rsidR="001C2CF1" w:rsidRPr="00FF6E12">
        <w:t>1</w:t>
      </w:r>
      <w:r w:rsidR="005E09D8" w:rsidRPr="00FF6E12">
        <w:t>. See also Part 2.</w:t>
      </w:r>
    </w:p>
  </w:footnote>
  <w:footnote w:id="538">
    <w:p w14:paraId="6C724EC9" w14:textId="267837DC" w:rsidR="005B6F1F" w:rsidRPr="00FF6E12" w:rsidRDefault="005B6F1F" w:rsidP="00A920EC">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vol</w:t>
      </w:r>
      <w:r w:rsidRPr="00FF6E12">
        <w:t xml:space="preserve"> 7 </w:t>
      </w:r>
      <w:r w:rsidR="00A214D5" w:rsidRPr="00FF6E12">
        <w:t xml:space="preserve">ch </w:t>
      </w:r>
      <w:r w:rsidRPr="00FF6E12">
        <w:t>16 2.</w:t>
      </w:r>
    </w:p>
  </w:footnote>
  <w:footnote w:id="539">
    <w:p w14:paraId="2AA13C2F" w14:textId="424F6EFE" w:rsidR="00015231" w:rsidRPr="00FF6E12" w:rsidRDefault="00015231">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Pr="00FF6E12">
        <w:t xml:space="preserve">[2.24] </w:t>
      </w:r>
    </w:p>
  </w:footnote>
  <w:footnote w:id="540">
    <w:p w14:paraId="62A5D7E0" w14:textId="38237FCE" w:rsidR="002A317B" w:rsidRPr="00FF6E12" w:rsidRDefault="002A317B">
      <w:pPr>
        <w:pStyle w:val="FootnoteText"/>
      </w:pPr>
      <w:r w:rsidRPr="00FF6E12">
        <w:rPr>
          <w:rStyle w:val="FootnoteReference"/>
        </w:rPr>
        <w:footnoteRef/>
      </w:r>
      <w:r w:rsidRPr="00FF6E12">
        <w:t xml:space="preserve"> </w:t>
      </w:r>
      <w:r w:rsidR="001332C7" w:rsidRPr="00FF6E12">
        <w:t>See ibid</w:t>
      </w:r>
      <w:r w:rsidR="00247382" w:rsidRPr="00FF6E12">
        <w:t xml:space="preserve"> </w:t>
      </w:r>
      <w:r w:rsidR="00C23A02" w:rsidRPr="00FF6E12">
        <w:t>[4.11</w:t>
      </w:r>
      <w:r w:rsidR="009A3E8F" w:rsidRPr="00FF6E12">
        <w:t>]</w:t>
      </w:r>
      <w:r w:rsidR="00CC6DD2" w:rsidRPr="00FF6E12">
        <w:t>–[4.21</w:t>
      </w:r>
      <w:r w:rsidR="00FC46F6" w:rsidRPr="00FF6E12">
        <w:t>]</w:t>
      </w:r>
      <w:r w:rsidR="002114E8" w:rsidRPr="00FF6E12">
        <w:t xml:space="preserve"> </w:t>
      </w:r>
      <w:r w:rsidR="00CC6DD2" w:rsidRPr="00FF6E12">
        <w:t>for a summary of some of the key reforms.</w:t>
      </w:r>
    </w:p>
  </w:footnote>
  <w:footnote w:id="541">
    <w:p w14:paraId="1D817E84" w14:textId="16D29800" w:rsidR="0006203C" w:rsidRPr="00FF6E12" w:rsidRDefault="0006203C">
      <w:pPr>
        <w:pStyle w:val="FootnoteText"/>
      </w:pPr>
      <w:r w:rsidRPr="00FF6E12">
        <w:rPr>
          <w:rStyle w:val="FootnoteReference"/>
        </w:rPr>
        <w:footnoteRef/>
      </w:r>
      <w:r w:rsidRPr="00FF6E12">
        <w:t xml:space="preserve"> </w:t>
      </w:r>
      <w:r w:rsidR="008369BA" w:rsidRPr="00FF6E12">
        <w:t xml:space="preserve">See </w:t>
      </w:r>
      <w:r w:rsidR="00F00192" w:rsidRPr="00FF6E12">
        <w:t xml:space="preserve">Part </w:t>
      </w:r>
      <w:r w:rsidR="00AC53F7" w:rsidRPr="00FF6E12">
        <w:t>1</w:t>
      </w:r>
      <w:r w:rsidR="00F00192" w:rsidRPr="00FF6E12">
        <w:t>.</w:t>
      </w:r>
    </w:p>
  </w:footnote>
  <w:footnote w:id="542">
    <w:p w14:paraId="6EEBA107" w14:textId="0B8E5A96" w:rsidR="00202671" w:rsidRPr="00FF6E12" w:rsidRDefault="00202671">
      <w:pPr>
        <w:pStyle w:val="FootnoteText"/>
      </w:pPr>
      <w:r w:rsidRPr="00FF6E12">
        <w:rPr>
          <w:rStyle w:val="FootnoteReference"/>
        </w:rPr>
        <w:footnoteRef/>
      </w:r>
      <w:r w:rsidRPr="00FF6E12">
        <w:t xml:space="preserve"> See Appendix </w:t>
      </w:r>
      <w:r w:rsidR="002063F2" w:rsidRPr="00FF6E12">
        <w:t>H</w:t>
      </w:r>
      <w:r w:rsidRPr="00FF6E12">
        <w:t>.</w:t>
      </w:r>
    </w:p>
  </w:footnote>
  <w:footnote w:id="543">
    <w:p w14:paraId="4AAD3E14" w14:textId="051CBA35" w:rsidR="00C04B44" w:rsidRPr="00FF6E12" w:rsidRDefault="00C04B44">
      <w:pPr>
        <w:pStyle w:val="FootnoteText"/>
      </w:pPr>
      <w:r w:rsidRPr="00FF6E12">
        <w:rPr>
          <w:rStyle w:val="FootnoteReference"/>
        </w:rPr>
        <w:footnoteRef/>
      </w:r>
      <w:r w:rsidRPr="00FF6E12">
        <w:t xml:space="preserve"> </w:t>
      </w:r>
      <w:r w:rsidRPr="00FF6E12">
        <w:rPr>
          <w:i/>
          <w:iCs/>
        </w:rPr>
        <w:t xml:space="preserve">Criminal Code </w:t>
      </w:r>
      <w:r w:rsidRPr="00FF6E12">
        <w:t xml:space="preserve">(Tas) s 105A.  </w:t>
      </w:r>
      <w:r w:rsidR="007209A6" w:rsidRPr="00FF6E12">
        <w:t>See</w:t>
      </w:r>
      <w:r w:rsidR="00FB2367" w:rsidRPr="00FF6E12">
        <w:t xml:space="preserve"> </w:t>
      </w:r>
      <w:r w:rsidR="00186EC7" w:rsidRPr="00FF6E12">
        <w:t xml:space="preserve">Royal Commission into Institutional Responses to Child Sexual Abuse (n 13) </w:t>
      </w:r>
      <w:r w:rsidR="00FB2367" w:rsidRPr="00FF6E12">
        <w:rPr>
          <w:i/>
          <w:iCs/>
        </w:rPr>
        <w:t>Recommendations</w:t>
      </w:r>
      <w:r w:rsidRPr="00FF6E12">
        <w:t xml:space="preserve">. </w:t>
      </w:r>
      <w:r w:rsidR="0073770A" w:rsidRPr="00FF6E12">
        <w:t>Note</w:t>
      </w:r>
      <w:r w:rsidRPr="00FF6E12">
        <w:t xml:space="preserve"> that this provision is broader than the recommendation of the Royal Commission that were limited to institutions, see </w:t>
      </w:r>
      <w:r w:rsidR="00C82551" w:rsidRPr="00FF6E12">
        <w:t>Recommendation</w:t>
      </w:r>
      <w:r w:rsidRPr="00FF6E12">
        <w:t xml:space="preserve"> 33.</w:t>
      </w:r>
    </w:p>
  </w:footnote>
  <w:footnote w:id="544">
    <w:p w14:paraId="6CC71740" w14:textId="4FA663D0" w:rsidR="00384C1F" w:rsidRPr="00FF6E12" w:rsidRDefault="00384C1F">
      <w:pPr>
        <w:pStyle w:val="FootnoteText"/>
      </w:pPr>
      <w:r w:rsidRPr="00FF6E12">
        <w:rPr>
          <w:rStyle w:val="FootnoteReference"/>
        </w:rPr>
        <w:footnoteRef/>
      </w:r>
      <w:r w:rsidRPr="00FF6E12">
        <w:t xml:space="preserve"> See </w:t>
      </w:r>
      <w:r w:rsidR="0073770A" w:rsidRPr="00FF6E12">
        <w:t>[</w:t>
      </w:r>
      <w:r w:rsidR="0073770A" w:rsidRPr="00FF6E12">
        <w:fldChar w:fldCharType="begin"/>
      </w:r>
      <w:r w:rsidR="0073770A" w:rsidRPr="00FF6E12">
        <w:instrText xml:space="preserve"> REF _Ref217998090 \r \h </w:instrText>
      </w:r>
      <w:r w:rsidR="0073770A" w:rsidRPr="00FF6E12">
        <w:fldChar w:fldCharType="separate"/>
      </w:r>
      <w:r w:rsidR="007D7830">
        <w:t>6.2.6</w:t>
      </w:r>
      <w:r w:rsidR="0073770A" w:rsidRPr="00FF6E12">
        <w:fldChar w:fldCharType="end"/>
      </w:r>
      <w:r w:rsidR="00CA443E">
        <w:t>];</w:t>
      </w:r>
      <w:r w:rsidR="0073770A" w:rsidRPr="00FF6E12">
        <w:t xml:space="preserve"> Strong Families, </w:t>
      </w:r>
      <w:r w:rsidR="008E62DF" w:rsidRPr="00FF6E12">
        <w:t>Safe Kids Advi</w:t>
      </w:r>
      <w:r w:rsidR="0073770A" w:rsidRPr="00FF6E12">
        <w:t>c</w:t>
      </w:r>
      <w:r w:rsidR="008E62DF" w:rsidRPr="00FF6E12">
        <w:t xml:space="preserve">e and Referral Line (ARL) following reports made by mandatory reporters under the </w:t>
      </w:r>
      <w:r w:rsidR="008E62DF" w:rsidRPr="00FF6E12">
        <w:rPr>
          <w:i/>
          <w:iCs/>
        </w:rPr>
        <w:t xml:space="preserve">Children, Young Persons and Their Families Act 1997 </w:t>
      </w:r>
      <w:r w:rsidR="008E62DF" w:rsidRPr="00FF6E12">
        <w:t>(Tas</w:t>
      </w:r>
      <w:r w:rsidR="00896534" w:rsidRPr="00FF6E12">
        <w:t>) s</w:t>
      </w:r>
      <w:r w:rsidRPr="00FF6E12">
        <w:t xml:space="preserve"> </w:t>
      </w:r>
      <w:r w:rsidR="008B5580" w:rsidRPr="00FF6E12">
        <w:t>1</w:t>
      </w:r>
      <w:r w:rsidR="00E359D5" w:rsidRPr="00FF6E12">
        <w:t>4</w:t>
      </w:r>
      <w:r w:rsidR="00D264C3" w:rsidRPr="00FF6E12">
        <w:t>(1).</w:t>
      </w:r>
    </w:p>
  </w:footnote>
  <w:footnote w:id="545">
    <w:p w14:paraId="29B19B11" w14:textId="420E3C05" w:rsidR="008E62DF" w:rsidRPr="00FF6E12" w:rsidRDefault="008E62DF">
      <w:pPr>
        <w:pStyle w:val="FootnoteText"/>
      </w:pPr>
      <w:r w:rsidRPr="00FF6E12">
        <w:rPr>
          <w:rStyle w:val="FootnoteReference"/>
        </w:rPr>
        <w:footnoteRef/>
      </w:r>
      <w:r w:rsidRPr="00FF6E12">
        <w:t xml:space="preserve"> See [</w:t>
      </w:r>
      <w:r w:rsidR="003C2C40">
        <w:fldChar w:fldCharType="begin"/>
      </w:r>
      <w:r w:rsidR="003C2C40">
        <w:instrText xml:space="preserve"> REF _Ref218240891 \r \h </w:instrText>
      </w:r>
      <w:r w:rsidR="003C2C40">
        <w:fldChar w:fldCharType="separate"/>
      </w:r>
      <w:r w:rsidR="007D7830">
        <w:t>5.4</w:t>
      </w:r>
      <w:r w:rsidR="003C2C40">
        <w:fldChar w:fldCharType="end"/>
      </w:r>
      <w:r w:rsidRPr="00FF6E12">
        <w:t>]</w:t>
      </w:r>
      <w:r w:rsidR="003C2C40">
        <w:t>.</w:t>
      </w:r>
    </w:p>
  </w:footnote>
  <w:footnote w:id="546">
    <w:p w14:paraId="75039729" w14:textId="36E69983" w:rsidR="00A47CA4" w:rsidRPr="00FF6E12" w:rsidRDefault="00A47CA4">
      <w:pPr>
        <w:pStyle w:val="FootnoteText"/>
      </w:pPr>
      <w:r w:rsidRPr="00FF6E12">
        <w:rPr>
          <w:rStyle w:val="FootnoteReference"/>
        </w:rPr>
        <w:footnoteRef/>
      </w:r>
      <w:r w:rsidRPr="00FF6E12">
        <w:t xml:space="preserve"> See</w:t>
      </w:r>
      <w:r w:rsidR="0073770A" w:rsidRPr="00FF6E12">
        <w:t xml:space="preserve"> eSafety Commissioner, </w:t>
      </w:r>
      <w:r w:rsidR="0073770A" w:rsidRPr="00A920EC">
        <w:rPr>
          <w:i/>
          <w:iCs/>
        </w:rPr>
        <w:t>Report online harm</w:t>
      </w:r>
      <w:r w:rsidR="0073770A" w:rsidRPr="00FF6E12">
        <w:t>, (Web Page, nd)</w:t>
      </w:r>
      <w:r w:rsidRPr="00FF6E12">
        <w:t xml:space="preserve"> </w:t>
      </w:r>
      <w:r w:rsidR="0073770A" w:rsidRPr="00FF6E12">
        <w:t>&lt;</w:t>
      </w:r>
      <w:r w:rsidR="0073770A" w:rsidRPr="00A920EC">
        <w:t>https://www.esafety.gov.au/report</w:t>
      </w:r>
      <w:r w:rsidR="0073770A" w:rsidRPr="00FF6E12">
        <w:t>&gt;</w:t>
      </w:r>
      <w:r w:rsidR="00CF2875" w:rsidRPr="00FF6E12">
        <w:t>.</w:t>
      </w:r>
      <w:r w:rsidR="00AE208F" w:rsidRPr="00FF6E12">
        <w:t xml:space="preserve"> The eSafety </w:t>
      </w:r>
      <w:r w:rsidR="00243901" w:rsidRPr="00FF6E12">
        <w:t>Commissioner</w:t>
      </w:r>
      <w:r w:rsidR="00AE208F" w:rsidRPr="00FF6E12">
        <w:t xml:space="preserve"> may also be able to direct a service or online platform to remove harmful content</w:t>
      </w:r>
      <w:r w:rsidR="00243901" w:rsidRPr="00FF6E12">
        <w:t>.</w:t>
      </w:r>
    </w:p>
  </w:footnote>
  <w:footnote w:id="547">
    <w:p w14:paraId="5ED1AC59" w14:textId="7079B3C3" w:rsidR="000C11F4" w:rsidRPr="00FF6E12" w:rsidRDefault="000C11F4" w:rsidP="00A920EC">
      <w:pPr>
        <w:pStyle w:val="FootnoteText"/>
        <w:jc w:val="left"/>
      </w:pPr>
      <w:r w:rsidRPr="00FF6E12">
        <w:rPr>
          <w:rStyle w:val="FootnoteReference"/>
        </w:rPr>
        <w:footnoteRef/>
      </w:r>
      <w:r w:rsidRPr="00FF6E12">
        <w:t xml:space="preserve"> </w:t>
      </w:r>
      <w:r w:rsidR="0073770A" w:rsidRPr="00FF6E12">
        <w:t xml:space="preserve">Australian Centre to Counter Child Exploitation (ACCCE), </w:t>
      </w:r>
      <w:r w:rsidR="0073770A" w:rsidRPr="00A920EC">
        <w:rPr>
          <w:i/>
          <w:iCs/>
        </w:rPr>
        <w:t>ACCCE Strategic Plan 2022–2026</w:t>
      </w:r>
      <w:r w:rsidR="0073770A" w:rsidRPr="00FF6E12">
        <w:t xml:space="preserve"> (Australian Federal Police, 2022) &lt;https://www.accce.gov.au/sites/default/files/2022-09/ACCCE%20Strategic%20Plan%202022-26.pdf&gt;</w:t>
      </w:r>
      <w:r w:rsidR="003F7FC2" w:rsidRPr="00FF6E12">
        <w:t xml:space="preserve"> </w:t>
      </w:r>
      <w:r w:rsidRPr="00FF6E12">
        <w:t>8</w:t>
      </w:r>
      <w:r w:rsidR="003F7FC2" w:rsidRPr="00FF6E12">
        <w:t>.</w:t>
      </w:r>
    </w:p>
  </w:footnote>
  <w:footnote w:id="548">
    <w:p w14:paraId="469B812F" w14:textId="0D151C8A" w:rsidR="0098233D" w:rsidRPr="00FF6E12" w:rsidRDefault="0098233D">
      <w:pPr>
        <w:pStyle w:val="FootnoteText"/>
      </w:pPr>
      <w:r w:rsidRPr="00FF6E12">
        <w:rPr>
          <w:rStyle w:val="FootnoteReference"/>
        </w:rPr>
        <w:footnoteRef/>
      </w:r>
      <w:r w:rsidRPr="00FF6E12">
        <w:t xml:space="preserve"> </w:t>
      </w:r>
      <w:r w:rsidR="0073770A" w:rsidRPr="00FF6E12">
        <w:t>Ibid</w:t>
      </w:r>
      <w:r w:rsidR="003F7FC2" w:rsidRPr="00FF6E12">
        <w:t xml:space="preserve"> </w:t>
      </w:r>
      <w:r w:rsidRPr="00FF6E12">
        <w:t>9.</w:t>
      </w:r>
      <w:r w:rsidR="006D54A4" w:rsidRPr="00FF6E12">
        <w:t xml:space="preserve"> See Part </w:t>
      </w:r>
      <w:r w:rsidR="00FF7D24" w:rsidRPr="00FF6E12">
        <w:t>[5.4]</w:t>
      </w:r>
      <w:r w:rsidR="00E85DAD" w:rsidRPr="00FF6E12">
        <w:t xml:space="preserve"> for discussion of JACET.</w:t>
      </w:r>
    </w:p>
  </w:footnote>
  <w:footnote w:id="549">
    <w:p w14:paraId="37D538FD" w14:textId="7F6478A0" w:rsidR="004C64E7" w:rsidRPr="00FF6E12" w:rsidRDefault="004C64E7">
      <w:pPr>
        <w:pStyle w:val="FootnoteText"/>
      </w:pPr>
      <w:r w:rsidRPr="00FF6E12">
        <w:rPr>
          <w:rStyle w:val="FootnoteReference"/>
        </w:rPr>
        <w:footnoteRef/>
      </w:r>
      <w:r w:rsidRPr="00FF6E12">
        <w:t xml:space="preserve"> See Appendix</w:t>
      </w:r>
      <w:r w:rsidR="00720CB9" w:rsidRPr="00FF6E12">
        <w:t xml:space="preserve"> </w:t>
      </w:r>
      <w:r w:rsidR="00820CA0" w:rsidRPr="00FF6E12">
        <w:t>H</w:t>
      </w:r>
      <w:r w:rsidRPr="00FF6E12">
        <w:t xml:space="preserve"> Table </w:t>
      </w:r>
      <w:r w:rsidR="00820CA0" w:rsidRPr="00FF6E12">
        <w:t>H</w:t>
      </w:r>
      <w:r w:rsidRPr="00FF6E12">
        <w:t>.</w:t>
      </w:r>
      <w:r w:rsidR="007A6143" w:rsidRPr="00FF6E12">
        <w:t>1</w:t>
      </w:r>
      <w:r w:rsidRPr="00FF6E12">
        <w:t>.</w:t>
      </w:r>
    </w:p>
  </w:footnote>
  <w:footnote w:id="550">
    <w:p w14:paraId="09F80161" w14:textId="7A3899CD" w:rsidR="004C64E7" w:rsidRPr="00FF6E12" w:rsidRDefault="004C64E7">
      <w:pPr>
        <w:pStyle w:val="FootnoteText"/>
      </w:pPr>
      <w:r w:rsidRPr="00FF6E12">
        <w:rPr>
          <w:rStyle w:val="FootnoteReference"/>
        </w:rPr>
        <w:footnoteRef/>
      </w:r>
      <w:r w:rsidRPr="00FF6E12">
        <w:t xml:space="preserve"> See Appendix </w:t>
      </w:r>
      <w:r w:rsidR="00820CA0" w:rsidRPr="00FF6E12">
        <w:t>H</w:t>
      </w:r>
      <w:r w:rsidR="00720CB9" w:rsidRPr="00FF6E12">
        <w:t xml:space="preserve"> </w:t>
      </w:r>
      <w:r w:rsidRPr="00FF6E12">
        <w:t xml:space="preserve">Table </w:t>
      </w:r>
      <w:r w:rsidR="00820CA0" w:rsidRPr="00FF6E12">
        <w:t>H</w:t>
      </w:r>
      <w:r w:rsidRPr="00FF6E12">
        <w:t>.</w:t>
      </w:r>
      <w:r w:rsidR="004C31B6" w:rsidRPr="00FF6E12">
        <w:t>2</w:t>
      </w:r>
      <w:r w:rsidRPr="00FF6E12">
        <w:t>.</w:t>
      </w:r>
    </w:p>
  </w:footnote>
  <w:footnote w:id="551">
    <w:p w14:paraId="0A5993F3" w14:textId="436AB6AE" w:rsidR="004C64E7" w:rsidRPr="00FF6E12" w:rsidRDefault="004C64E7">
      <w:pPr>
        <w:pStyle w:val="FootnoteText"/>
      </w:pPr>
      <w:r w:rsidRPr="00FF6E12">
        <w:rPr>
          <w:rStyle w:val="FootnoteReference"/>
        </w:rPr>
        <w:footnoteRef/>
      </w:r>
      <w:r w:rsidRPr="00FF6E12">
        <w:t xml:space="preserve"> See Appendix</w:t>
      </w:r>
      <w:r w:rsidR="00696EF2" w:rsidRPr="00FF6E12">
        <w:t xml:space="preserve"> </w:t>
      </w:r>
      <w:r w:rsidR="00820CA0" w:rsidRPr="00FF6E12">
        <w:t xml:space="preserve">H </w:t>
      </w:r>
      <w:r w:rsidRPr="00FF6E12">
        <w:t xml:space="preserve">Table </w:t>
      </w:r>
      <w:r w:rsidR="00820CA0" w:rsidRPr="00FF6E12">
        <w:t>H</w:t>
      </w:r>
      <w:r w:rsidRPr="00FF6E12">
        <w:t>.</w:t>
      </w:r>
      <w:r w:rsidR="004C31B6" w:rsidRPr="00FF6E12">
        <w:t>3</w:t>
      </w:r>
      <w:r w:rsidRPr="00FF6E12">
        <w:t>.</w:t>
      </w:r>
    </w:p>
  </w:footnote>
  <w:footnote w:id="552">
    <w:p w14:paraId="06E449EC" w14:textId="37041590" w:rsidR="00B62226" w:rsidRPr="00FF6E12" w:rsidRDefault="00B62226">
      <w:pPr>
        <w:pStyle w:val="FootnoteText"/>
      </w:pPr>
      <w:r w:rsidRPr="00FF6E12">
        <w:rPr>
          <w:rStyle w:val="FootnoteReference"/>
        </w:rPr>
        <w:footnoteRef/>
      </w:r>
      <w:r w:rsidRPr="00FF6E12">
        <w:t xml:space="preserve"> See Appendix </w:t>
      </w:r>
      <w:r w:rsidR="00820CA0" w:rsidRPr="00FF6E12">
        <w:t xml:space="preserve">H </w:t>
      </w:r>
      <w:r w:rsidR="005E7BC7" w:rsidRPr="00FF6E12">
        <w:t xml:space="preserve">Table </w:t>
      </w:r>
      <w:r w:rsidR="00820CA0" w:rsidRPr="00FF6E12">
        <w:t>H</w:t>
      </w:r>
      <w:r w:rsidR="005E7BC7" w:rsidRPr="00FF6E12">
        <w:t>.3</w:t>
      </w:r>
      <w:r w:rsidRPr="00FF6E12">
        <w:t>.</w:t>
      </w:r>
    </w:p>
  </w:footnote>
  <w:footnote w:id="553">
    <w:p w14:paraId="182BF3EE" w14:textId="2F9EA8AF" w:rsidR="001E2145" w:rsidRPr="00FF6E12" w:rsidRDefault="00B45461">
      <w:pPr>
        <w:pStyle w:val="FootnoteTextTLRI"/>
      </w:pPr>
      <w:r w:rsidRPr="00FF6E12">
        <w:rPr>
          <w:rStyle w:val="FootnoteReference"/>
        </w:rPr>
        <w:footnoteRef/>
      </w:r>
      <w:r w:rsidRPr="00FF6E12">
        <w:t xml:space="preserve"> Notes: 1</w:t>
      </w:r>
      <w:r w:rsidR="006E32D8" w:rsidRPr="00FF6E12">
        <w:t xml:space="preserve">. Data for persons believed responsible can only be recorded for </w:t>
      </w:r>
      <w:r w:rsidR="0073770A" w:rsidRPr="00FF6E12">
        <w:t>‘</w:t>
      </w:r>
      <w:r w:rsidR="006E32D8" w:rsidRPr="00FF6E12">
        <w:t>incidents</w:t>
      </w:r>
      <w:r w:rsidR="0073770A" w:rsidRPr="00FF6E12">
        <w:t>’</w:t>
      </w:r>
      <w:r w:rsidR="006E32D8" w:rsidRPr="00FF6E12">
        <w:t xml:space="preserve"> as the system for recording </w:t>
      </w:r>
      <w:r w:rsidR="0073770A" w:rsidRPr="00FF6E12">
        <w:t>‘</w:t>
      </w:r>
      <w:r w:rsidR="006E32D8" w:rsidRPr="00FF6E12">
        <w:t>conversations</w:t>
      </w:r>
      <w:r w:rsidR="0073770A" w:rsidRPr="00FF6E12">
        <w:t>’</w:t>
      </w:r>
      <w:r w:rsidR="006E32D8" w:rsidRPr="00FF6E12">
        <w:t xml:space="preserve"> is not designed for such reporting. 2. Incidents relate to individual children and therefore cannot be compared to conversations.</w:t>
      </w:r>
      <w:r w:rsidR="0073770A" w:rsidRPr="00FF6E12">
        <w:t xml:space="preserve"> </w:t>
      </w:r>
      <w:r w:rsidR="006E32D8" w:rsidRPr="00FF6E12">
        <w:t>3. Where there are multiple persons believed responsible in the same age group for an incident, the incident will only be counted once in that age group. 4. Percentages won</w:t>
      </w:r>
      <w:r w:rsidR="0073770A" w:rsidRPr="00FF6E12">
        <w:t>’</w:t>
      </w:r>
      <w:r w:rsidR="006E32D8" w:rsidRPr="00FF6E12">
        <w:t>t sum to 100% where a single incident has persons believed responsible in different age groups. 5. Th</w:t>
      </w:r>
      <w:r w:rsidR="0073770A" w:rsidRPr="00FF6E12">
        <w:t>ese</w:t>
      </w:r>
      <w:r w:rsidR="006E32D8" w:rsidRPr="00FF6E12">
        <w:t xml:space="preserve"> data </w:t>
      </w:r>
      <w:r w:rsidR="0073770A" w:rsidRPr="00FF6E12">
        <w:t xml:space="preserve">are </w:t>
      </w:r>
      <w:r w:rsidR="006E32D8" w:rsidRPr="00FF6E12">
        <w:t>limited to incidents where the age of persons believed responsible is recorded.</w:t>
      </w:r>
      <w:r w:rsidR="00A7736C" w:rsidRPr="00FF6E12">
        <w:t xml:space="preserve"> </w:t>
      </w:r>
      <w:r w:rsidR="006E32D8" w:rsidRPr="00FF6E12">
        <w:t>6.</w:t>
      </w:r>
      <w:r w:rsidR="009174FA" w:rsidRPr="00FF6E12">
        <w:t xml:space="preserve"> </w:t>
      </w:r>
      <w:r w:rsidR="006E32D8" w:rsidRPr="00FF6E12">
        <w:t>Th</w:t>
      </w:r>
      <w:r w:rsidR="0073770A" w:rsidRPr="00FF6E12">
        <w:t>ese</w:t>
      </w:r>
      <w:r w:rsidR="006E32D8" w:rsidRPr="00FF6E12">
        <w:t xml:space="preserve"> data </w:t>
      </w:r>
      <w:r w:rsidR="0073770A" w:rsidRPr="00FF6E12">
        <w:t xml:space="preserve">are </w:t>
      </w:r>
      <w:r w:rsidR="006E32D8" w:rsidRPr="00FF6E12">
        <w:t>for incidents with an allegation status of alleged, confirmed (ie the harm or risk was confirmed), or where the status was not recorded.</w:t>
      </w:r>
      <w:r w:rsidR="00654488" w:rsidRPr="00FF6E12">
        <w:t xml:space="preserve"> </w:t>
      </w:r>
      <w:r w:rsidR="009174FA" w:rsidRPr="00FF6E12">
        <w:t xml:space="preserve">7. </w:t>
      </w:r>
      <w:r w:rsidR="006E32D8" w:rsidRPr="00FF6E12">
        <w:t xml:space="preserve">A person believed responsible with an initial allegation status of alleged that was updated to not confirmed during the child safety assessment (ie the harm or risk was confirmed to not have occurred by that person) is </w:t>
      </w:r>
      <w:r w:rsidR="009E6181" w:rsidRPr="00FF6E12">
        <w:t>included.</w:t>
      </w:r>
    </w:p>
  </w:footnote>
  <w:footnote w:id="554">
    <w:p w14:paraId="2406BD03" w14:textId="162BFC61" w:rsidR="00522435" w:rsidRPr="00FF6E12" w:rsidRDefault="00522435" w:rsidP="00A920EC">
      <w:pPr>
        <w:pStyle w:val="FootnoteText"/>
      </w:pPr>
      <w:r w:rsidRPr="00FF6E12">
        <w:rPr>
          <w:rStyle w:val="FootnoteReference"/>
        </w:rPr>
        <w:footnoteRef/>
      </w:r>
      <w:r w:rsidRPr="00FF6E12">
        <w:t xml:space="preserve"> The recorded crime data </w:t>
      </w:r>
      <w:r w:rsidR="00047D39" w:rsidRPr="00FF6E12">
        <w:t xml:space="preserve">discussed at </w:t>
      </w:r>
      <w:r w:rsidR="00DF168D" w:rsidRPr="00FF6E12">
        <w:t>[</w:t>
      </w:r>
      <w:r w:rsidR="003C2C40">
        <w:fldChar w:fldCharType="begin"/>
      </w:r>
      <w:r w:rsidR="003C2C40">
        <w:instrText xml:space="preserve"> REF _Ref218240923 \r \h </w:instrText>
      </w:r>
      <w:r w:rsidR="003C2C40">
        <w:fldChar w:fldCharType="separate"/>
      </w:r>
      <w:r w:rsidR="007D7830">
        <w:t>2.4</w:t>
      </w:r>
      <w:r w:rsidR="003C2C40">
        <w:fldChar w:fldCharType="end"/>
      </w:r>
      <w:r w:rsidR="00DF168D" w:rsidRPr="00FF6E12">
        <w:t xml:space="preserve">] </w:t>
      </w:r>
      <w:r w:rsidR="00047D39" w:rsidRPr="00FF6E12">
        <w:t xml:space="preserve">sets out </w:t>
      </w:r>
      <w:r w:rsidR="00C12E63" w:rsidRPr="00FF6E12">
        <w:t xml:space="preserve">the number of people proceeded </w:t>
      </w:r>
      <w:r w:rsidR="0073770A" w:rsidRPr="00FF6E12">
        <w:t xml:space="preserve">against </w:t>
      </w:r>
      <w:r w:rsidR="00E34E2B" w:rsidRPr="00FF6E12">
        <w:t xml:space="preserve">by police </w:t>
      </w:r>
      <w:r w:rsidR="00C12E63" w:rsidRPr="00FF6E12">
        <w:t>rather than the number of reports made</w:t>
      </w:r>
      <w:r w:rsidR="00E34E2B" w:rsidRPr="00FF6E12">
        <w:t xml:space="preserve"> to police</w:t>
      </w:r>
      <w:r w:rsidR="00C12E63" w:rsidRPr="00FF6E12">
        <w:t>.</w:t>
      </w:r>
    </w:p>
  </w:footnote>
  <w:footnote w:id="555">
    <w:p w14:paraId="6D9A8B54" w14:textId="06E4251A" w:rsidR="006D1C1A" w:rsidRPr="00FF6E12" w:rsidRDefault="006D1C1A" w:rsidP="00A920EC">
      <w:pPr>
        <w:pStyle w:val="FootnoteText"/>
      </w:pPr>
      <w:r w:rsidRPr="00FF6E12">
        <w:rPr>
          <w:rStyle w:val="FootnoteReference"/>
        </w:rPr>
        <w:footnoteRef/>
      </w:r>
      <w:r w:rsidRPr="00FF6E12">
        <w:t xml:space="preserve"> </w:t>
      </w:r>
      <w:r w:rsidR="0073770A" w:rsidRPr="00FF6E12">
        <w:t xml:space="preserve">Australian Bureau of Statistics, </w:t>
      </w:r>
      <w:r w:rsidR="0073770A" w:rsidRPr="00A920EC">
        <w:rPr>
          <w:i/>
          <w:iCs/>
        </w:rPr>
        <w:t>Recorded Crime – Offenders, 2023–24 Financial Year</w:t>
      </w:r>
      <w:r w:rsidR="0073770A" w:rsidRPr="00FF6E12">
        <w:t xml:space="preserve"> (6 March 2025) </w:t>
      </w:r>
      <w:r w:rsidRPr="00FF6E12">
        <w:t>Tables 9, 11.</w:t>
      </w:r>
    </w:p>
  </w:footnote>
  <w:footnote w:id="556">
    <w:p w14:paraId="556EA891" w14:textId="08B9DA3C" w:rsidR="00663CBA" w:rsidRPr="00FF6E12" w:rsidRDefault="00663CBA">
      <w:pPr>
        <w:pStyle w:val="FootnoteText"/>
      </w:pPr>
      <w:r w:rsidRPr="00FF6E12">
        <w:rPr>
          <w:rStyle w:val="FootnoteReference"/>
        </w:rPr>
        <w:footnoteRef/>
      </w:r>
      <w:r w:rsidRPr="00FF6E12">
        <w:t xml:space="preserve"> </w:t>
      </w:r>
      <w:r w:rsidR="0073770A" w:rsidRPr="00FF6E12">
        <w:t>Ibid</w:t>
      </w:r>
      <w:r w:rsidR="00DF168D" w:rsidRPr="00FF6E12">
        <w:t xml:space="preserve"> </w:t>
      </w:r>
      <w:r w:rsidRPr="00FF6E12">
        <w:t>Table 35.</w:t>
      </w:r>
      <w:r w:rsidR="00877191" w:rsidRPr="00FF6E12">
        <w:t xml:space="preserve"> </w:t>
      </w:r>
      <w:r w:rsidR="00167927" w:rsidRPr="00FF6E12">
        <w:t>Victims</w:t>
      </w:r>
      <w:r w:rsidR="00877191" w:rsidRPr="00FF6E12">
        <w:t xml:space="preserve"> of offences have </w:t>
      </w:r>
      <w:r w:rsidR="00167927" w:rsidRPr="00FF6E12">
        <w:t>been</w:t>
      </w:r>
      <w:r w:rsidR="00877191" w:rsidRPr="00FF6E12">
        <w:t xml:space="preserve"> determined to be </w:t>
      </w:r>
      <w:r w:rsidR="0073770A" w:rsidRPr="00FF6E12">
        <w:t>family/domestic violence (</w:t>
      </w:r>
      <w:r w:rsidR="00877191" w:rsidRPr="00FF6E12">
        <w:t>FDV</w:t>
      </w:r>
      <w:r w:rsidR="0073770A" w:rsidRPr="00FF6E12">
        <w:t>)</w:t>
      </w:r>
      <w:r w:rsidR="00877191" w:rsidRPr="00FF6E12">
        <w:t xml:space="preserve"> related where the </w:t>
      </w:r>
      <w:r w:rsidR="00167927" w:rsidRPr="00FF6E12">
        <w:t>relationship of offender to victim, stored on police recoding systems, falls within a specific family or domestic relationship, or where an FDV flag has been recorded following a police investigation.</w:t>
      </w:r>
    </w:p>
  </w:footnote>
  <w:footnote w:id="557">
    <w:p w14:paraId="71098D29" w14:textId="2CE7A02E" w:rsidR="00012D9F" w:rsidRPr="00FF6E12" w:rsidRDefault="00012D9F">
      <w:pPr>
        <w:pStyle w:val="FootnoteText"/>
      </w:pPr>
      <w:r w:rsidRPr="00FF6E12">
        <w:rPr>
          <w:rStyle w:val="FootnoteReference"/>
        </w:rPr>
        <w:footnoteRef/>
      </w:r>
      <w:r w:rsidRPr="00FF6E12">
        <w:t xml:space="preserve"> This includes spouses, ex-spouses, partners, ex-partners, girlfriend/boyfriends, ex-girlfriend/boyfriends.</w:t>
      </w:r>
    </w:p>
  </w:footnote>
  <w:footnote w:id="558">
    <w:p w14:paraId="650D61C5" w14:textId="7A55D645" w:rsidR="00347123" w:rsidRPr="00FF6E12" w:rsidRDefault="00347123">
      <w:pPr>
        <w:pStyle w:val="FootnoteText"/>
      </w:pPr>
      <w:r w:rsidRPr="00FF6E12">
        <w:rPr>
          <w:rStyle w:val="FootnoteReference"/>
        </w:rPr>
        <w:footnoteRef/>
      </w:r>
      <w:r w:rsidR="69355ADE" w:rsidRPr="00FF6E12">
        <w:t xml:space="preserve"> </w:t>
      </w:r>
      <w:r w:rsidR="00EB74F6" w:rsidRPr="00FF6E12">
        <w:t xml:space="preserve">Australian Bureau of Statistics, </w:t>
      </w:r>
      <w:r w:rsidR="00EB74F6" w:rsidRPr="00A920EC">
        <w:rPr>
          <w:i/>
          <w:iCs/>
        </w:rPr>
        <w:t>Recorded Crime – Victims, 2024</w:t>
      </w:r>
      <w:r w:rsidR="00EB74F6" w:rsidRPr="00FF6E12">
        <w:t xml:space="preserve"> (3 September 2025) </w:t>
      </w:r>
      <w:r w:rsidR="69355ADE" w:rsidRPr="00FF6E12">
        <w:t>Table 14. This relates to all victims, and does not separately report on victims of sexual assault where the alleged offender was under 18.</w:t>
      </w:r>
    </w:p>
  </w:footnote>
  <w:footnote w:id="559">
    <w:p w14:paraId="06AD1741" w14:textId="2AF976E6" w:rsidR="00A45128" w:rsidRPr="00FF6E12" w:rsidRDefault="00A45128">
      <w:pPr>
        <w:pStyle w:val="FootnoteText"/>
      </w:pPr>
      <w:r w:rsidRPr="00FF6E12">
        <w:rPr>
          <w:rStyle w:val="FootnoteReference"/>
        </w:rPr>
        <w:footnoteRef/>
      </w:r>
      <w:r w:rsidRPr="00FF6E12">
        <w:t xml:space="preserve"> </w:t>
      </w:r>
      <w:r w:rsidR="00EB74F6" w:rsidRPr="00FF6E12">
        <w:t xml:space="preserve">Inga Ting, Nathanael Scott and Alex Palmer, ‘Rough Justice: How Police Are Failing Survivors of Sexual Assault’ </w:t>
      </w:r>
      <w:r w:rsidR="00EB74F6" w:rsidRPr="00FF6E12">
        <w:rPr>
          <w:i/>
          <w:iCs/>
        </w:rPr>
        <w:t>ABC News</w:t>
      </w:r>
      <w:r w:rsidR="00EB74F6" w:rsidRPr="00FF6E12">
        <w:t xml:space="preserve"> (online, 28 January 2020) &lt;</w:t>
      </w:r>
      <w:r w:rsidR="00EB74F6" w:rsidRPr="00A920EC">
        <w:t>https://www.abc.net.au/news/2020-01-28/how-police-are-failing-survivors-of-sexual-assault/11871364</w:t>
      </w:r>
      <w:r w:rsidR="00EB74F6" w:rsidRPr="00FF6E12">
        <w:t>&gt;</w:t>
      </w:r>
      <w:r w:rsidR="000807BD" w:rsidRPr="00FF6E12">
        <w:t>.</w:t>
      </w:r>
    </w:p>
  </w:footnote>
  <w:footnote w:id="560">
    <w:p w14:paraId="1B87FF2B" w14:textId="2C831983" w:rsidR="00722A89" w:rsidRPr="00FF6E12" w:rsidRDefault="00722A89">
      <w:pPr>
        <w:pStyle w:val="FootnoteText"/>
      </w:pPr>
      <w:r w:rsidRPr="00FF6E12">
        <w:rPr>
          <w:rStyle w:val="FootnoteReference"/>
        </w:rPr>
        <w:footnoteRef/>
      </w:r>
      <w:r w:rsidRPr="00FF6E12">
        <w:t xml:space="preserve"> </w:t>
      </w:r>
      <w:r w:rsidR="002A786C" w:rsidRPr="00FF6E12">
        <w:t>Participant</w:t>
      </w:r>
      <w:r w:rsidR="00141AFF" w:rsidRPr="00FF6E12">
        <w:t xml:space="preserve"> 15</w:t>
      </w:r>
      <w:r w:rsidR="00632EB8" w:rsidRPr="00FF6E12">
        <w:t>.</w:t>
      </w:r>
    </w:p>
  </w:footnote>
  <w:footnote w:id="561">
    <w:p w14:paraId="567603E2" w14:textId="2867E1FA" w:rsidR="00722A89" w:rsidRPr="00FF6E12" w:rsidRDefault="00722A89">
      <w:pPr>
        <w:pStyle w:val="FootnoteText"/>
      </w:pPr>
      <w:r w:rsidRPr="00FF6E12">
        <w:rPr>
          <w:rStyle w:val="FootnoteReference"/>
        </w:rPr>
        <w:footnoteRef/>
      </w:r>
      <w:r w:rsidRPr="00FF6E12">
        <w:t xml:space="preserve"> </w:t>
      </w:r>
      <w:r w:rsidR="002A786C" w:rsidRPr="00FF6E12">
        <w:t>Participant</w:t>
      </w:r>
      <w:r w:rsidR="00141AFF" w:rsidRPr="00FF6E12">
        <w:t xml:space="preserve"> 26</w:t>
      </w:r>
      <w:r w:rsidR="00776892" w:rsidRPr="00FF6E12">
        <w:t>.</w:t>
      </w:r>
    </w:p>
  </w:footnote>
  <w:footnote w:id="562">
    <w:p w14:paraId="3B3D45E6" w14:textId="3939F4C6" w:rsidR="00722A89" w:rsidRPr="00FF6E12" w:rsidRDefault="00722A89">
      <w:pPr>
        <w:pStyle w:val="FootnoteText"/>
      </w:pPr>
      <w:r w:rsidRPr="00FF6E12">
        <w:rPr>
          <w:rStyle w:val="FootnoteReference"/>
        </w:rPr>
        <w:footnoteRef/>
      </w:r>
      <w:r w:rsidRPr="00FF6E12">
        <w:t xml:space="preserve"> </w:t>
      </w:r>
      <w:r w:rsidR="002A786C" w:rsidRPr="00FF6E12">
        <w:t>Participant</w:t>
      </w:r>
      <w:r w:rsidR="004434D2" w:rsidRPr="00FF6E12">
        <w:t xml:space="preserve"> 2</w:t>
      </w:r>
      <w:r w:rsidR="00776892" w:rsidRPr="00FF6E12">
        <w:t>.</w:t>
      </w:r>
    </w:p>
  </w:footnote>
  <w:footnote w:id="563">
    <w:p w14:paraId="4A4C6718" w14:textId="1D20B012" w:rsidR="00722A89" w:rsidRPr="00FF6E12" w:rsidRDefault="00722A89">
      <w:pPr>
        <w:pStyle w:val="FootnoteText"/>
      </w:pPr>
      <w:r w:rsidRPr="00FF6E12">
        <w:rPr>
          <w:rStyle w:val="FootnoteReference"/>
        </w:rPr>
        <w:footnoteRef/>
      </w:r>
      <w:r w:rsidRPr="00FF6E12">
        <w:t xml:space="preserve"> </w:t>
      </w:r>
      <w:r w:rsidR="002A786C" w:rsidRPr="00FF6E12">
        <w:t>Participant</w:t>
      </w:r>
      <w:r w:rsidR="004434D2" w:rsidRPr="00FF6E12">
        <w:t xml:space="preserve"> 4</w:t>
      </w:r>
      <w:r w:rsidR="00EB74F6" w:rsidRPr="00FF6E12">
        <w:t>.</w:t>
      </w:r>
    </w:p>
  </w:footnote>
  <w:footnote w:id="564">
    <w:p w14:paraId="63D849FC" w14:textId="22AEAB81" w:rsidR="00C53054" w:rsidRPr="00FF6E12" w:rsidRDefault="00C53054">
      <w:pPr>
        <w:pStyle w:val="FootnoteText"/>
      </w:pPr>
      <w:r w:rsidRPr="00FF6E12">
        <w:rPr>
          <w:rStyle w:val="FootnoteReference"/>
        </w:rPr>
        <w:footnoteRef/>
      </w:r>
      <w:r w:rsidRPr="00FF6E12">
        <w:t xml:space="preserve"> </w:t>
      </w:r>
      <w:r w:rsidR="00D02326" w:rsidRPr="00FF6E12">
        <w:t xml:space="preserve">Participant </w:t>
      </w:r>
      <w:r w:rsidR="00360F79" w:rsidRPr="00FF6E12">
        <w:t>37</w:t>
      </w:r>
      <w:r w:rsidR="00D02326" w:rsidRPr="00FF6E12">
        <w:t>.</w:t>
      </w:r>
    </w:p>
  </w:footnote>
  <w:footnote w:id="565">
    <w:p w14:paraId="7C721DB1" w14:textId="570A08E8" w:rsidR="00DD1622" w:rsidRPr="00FF6E12" w:rsidRDefault="00DD1622">
      <w:pPr>
        <w:pStyle w:val="FootnoteText"/>
      </w:pPr>
      <w:r w:rsidRPr="00FF6E12">
        <w:rPr>
          <w:rStyle w:val="FootnoteReference"/>
        </w:rPr>
        <w:footnoteRef/>
      </w:r>
      <w:r w:rsidRPr="00FF6E12">
        <w:t xml:space="preserve"> </w:t>
      </w:r>
      <w:r w:rsidR="002A786C" w:rsidRPr="00FF6E12">
        <w:t>Participant</w:t>
      </w:r>
      <w:r w:rsidR="00141AFF" w:rsidRPr="00FF6E12">
        <w:t xml:space="preserve"> 12</w:t>
      </w:r>
      <w:r w:rsidRPr="00FF6E12">
        <w:t>.</w:t>
      </w:r>
    </w:p>
  </w:footnote>
  <w:footnote w:id="566">
    <w:p w14:paraId="12196906" w14:textId="0253882C" w:rsidR="00BD4B2A" w:rsidRPr="00FF6E12" w:rsidRDefault="00BD4B2A">
      <w:pPr>
        <w:pStyle w:val="FootnoteText"/>
      </w:pPr>
      <w:r w:rsidRPr="00FF6E12">
        <w:rPr>
          <w:rStyle w:val="FootnoteReference"/>
        </w:rPr>
        <w:footnoteRef/>
      </w:r>
      <w:r w:rsidRPr="00FF6E12">
        <w:t xml:space="preserve"> </w:t>
      </w:r>
      <w:r w:rsidR="008D084F" w:rsidRPr="00FF6E12">
        <w:t xml:space="preserve">Participant </w:t>
      </w:r>
      <w:r w:rsidR="00360F79" w:rsidRPr="00FF6E12">
        <w:t>24</w:t>
      </w:r>
      <w:r w:rsidR="008D084F" w:rsidRPr="00FF6E12">
        <w:t>.</w:t>
      </w:r>
    </w:p>
  </w:footnote>
  <w:footnote w:id="567">
    <w:p w14:paraId="70128D7F" w14:textId="6C636B51" w:rsidR="00526BE8" w:rsidRPr="00FF6E12" w:rsidRDefault="00526BE8">
      <w:pPr>
        <w:pStyle w:val="FootnoteText"/>
      </w:pPr>
      <w:r w:rsidRPr="00FF6E12">
        <w:rPr>
          <w:rStyle w:val="FootnoteReference"/>
        </w:rPr>
        <w:footnoteRef/>
      </w:r>
      <w:r w:rsidRPr="00FF6E12">
        <w:t xml:space="preserve"> </w:t>
      </w:r>
      <w:r w:rsidR="002A786C" w:rsidRPr="00FF6E12">
        <w:t>Participant</w:t>
      </w:r>
      <w:r w:rsidR="00141AFF" w:rsidRPr="00FF6E12">
        <w:t xml:space="preserve"> 15</w:t>
      </w:r>
      <w:r w:rsidR="00EB74F6" w:rsidRPr="00FF6E12">
        <w:t>.</w:t>
      </w:r>
    </w:p>
  </w:footnote>
  <w:footnote w:id="568">
    <w:p w14:paraId="150E41D0" w14:textId="6ECC2902" w:rsidR="00A75313" w:rsidRPr="00FF6E12" w:rsidRDefault="00A75313">
      <w:pPr>
        <w:pStyle w:val="FootnoteText"/>
      </w:pPr>
      <w:r w:rsidRPr="00FF6E12">
        <w:rPr>
          <w:rStyle w:val="FootnoteReference"/>
        </w:rPr>
        <w:footnoteRef/>
      </w:r>
      <w:r w:rsidRPr="00FF6E12">
        <w:t xml:space="preserve"> </w:t>
      </w:r>
      <w:r w:rsidR="002A786C" w:rsidRPr="00FF6E12">
        <w:t>Participant</w:t>
      </w:r>
      <w:r w:rsidR="00141AFF" w:rsidRPr="00FF6E12">
        <w:t xml:space="preserve"> 14</w:t>
      </w:r>
      <w:r w:rsidR="007801D8" w:rsidRPr="00FF6E12">
        <w:t>.</w:t>
      </w:r>
    </w:p>
  </w:footnote>
  <w:footnote w:id="569">
    <w:p w14:paraId="11387EE2" w14:textId="5E687403" w:rsidR="009D09A2" w:rsidRPr="00FF6E12" w:rsidRDefault="009D09A2">
      <w:pPr>
        <w:pStyle w:val="FootnoteText"/>
      </w:pPr>
      <w:r w:rsidRPr="00FF6E12">
        <w:rPr>
          <w:rStyle w:val="FootnoteReference"/>
        </w:rPr>
        <w:footnoteRef/>
      </w:r>
      <w:r w:rsidR="00CE798F" w:rsidRPr="00FF6E12">
        <w:t xml:space="preserve"> Participant</w:t>
      </w:r>
      <w:r w:rsidRPr="00FF6E12">
        <w:t xml:space="preserve"> </w:t>
      </w:r>
      <w:r w:rsidR="004434D2" w:rsidRPr="00FF6E12">
        <w:t>1</w:t>
      </w:r>
      <w:r w:rsidRPr="00FF6E12">
        <w:t>.</w:t>
      </w:r>
    </w:p>
  </w:footnote>
  <w:footnote w:id="570">
    <w:p w14:paraId="49B832A0" w14:textId="3606DE6B" w:rsidR="00FB17C8" w:rsidRPr="00FF6E12" w:rsidRDefault="00FB17C8"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33</w:t>
      </w:r>
      <w:r w:rsidRPr="00FF6E12">
        <w:t>.</w:t>
      </w:r>
    </w:p>
  </w:footnote>
  <w:footnote w:id="571">
    <w:p w14:paraId="636803F9" w14:textId="23E3E069" w:rsidR="004E6686" w:rsidRPr="00FF6E12" w:rsidRDefault="004E6686"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13</w:t>
      </w:r>
      <w:r w:rsidR="00EB74F6" w:rsidRPr="00FF6E12">
        <w:t>.</w:t>
      </w:r>
    </w:p>
  </w:footnote>
  <w:footnote w:id="572">
    <w:p w14:paraId="3FB754DE" w14:textId="0A4CF10F" w:rsidR="00BC25BA" w:rsidRPr="00FF6E12" w:rsidRDefault="00BC25BA">
      <w:pPr>
        <w:pStyle w:val="FootnoteText"/>
      </w:pPr>
      <w:r w:rsidRPr="00FF6E12">
        <w:rPr>
          <w:rStyle w:val="FootnoteReference"/>
        </w:rPr>
        <w:footnoteRef/>
      </w:r>
      <w:r w:rsidRPr="00FF6E12">
        <w:t xml:space="preserve"> </w:t>
      </w:r>
      <w:r w:rsidR="002A786C" w:rsidRPr="00FF6E12">
        <w:t>Participant</w:t>
      </w:r>
      <w:r w:rsidR="00141AFF" w:rsidRPr="00FF6E12">
        <w:t xml:space="preserve"> 19</w:t>
      </w:r>
      <w:r w:rsidR="008D33EF" w:rsidRPr="00FF6E12">
        <w:t>.</w:t>
      </w:r>
    </w:p>
  </w:footnote>
  <w:footnote w:id="573">
    <w:p w14:paraId="26205E65" w14:textId="58CCB0B2" w:rsidR="00367516" w:rsidRPr="00FF6E12" w:rsidRDefault="00367516">
      <w:pPr>
        <w:pStyle w:val="FootnoteText"/>
      </w:pPr>
      <w:r w:rsidRPr="00FF6E12">
        <w:rPr>
          <w:rStyle w:val="FootnoteReference"/>
        </w:rPr>
        <w:footnoteRef/>
      </w:r>
      <w:r w:rsidRPr="00FF6E12">
        <w:t xml:space="preserve"> </w:t>
      </w:r>
      <w:r w:rsidR="002A786C" w:rsidRPr="00FF6E12">
        <w:t>Participant</w:t>
      </w:r>
      <w:r w:rsidR="00141AFF" w:rsidRPr="00FF6E12">
        <w:t xml:space="preserve"> 20</w:t>
      </w:r>
      <w:r w:rsidR="0054651F" w:rsidRPr="00FF6E12">
        <w:t>.</w:t>
      </w:r>
    </w:p>
  </w:footnote>
  <w:footnote w:id="574">
    <w:p w14:paraId="57704613" w14:textId="7C39EDB7" w:rsidR="00CB540C" w:rsidRPr="00FF6E12" w:rsidRDefault="00CB540C">
      <w:pPr>
        <w:pStyle w:val="FootnoteText"/>
      </w:pPr>
      <w:r w:rsidRPr="00FF6E12">
        <w:rPr>
          <w:rStyle w:val="FootnoteReference"/>
        </w:rPr>
        <w:footnoteRef/>
      </w:r>
      <w:r w:rsidRPr="00FF6E12">
        <w:t xml:space="preserve"> </w:t>
      </w:r>
      <w:r w:rsidR="002A786C" w:rsidRPr="00FF6E12">
        <w:t>Participant</w:t>
      </w:r>
      <w:r w:rsidR="00141AFF" w:rsidRPr="00FF6E12">
        <w:t xml:space="preserve"> 9</w:t>
      </w:r>
      <w:r w:rsidR="00DF7DDF" w:rsidRPr="00FF6E12">
        <w:t>.</w:t>
      </w:r>
    </w:p>
  </w:footnote>
  <w:footnote w:id="575">
    <w:p w14:paraId="0CF80AED" w14:textId="171C15E0" w:rsidR="00B00296" w:rsidRPr="00FF6E12" w:rsidRDefault="00B00296">
      <w:pPr>
        <w:pStyle w:val="FootnoteText"/>
      </w:pPr>
      <w:r w:rsidRPr="00FF6E12">
        <w:rPr>
          <w:rStyle w:val="FootnoteReference"/>
        </w:rPr>
        <w:footnoteRef/>
      </w:r>
      <w:r w:rsidRPr="00FF6E12">
        <w:t xml:space="preserve"> </w:t>
      </w:r>
      <w:r w:rsidR="002A786C" w:rsidRPr="00FF6E12">
        <w:t>Participant</w:t>
      </w:r>
      <w:r w:rsidR="00141AFF" w:rsidRPr="00FF6E12">
        <w:t xml:space="preserve"> 27</w:t>
      </w:r>
      <w:r w:rsidRPr="00FF6E12">
        <w:t>.</w:t>
      </w:r>
    </w:p>
  </w:footnote>
  <w:footnote w:id="576">
    <w:p w14:paraId="5649B143" w14:textId="6795ABDA" w:rsidR="00076304" w:rsidRPr="00FF6E12" w:rsidRDefault="00076304">
      <w:pPr>
        <w:pStyle w:val="FootnoteText"/>
      </w:pPr>
      <w:r w:rsidRPr="00FF6E12">
        <w:rPr>
          <w:rStyle w:val="FootnoteReference"/>
        </w:rPr>
        <w:footnoteRef/>
      </w:r>
      <w:r w:rsidRPr="00FF6E12">
        <w:t xml:space="preserve"> </w:t>
      </w:r>
      <w:r w:rsidR="002A786C" w:rsidRPr="00FF6E12">
        <w:t>Participant</w:t>
      </w:r>
      <w:r w:rsidR="00141AFF" w:rsidRPr="00FF6E12">
        <w:t xml:space="preserve"> 10</w:t>
      </w:r>
      <w:r w:rsidR="002E1E3E" w:rsidRPr="00FF6E12">
        <w:t>.</w:t>
      </w:r>
    </w:p>
  </w:footnote>
  <w:footnote w:id="577">
    <w:p w14:paraId="696D575F" w14:textId="29536E30" w:rsidR="00982523" w:rsidRPr="00FF6E12" w:rsidRDefault="00982523">
      <w:pPr>
        <w:pStyle w:val="FootnoteText"/>
      </w:pPr>
      <w:r w:rsidRPr="00FF6E12">
        <w:rPr>
          <w:rStyle w:val="FootnoteReference"/>
        </w:rPr>
        <w:footnoteRef/>
      </w:r>
      <w:r w:rsidRPr="00FF6E12">
        <w:t xml:space="preserve"> </w:t>
      </w:r>
      <w:r w:rsidR="002A786C" w:rsidRPr="00FF6E12">
        <w:t>Participant</w:t>
      </w:r>
      <w:r w:rsidR="00141AFF" w:rsidRPr="00FF6E12">
        <w:t xml:space="preserve"> 10</w:t>
      </w:r>
      <w:r w:rsidRPr="00FF6E12">
        <w:t>.</w:t>
      </w:r>
    </w:p>
  </w:footnote>
  <w:footnote w:id="578">
    <w:p w14:paraId="50BE2F9D" w14:textId="04CD7418" w:rsidR="00982523" w:rsidRPr="00FF6E12" w:rsidRDefault="00982523">
      <w:pPr>
        <w:pStyle w:val="FootnoteText"/>
      </w:pPr>
      <w:r w:rsidRPr="00FF6E12">
        <w:rPr>
          <w:rStyle w:val="FootnoteReference"/>
        </w:rPr>
        <w:footnoteRef/>
      </w:r>
      <w:r w:rsidRPr="00FF6E12">
        <w:t xml:space="preserve"> </w:t>
      </w:r>
      <w:r w:rsidR="002A786C" w:rsidRPr="00FF6E12">
        <w:t>Participant</w:t>
      </w:r>
      <w:r w:rsidR="00141AFF" w:rsidRPr="00FF6E12">
        <w:t xml:space="preserve"> 27</w:t>
      </w:r>
      <w:r w:rsidRPr="00FF6E12">
        <w:t>.</w:t>
      </w:r>
    </w:p>
  </w:footnote>
  <w:footnote w:id="579">
    <w:p w14:paraId="732D69E0" w14:textId="5AC350C3" w:rsidR="00C47297" w:rsidRPr="00FF6E12" w:rsidRDefault="00C47297">
      <w:pPr>
        <w:pStyle w:val="FootnoteText"/>
      </w:pPr>
      <w:r w:rsidRPr="00FF6E12">
        <w:rPr>
          <w:rStyle w:val="FootnoteReference"/>
        </w:rPr>
        <w:footnoteRef/>
      </w:r>
      <w:r w:rsidRPr="00FF6E12">
        <w:t xml:space="preserve"> </w:t>
      </w:r>
      <w:r w:rsidR="002A786C" w:rsidRPr="00FF6E12">
        <w:t>Participant</w:t>
      </w:r>
      <w:r w:rsidR="00141AFF" w:rsidRPr="00FF6E12">
        <w:t xml:space="preserve"> 8</w:t>
      </w:r>
      <w:r w:rsidR="00D1694D" w:rsidRPr="00FF6E12">
        <w:t>.</w:t>
      </w:r>
    </w:p>
  </w:footnote>
  <w:footnote w:id="580">
    <w:p w14:paraId="4913802F" w14:textId="6173519E" w:rsidR="008F10B9" w:rsidRPr="00FF6E12" w:rsidRDefault="008F10B9">
      <w:pPr>
        <w:pStyle w:val="FootnoteText"/>
      </w:pPr>
      <w:r w:rsidRPr="00FF6E12">
        <w:rPr>
          <w:rStyle w:val="FootnoteReference"/>
        </w:rPr>
        <w:footnoteRef/>
      </w:r>
      <w:r w:rsidRPr="00FF6E12">
        <w:t xml:space="preserve"> </w:t>
      </w:r>
      <w:r w:rsidR="002A786C" w:rsidRPr="00FF6E12">
        <w:t>Participant</w:t>
      </w:r>
      <w:r w:rsidR="00141AFF" w:rsidRPr="00FF6E12">
        <w:t xml:space="preserve"> 23</w:t>
      </w:r>
      <w:r w:rsidRPr="00FF6E12">
        <w:t>.</w:t>
      </w:r>
    </w:p>
  </w:footnote>
  <w:footnote w:id="581">
    <w:p w14:paraId="0A1E907A" w14:textId="1261A0BE" w:rsidR="00821497" w:rsidRPr="00FF6E12" w:rsidRDefault="00821497">
      <w:pPr>
        <w:pStyle w:val="FootnoteText"/>
      </w:pPr>
      <w:r w:rsidRPr="00FF6E12">
        <w:rPr>
          <w:rStyle w:val="FootnoteReference"/>
        </w:rPr>
        <w:footnoteRef/>
      </w:r>
      <w:r w:rsidRPr="00FF6E12">
        <w:t xml:space="preserve"> </w:t>
      </w:r>
      <w:r w:rsidR="00F7334E" w:rsidRPr="00FF6E12">
        <w:t xml:space="preserve">Participant </w:t>
      </w:r>
      <w:r w:rsidR="004434D2" w:rsidRPr="00FF6E12">
        <w:t>1</w:t>
      </w:r>
      <w:r w:rsidRPr="00FF6E12">
        <w:t>.</w:t>
      </w:r>
    </w:p>
  </w:footnote>
  <w:footnote w:id="582">
    <w:p w14:paraId="7AC00BF3" w14:textId="70B67200" w:rsidR="00821497" w:rsidRPr="00FF6E12" w:rsidRDefault="00821497">
      <w:pPr>
        <w:pStyle w:val="FootnoteText"/>
      </w:pPr>
      <w:r w:rsidRPr="00FF6E12">
        <w:rPr>
          <w:rStyle w:val="FootnoteReference"/>
        </w:rPr>
        <w:footnoteRef/>
      </w:r>
      <w:r w:rsidRPr="00FF6E12">
        <w:t xml:space="preserve"> </w:t>
      </w:r>
      <w:r w:rsidR="0058718C" w:rsidRPr="00FF6E12">
        <w:t xml:space="preserve">Participant </w:t>
      </w:r>
      <w:r w:rsidR="00B25702" w:rsidRPr="00FF6E12">
        <w:t>17</w:t>
      </w:r>
      <w:r w:rsidRPr="00FF6E12">
        <w:t>.</w:t>
      </w:r>
    </w:p>
  </w:footnote>
  <w:footnote w:id="583">
    <w:p w14:paraId="15583041" w14:textId="7AFB7FF7" w:rsidR="0088395B" w:rsidRPr="00FF6E12" w:rsidRDefault="0088395B" w:rsidP="00A920EC">
      <w:pPr>
        <w:pStyle w:val="FootnoteText"/>
      </w:pPr>
      <w:r w:rsidRPr="00FF6E12">
        <w:rPr>
          <w:rStyle w:val="FootnoteReference"/>
        </w:rPr>
        <w:footnoteRef/>
      </w:r>
      <w:r w:rsidRPr="00FF6E12">
        <w:t xml:space="preserve"> </w:t>
      </w:r>
      <w:r w:rsidR="002A786C" w:rsidRPr="00FF6E12">
        <w:t>Participant</w:t>
      </w:r>
      <w:r w:rsidR="004434D2" w:rsidRPr="00FF6E12">
        <w:t xml:space="preserve"> 5</w:t>
      </w:r>
      <w:r w:rsidRPr="00FF6E12">
        <w:t>.</w:t>
      </w:r>
    </w:p>
  </w:footnote>
  <w:footnote w:id="584">
    <w:p w14:paraId="7B8CE1D0" w14:textId="632D516B" w:rsidR="00371542" w:rsidRPr="00FF6E12" w:rsidRDefault="00371542">
      <w:pPr>
        <w:pStyle w:val="FootnoteText"/>
      </w:pPr>
      <w:r w:rsidRPr="00FF6E12">
        <w:rPr>
          <w:rStyle w:val="FootnoteReference"/>
        </w:rPr>
        <w:footnoteRef/>
      </w:r>
      <w:r w:rsidRPr="00FF6E12">
        <w:t xml:space="preserve"> </w:t>
      </w:r>
      <w:r w:rsidR="002A786C" w:rsidRPr="00FF6E12">
        <w:t>Participant</w:t>
      </w:r>
      <w:r w:rsidR="00141AFF" w:rsidRPr="00FF6E12">
        <w:t xml:space="preserve"> 24</w:t>
      </w:r>
      <w:r w:rsidR="005C6597" w:rsidRPr="00FF6E12">
        <w:t>.</w:t>
      </w:r>
    </w:p>
  </w:footnote>
  <w:footnote w:id="585">
    <w:p w14:paraId="7C92D00A" w14:textId="03318CA9" w:rsidR="00101E73" w:rsidRPr="00FF6E12" w:rsidRDefault="00101E73">
      <w:pPr>
        <w:pStyle w:val="FootnoteText"/>
      </w:pPr>
      <w:r w:rsidRPr="00FF6E12">
        <w:rPr>
          <w:rStyle w:val="FootnoteReference"/>
        </w:rPr>
        <w:footnoteRef/>
      </w:r>
      <w:r w:rsidRPr="00FF6E12">
        <w:t xml:space="preserve"> </w:t>
      </w:r>
      <w:r w:rsidR="002A786C" w:rsidRPr="00FF6E12">
        <w:t>Participant</w:t>
      </w:r>
      <w:r w:rsidR="00141AFF" w:rsidRPr="00FF6E12">
        <w:t xml:space="preserve"> 14</w:t>
      </w:r>
      <w:r w:rsidRPr="00FF6E12">
        <w:t>.</w:t>
      </w:r>
    </w:p>
  </w:footnote>
  <w:footnote w:id="586">
    <w:p w14:paraId="73E77AFE" w14:textId="35FB7B5E" w:rsidR="009745D7" w:rsidRPr="00FF6E12" w:rsidRDefault="009745D7">
      <w:pPr>
        <w:pStyle w:val="FootnoteText"/>
      </w:pPr>
      <w:r w:rsidRPr="00FF6E12">
        <w:rPr>
          <w:rStyle w:val="FootnoteReference"/>
        </w:rPr>
        <w:footnoteRef/>
      </w:r>
      <w:r w:rsidRPr="00FF6E12">
        <w:t xml:space="preserve"> </w:t>
      </w:r>
      <w:r w:rsidR="006030D1" w:rsidRPr="00FF6E12">
        <w:t xml:space="preserve">Participant </w:t>
      </w:r>
      <w:r w:rsidR="004434D2" w:rsidRPr="00FF6E12">
        <w:t>1</w:t>
      </w:r>
      <w:r w:rsidRPr="00FF6E12">
        <w:t>.</w:t>
      </w:r>
    </w:p>
  </w:footnote>
  <w:footnote w:id="587">
    <w:p w14:paraId="0337AC59" w14:textId="26E8F967" w:rsidR="00442D4A" w:rsidRPr="00FF6E12" w:rsidRDefault="00442D4A">
      <w:pPr>
        <w:pStyle w:val="FootnoteText"/>
      </w:pPr>
      <w:r w:rsidRPr="00FF6E12">
        <w:rPr>
          <w:rStyle w:val="FootnoteReference"/>
        </w:rPr>
        <w:footnoteRef/>
      </w:r>
      <w:r w:rsidRPr="00FF6E12">
        <w:t xml:space="preserve"> </w:t>
      </w:r>
      <w:r w:rsidR="002A786C" w:rsidRPr="00FF6E12">
        <w:t>Participant</w:t>
      </w:r>
      <w:r w:rsidR="00141AFF" w:rsidRPr="00FF6E12">
        <w:t xml:space="preserve"> 37</w:t>
      </w:r>
      <w:r w:rsidR="00886BD1" w:rsidRPr="00FF6E12">
        <w:t>.</w:t>
      </w:r>
    </w:p>
  </w:footnote>
  <w:footnote w:id="588">
    <w:p w14:paraId="2B3E5F59" w14:textId="7A0DC5FE" w:rsidR="007A1DA3" w:rsidRPr="00FF6E12" w:rsidRDefault="007A1DA3">
      <w:pPr>
        <w:pStyle w:val="FootnoteText"/>
      </w:pPr>
      <w:r w:rsidRPr="00FF6E12">
        <w:rPr>
          <w:rStyle w:val="FootnoteReference"/>
        </w:rPr>
        <w:footnoteRef/>
      </w:r>
      <w:r w:rsidRPr="00FF6E12">
        <w:t xml:space="preserve"> </w:t>
      </w:r>
      <w:r w:rsidR="002A786C" w:rsidRPr="00FF6E12">
        <w:t>Participant</w:t>
      </w:r>
      <w:r w:rsidR="00141AFF" w:rsidRPr="00FF6E12">
        <w:t xml:space="preserve"> 13</w:t>
      </w:r>
      <w:r w:rsidR="00895420" w:rsidRPr="00FF6E12">
        <w:t>.</w:t>
      </w:r>
    </w:p>
  </w:footnote>
  <w:footnote w:id="589">
    <w:p w14:paraId="54361B74" w14:textId="08E572BF" w:rsidR="00362ACD" w:rsidRPr="00FF6E12" w:rsidRDefault="00362ACD">
      <w:pPr>
        <w:pStyle w:val="FootnoteText"/>
      </w:pPr>
      <w:r w:rsidRPr="00FF6E12">
        <w:rPr>
          <w:rStyle w:val="FootnoteReference"/>
        </w:rPr>
        <w:footnoteRef/>
      </w:r>
      <w:r w:rsidRPr="00FF6E12">
        <w:t xml:space="preserve"> </w:t>
      </w:r>
      <w:r w:rsidR="002A786C" w:rsidRPr="00FF6E12">
        <w:t>Participant</w:t>
      </w:r>
      <w:r w:rsidR="00141AFF" w:rsidRPr="00FF6E12">
        <w:t xml:space="preserve"> 24</w:t>
      </w:r>
      <w:r w:rsidRPr="00FF6E12">
        <w:t>.</w:t>
      </w:r>
    </w:p>
  </w:footnote>
  <w:footnote w:id="590">
    <w:p w14:paraId="634C18B6" w14:textId="3181448B" w:rsidR="00A67198" w:rsidRPr="00FF6E12" w:rsidRDefault="00A67198"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23</w:t>
      </w:r>
      <w:r w:rsidRPr="00FF6E12">
        <w:t>.</w:t>
      </w:r>
    </w:p>
  </w:footnote>
  <w:footnote w:id="591">
    <w:p w14:paraId="7535DCAA" w14:textId="18D46B5B" w:rsidR="000E41D8" w:rsidRPr="00FF6E12" w:rsidRDefault="000E41D8">
      <w:pPr>
        <w:pStyle w:val="FootnoteText"/>
      </w:pPr>
      <w:r w:rsidRPr="00FF6E12">
        <w:rPr>
          <w:rStyle w:val="FootnoteReference"/>
        </w:rPr>
        <w:footnoteRef/>
      </w:r>
      <w:r w:rsidRPr="00FF6E12">
        <w:t xml:space="preserve"> </w:t>
      </w:r>
      <w:r w:rsidR="002A786C" w:rsidRPr="00FF6E12">
        <w:t>Participant</w:t>
      </w:r>
      <w:r w:rsidR="00141AFF" w:rsidRPr="00FF6E12">
        <w:t xml:space="preserve"> 34</w:t>
      </w:r>
      <w:r w:rsidR="00EB74F6" w:rsidRPr="00FF6E12">
        <w:t>.</w:t>
      </w:r>
    </w:p>
  </w:footnote>
  <w:footnote w:id="592">
    <w:p w14:paraId="6F1DF5FD" w14:textId="05E8423C" w:rsidR="00793802" w:rsidRPr="00FF6E12" w:rsidRDefault="00793802">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Pr="00FF6E12">
        <w:t>.</w:t>
      </w:r>
    </w:p>
  </w:footnote>
  <w:footnote w:id="593">
    <w:p w14:paraId="70F307B1" w14:textId="043051BB" w:rsidR="00460A0C" w:rsidRPr="00FF6E12" w:rsidRDefault="00460A0C"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9</w:t>
      </w:r>
      <w:r w:rsidR="00385BA7" w:rsidRPr="00FF6E12">
        <w:t>.</w:t>
      </w:r>
    </w:p>
  </w:footnote>
  <w:footnote w:id="594">
    <w:p w14:paraId="7FE7503D" w14:textId="6887C269" w:rsidR="00285D57" w:rsidRPr="00FF6E12" w:rsidRDefault="00285D57">
      <w:pPr>
        <w:pStyle w:val="FootnoteText"/>
      </w:pPr>
      <w:r w:rsidRPr="00FF6E12">
        <w:rPr>
          <w:rStyle w:val="FootnoteReference"/>
        </w:rPr>
        <w:footnoteRef/>
      </w:r>
      <w:r w:rsidRPr="00FF6E12">
        <w:t xml:space="preserve"> </w:t>
      </w:r>
      <w:r w:rsidR="002A786C" w:rsidRPr="00FF6E12">
        <w:t>Participant</w:t>
      </w:r>
      <w:r w:rsidR="00141AFF" w:rsidRPr="00FF6E12">
        <w:t xml:space="preserve"> 30</w:t>
      </w:r>
      <w:r w:rsidRPr="00FF6E12">
        <w:t>.</w:t>
      </w:r>
    </w:p>
  </w:footnote>
  <w:footnote w:id="595">
    <w:p w14:paraId="39E0C3E4" w14:textId="4033094F" w:rsidR="007C1AF7" w:rsidRPr="00FF6E12" w:rsidRDefault="007C1AF7" w:rsidP="00A920EC">
      <w:pPr>
        <w:pStyle w:val="FootnoteText"/>
      </w:pPr>
      <w:r w:rsidRPr="00FF6E12">
        <w:rPr>
          <w:rStyle w:val="FootnoteReference"/>
        </w:rPr>
        <w:footnoteRef/>
      </w:r>
      <w:r w:rsidRPr="00FF6E12">
        <w:t xml:space="preserve"> </w:t>
      </w:r>
      <w:r w:rsidR="002A786C" w:rsidRPr="00FF6E12">
        <w:t>Participant</w:t>
      </w:r>
      <w:r w:rsidR="004434D2" w:rsidRPr="00FF6E12">
        <w:t xml:space="preserve"> 4</w:t>
      </w:r>
      <w:r w:rsidR="007B3C6E" w:rsidRPr="00FF6E12">
        <w:t>.</w:t>
      </w:r>
    </w:p>
  </w:footnote>
  <w:footnote w:id="596">
    <w:p w14:paraId="027954BE" w14:textId="405847EA" w:rsidR="007C1AF7" w:rsidRPr="00FF6E12" w:rsidRDefault="007C1AF7">
      <w:pPr>
        <w:pStyle w:val="FootnoteText"/>
      </w:pPr>
      <w:r w:rsidRPr="00FF6E12">
        <w:rPr>
          <w:rStyle w:val="FootnoteReference"/>
        </w:rPr>
        <w:footnoteRef/>
      </w:r>
      <w:r w:rsidRPr="00FF6E12">
        <w:t xml:space="preserve"> </w:t>
      </w:r>
      <w:r w:rsidR="00C17F63" w:rsidRPr="00FF6E12">
        <w:t xml:space="preserve">Participant </w:t>
      </w:r>
      <w:r w:rsidRPr="00FF6E12">
        <w:t>3</w:t>
      </w:r>
      <w:r w:rsidR="00367E45" w:rsidRPr="00FF6E12">
        <w:t>2</w:t>
      </w:r>
      <w:r w:rsidR="007B3C6E" w:rsidRPr="00FF6E12">
        <w:t>.</w:t>
      </w:r>
    </w:p>
  </w:footnote>
  <w:footnote w:id="597">
    <w:p w14:paraId="592E5ABC" w14:textId="6BBF4BFB" w:rsidR="000222DC" w:rsidRPr="00FF6E12" w:rsidRDefault="000222DC"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20</w:t>
      </w:r>
      <w:r w:rsidRPr="00FF6E12">
        <w:t>.</w:t>
      </w:r>
    </w:p>
  </w:footnote>
  <w:footnote w:id="598">
    <w:p w14:paraId="249FC40C" w14:textId="469A537B" w:rsidR="000222DC" w:rsidRPr="00FF6E12" w:rsidRDefault="000222DC">
      <w:pPr>
        <w:pStyle w:val="FootnoteText"/>
      </w:pPr>
      <w:r w:rsidRPr="00FF6E12">
        <w:rPr>
          <w:rStyle w:val="FootnoteReference"/>
        </w:rPr>
        <w:footnoteRef/>
      </w:r>
      <w:r w:rsidRPr="00FF6E12">
        <w:t xml:space="preserve"> </w:t>
      </w:r>
      <w:r w:rsidR="002A786C" w:rsidRPr="00FF6E12">
        <w:t>Participant</w:t>
      </w:r>
      <w:r w:rsidR="004434D2" w:rsidRPr="00FF6E12">
        <w:t xml:space="preserve"> 1</w:t>
      </w:r>
      <w:r w:rsidRPr="00FF6E12">
        <w:t>.</w:t>
      </w:r>
    </w:p>
  </w:footnote>
  <w:footnote w:id="599">
    <w:p w14:paraId="0F6C8654" w14:textId="77777777" w:rsidR="00AD2359" w:rsidRPr="00FF6E12" w:rsidRDefault="00AD2359" w:rsidP="00AD2359">
      <w:pPr>
        <w:pStyle w:val="FootnoteText"/>
      </w:pPr>
      <w:r w:rsidRPr="00FF6E12">
        <w:rPr>
          <w:rStyle w:val="FootnoteReference"/>
        </w:rPr>
        <w:footnoteRef/>
      </w:r>
      <w:r w:rsidRPr="00FF6E12">
        <w:t xml:space="preserve"> Participant 1, Participant 26.</w:t>
      </w:r>
    </w:p>
  </w:footnote>
  <w:footnote w:id="600">
    <w:p w14:paraId="6CDE8832" w14:textId="76F8D4B4" w:rsidR="006C7B61" w:rsidRPr="00FF6E12" w:rsidRDefault="006C7B61">
      <w:pPr>
        <w:pStyle w:val="FootnoteText"/>
      </w:pPr>
      <w:r w:rsidRPr="00FF6E12">
        <w:rPr>
          <w:rStyle w:val="FootnoteReference"/>
        </w:rPr>
        <w:footnoteRef/>
      </w:r>
      <w:r w:rsidRPr="00FF6E12">
        <w:t xml:space="preserve"> See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00186EC7" w:rsidRPr="00FF6E12">
        <w:t xml:space="preserve">Royal Commission into Institutional Responses to Child Sexual Abuse (n 13) </w:t>
      </w:r>
      <w:r w:rsidRPr="00A920EC">
        <w:rPr>
          <w:i/>
          <w:iCs/>
        </w:rPr>
        <w:t>Criminal Justice Executive Summary and Parts I</w:t>
      </w:r>
      <w:r w:rsidR="00186EC7" w:rsidRPr="00FF6E12">
        <w:rPr>
          <w:i/>
          <w:iCs/>
        </w:rPr>
        <w:t>–</w:t>
      </w:r>
      <w:r w:rsidRPr="00A920EC">
        <w:rPr>
          <w:i/>
          <w:iCs/>
        </w:rPr>
        <w:t>II</w:t>
      </w:r>
      <w:r w:rsidR="00186EC7" w:rsidRPr="00FF6E12">
        <w:rPr>
          <w:i/>
          <w:iCs/>
        </w:rPr>
        <w:t>,</w:t>
      </w:r>
      <w:r w:rsidR="00186EC7" w:rsidRPr="00FF6E12">
        <w:t xml:space="preserve"> </w:t>
      </w:r>
      <w:r w:rsidRPr="00FF6E12">
        <w:t>165–166</w:t>
      </w:r>
      <w:r w:rsidR="00A7106E" w:rsidRPr="00FF6E12">
        <w:t>; VLRC</w:t>
      </w:r>
      <w:r w:rsidR="00EB74F6" w:rsidRPr="00FF6E12">
        <w:t xml:space="preserve">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w:t>
      </w:r>
      <w:r w:rsidR="00343E7B" w:rsidRPr="00FF6E12">
        <w:t xml:space="preserve"> </w:t>
      </w:r>
      <w:r w:rsidR="00C563DD" w:rsidRPr="00FF6E12">
        <w:t>[2.26]–[2.28</w:t>
      </w:r>
      <w:r w:rsidR="00A72A52" w:rsidRPr="00FF6E12">
        <w:t>]</w:t>
      </w:r>
      <w:r w:rsidR="00C563DD" w:rsidRPr="00FF6E12">
        <w:t>.</w:t>
      </w:r>
    </w:p>
  </w:footnote>
  <w:footnote w:id="601">
    <w:p w14:paraId="301BCC25" w14:textId="2622DB02" w:rsidR="006C7B61" w:rsidRPr="00FF6E12" w:rsidRDefault="006C7B61">
      <w:pPr>
        <w:pStyle w:val="FootnoteText"/>
      </w:pPr>
      <w:r w:rsidRPr="00FF6E12">
        <w:rPr>
          <w:rStyle w:val="FootnoteReference"/>
        </w:rPr>
        <w:footnoteRef/>
      </w:r>
      <w:r w:rsidRPr="00FF6E12">
        <w:t xml:space="preserve"> </w:t>
      </w:r>
      <w:r w:rsidR="00E54A5E" w:rsidRPr="00FF6E12">
        <w:t xml:space="preserve">Australian Bureau of Statistics, </w:t>
      </w:r>
      <w:r w:rsidR="00E54A5E" w:rsidRPr="00A920EC">
        <w:rPr>
          <w:i/>
          <w:iCs/>
        </w:rPr>
        <w:t>Sexual Violence, 2021</w:t>
      </w:r>
      <w:r w:rsidR="007F5E2A" w:rsidRPr="00A920EC">
        <w:rPr>
          <w:i/>
          <w:iCs/>
        </w:rPr>
        <w:t>–</w:t>
      </w:r>
      <w:r w:rsidR="00E54A5E" w:rsidRPr="00A920EC">
        <w:rPr>
          <w:i/>
          <w:iCs/>
        </w:rPr>
        <w:t xml:space="preserve">22 Financial Year </w:t>
      </w:r>
      <w:r w:rsidR="00E54A5E" w:rsidRPr="00FF6E12">
        <w:t xml:space="preserve">(23 August 2023) </w:t>
      </w:r>
      <w:r w:rsidRPr="00FF6E12">
        <w:t xml:space="preserve">in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w:t>
      </w:r>
      <w:r w:rsidR="00A01358" w:rsidRPr="00FF6E12">
        <w:t xml:space="preserve"> </w:t>
      </w:r>
      <w:r w:rsidRPr="00FF6E12">
        <w:t xml:space="preserve">[2.22]. See </w:t>
      </w:r>
      <w:r w:rsidR="00AB4867" w:rsidRPr="00FF6E12">
        <w:t xml:space="preserve">also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ch</w:t>
      </w:r>
      <w:r w:rsidRPr="00FF6E12">
        <w:t xml:space="preserve"> 3 for a discussion of barriers to disclosure and reporting. </w:t>
      </w:r>
    </w:p>
  </w:footnote>
  <w:footnote w:id="602">
    <w:p w14:paraId="35736329" w14:textId="741EB2E8" w:rsidR="006C7B61" w:rsidRPr="00FF6E12" w:rsidRDefault="006C7B61">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Pr="00FF6E12">
        <w:t>[1.3].</w:t>
      </w:r>
    </w:p>
  </w:footnote>
  <w:footnote w:id="603">
    <w:p w14:paraId="26AFECD2" w14:textId="70E3D875" w:rsidR="006C7B61" w:rsidRPr="00FF6E12" w:rsidRDefault="006C7B61">
      <w:pPr>
        <w:pStyle w:val="FootnoteText"/>
      </w:pPr>
      <w:r w:rsidRPr="00FF6E12">
        <w:rPr>
          <w:rStyle w:val="FootnoteReference"/>
        </w:rPr>
        <w:footnoteRef/>
      </w:r>
      <w:r w:rsidRPr="00FF6E12">
        <w:t xml:space="preserve"> </w:t>
      </w:r>
      <w:r w:rsidR="001332C7" w:rsidRPr="00FF6E12">
        <w:t>Ibid</w:t>
      </w:r>
      <w:r w:rsidR="004E4CBD" w:rsidRPr="00FF6E12">
        <w:t xml:space="preserve"> </w:t>
      </w:r>
      <w:r w:rsidRPr="00FF6E12">
        <w:t>[2.21].</w:t>
      </w:r>
    </w:p>
  </w:footnote>
  <w:footnote w:id="604">
    <w:p w14:paraId="461CEE5C" w14:textId="6FF3FF0E" w:rsidR="006C7B61" w:rsidRPr="00FF6E12" w:rsidRDefault="006C7B61">
      <w:pPr>
        <w:pStyle w:val="FootnoteText"/>
        <w:rPr>
          <w:i/>
          <w:iCs/>
        </w:rPr>
      </w:pPr>
      <w:r w:rsidRPr="00FF6E12">
        <w:rPr>
          <w:rStyle w:val="FootnoteReference"/>
        </w:rPr>
        <w:footnoteRef/>
      </w:r>
      <w:r w:rsidRPr="00FF6E12">
        <w:t xml:space="preserve"> </w:t>
      </w:r>
      <w:r w:rsidR="00EF053F" w:rsidRPr="00FF6E12">
        <w:t xml:space="preserve">See </w:t>
      </w:r>
      <w:r w:rsidR="00186EC7" w:rsidRPr="00FF6E12">
        <w:t>Royal Commission into Institutional Responses to Child Sexual Abuse (n 13)</w:t>
      </w:r>
      <w:r w:rsidR="00EF053F" w:rsidRPr="00FF6E12">
        <w:rPr>
          <w:i/>
          <w:iCs/>
        </w:rPr>
        <w:t>.</w:t>
      </w:r>
    </w:p>
  </w:footnote>
  <w:footnote w:id="605">
    <w:p w14:paraId="5EF1107E" w14:textId="33D396DD" w:rsidR="006C7B61" w:rsidRPr="00FF6E12" w:rsidRDefault="006C7B61">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ch </w:t>
      </w:r>
      <w:r w:rsidR="00075DEA" w:rsidRPr="00FF6E12">
        <w:t>3.</w:t>
      </w:r>
      <w:r w:rsidRPr="00FF6E12">
        <w:t xml:space="preserve"> </w:t>
      </w:r>
    </w:p>
  </w:footnote>
  <w:footnote w:id="606">
    <w:p w14:paraId="23CEFF7C" w14:textId="1E201F0D" w:rsidR="005D74EE" w:rsidRPr="00FF6E12" w:rsidRDefault="005D74EE">
      <w:pPr>
        <w:pStyle w:val="FootnoteText"/>
      </w:pPr>
      <w:r w:rsidRPr="00FF6E12">
        <w:rPr>
          <w:rStyle w:val="FootnoteReference"/>
        </w:rPr>
        <w:footnoteRef/>
      </w:r>
      <w:r w:rsidRPr="00FF6E12">
        <w:t xml:space="preserve"> See further </w:t>
      </w:r>
      <w:r w:rsidR="00CB7385" w:rsidRPr="00FF6E12">
        <w:t>[</w:t>
      </w:r>
      <w:r w:rsidR="003C2C40">
        <w:fldChar w:fldCharType="begin"/>
      </w:r>
      <w:r w:rsidR="003C2C40">
        <w:instrText xml:space="preserve"> REF _Ref218240989 \r \h </w:instrText>
      </w:r>
      <w:r w:rsidR="003C2C40">
        <w:fldChar w:fldCharType="separate"/>
      </w:r>
      <w:r w:rsidR="007D7830">
        <w:t>6.2.2</w:t>
      </w:r>
      <w:r w:rsidR="003C2C40">
        <w:fldChar w:fldCharType="end"/>
      </w:r>
      <w:r w:rsidR="00CB7385" w:rsidRPr="00FF6E12">
        <w:t>].</w:t>
      </w:r>
    </w:p>
  </w:footnote>
  <w:footnote w:id="607">
    <w:p w14:paraId="6112A024" w14:textId="463668EB" w:rsidR="006C7B61" w:rsidRPr="00FF6E12" w:rsidRDefault="006C7B61">
      <w:pPr>
        <w:pStyle w:val="FootnoteText"/>
      </w:pPr>
      <w:r w:rsidRPr="00FF6E12">
        <w:rPr>
          <w:rStyle w:val="FootnoteReference"/>
        </w:rPr>
        <w:footnoteRef/>
      </w:r>
      <w:r w:rsidRPr="00FF6E12">
        <w:t xml:space="preserve"> B</w:t>
      </w:r>
      <w:r w:rsidR="00E54A5E" w:rsidRPr="00FF6E12">
        <w:t>en</w:t>
      </w:r>
      <w:r w:rsidRPr="00FF6E12">
        <w:t xml:space="preserve"> Mathews et al, ‘Disclosure and Non-disclosure of childhood sexual abuse in Australia: Results from a National Survey (2025) 160 </w:t>
      </w:r>
      <w:r w:rsidRPr="00FF6E12">
        <w:rPr>
          <w:i/>
          <w:iCs/>
        </w:rPr>
        <w:t xml:space="preserve">Child Abuse and Neglect </w:t>
      </w:r>
      <w:r w:rsidRPr="00FF6E12">
        <w:t xml:space="preserve">107183 </w:t>
      </w:r>
      <w:r w:rsidR="00E54A5E" w:rsidRPr="00FF6E12">
        <w:t>&lt;</w:t>
      </w:r>
      <w:r w:rsidR="00E54A5E" w:rsidRPr="00A920EC">
        <w:t>https://doi.org/10.1016/j.chiabu.2024.107183</w:t>
      </w:r>
      <w:r w:rsidR="00E54A5E" w:rsidRPr="00FF6E12">
        <w:t xml:space="preserve">&gt; </w:t>
      </w:r>
      <w:r w:rsidR="009F06BB" w:rsidRPr="00FF6E12">
        <w:t>[</w:t>
      </w:r>
      <w:r w:rsidRPr="00FF6E12">
        <w:t>4.1</w:t>
      </w:r>
      <w:r w:rsidR="009F06BB" w:rsidRPr="00FF6E12">
        <w:t>]</w:t>
      </w:r>
      <w:r w:rsidR="00211090" w:rsidRPr="00FF6E12">
        <w:t>.</w:t>
      </w:r>
    </w:p>
  </w:footnote>
  <w:footnote w:id="608">
    <w:p w14:paraId="22967446" w14:textId="22147AE5" w:rsidR="006C7B61" w:rsidRPr="00FF6E12" w:rsidRDefault="006C7B61">
      <w:pPr>
        <w:pStyle w:val="FootnoteText"/>
      </w:pPr>
      <w:r w:rsidRPr="00FF6E12">
        <w:rPr>
          <w:rStyle w:val="FootnoteReference"/>
        </w:rPr>
        <w:footnoteRef/>
      </w:r>
      <w:r w:rsidRPr="00FF6E12">
        <w:t xml:space="preserve"> </w:t>
      </w:r>
      <w:r w:rsidR="00E54A5E" w:rsidRPr="00FF6E12">
        <w:t>Ibid</w:t>
      </w:r>
      <w:r w:rsidRPr="00FF6E12">
        <w:rPr>
          <w:i/>
          <w:iCs/>
        </w:rPr>
        <w:t xml:space="preserve"> </w:t>
      </w:r>
      <w:r w:rsidR="00E62CCB" w:rsidRPr="00FF6E12">
        <w:t>[</w:t>
      </w:r>
      <w:r w:rsidRPr="00FF6E12">
        <w:t>3.5.2</w:t>
      </w:r>
      <w:r w:rsidR="00E62CCB" w:rsidRPr="00FF6E12">
        <w:t>]</w:t>
      </w:r>
      <w:r w:rsidR="00211090" w:rsidRPr="00FF6E12">
        <w:t>.</w:t>
      </w:r>
    </w:p>
  </w:footnote>
  <w:footnote w:id="609">
    <w:p w14:paraId="00F76A30" w14:textId="5B35534A" w:rsidR="006C7B61" w:rsidRPr="00FF6E12" w:rsidRDefault="006C7B61">
      <w:pPr>
        <w:pStyle w:val="FootnoteText"/>
      </w:pPr>
      <w:r w:rsidRPr="00FF6E12">
        <w:rPr>
          <w:rStyle w:val="FootnoteReference"/>
        </w:rPr>
        <w:footnoteRef/>
      </w:r>
      <w:r w:rsidRPr="00FF6E12">
        <w:t xml:space="preserve"> B</w:t>
      </w:r>
      <w:r w:rsidR="008F04AC" w:rsidRPr="00FF6E12">
        <w:t>en</w:t>
      </w:r>
      <w:r w:rsidRPr="00FF6E12">
        <w:t xml:space="preserve"> Mathews et al, ‘Disclosure of Online Child Sexual Victimisation: Findings from the Australian Child Maltreatment Study’ (2025) 165 </w:t>
      </w:r>
      <w:r w:rsidRPr="00FF6E12">
        <w:rPr>
          <w:i/>
          <w:iCs/>
        </w:rPr>
        <w:t xml:space="preserve">Child Abuse and Neglect </w:t>
      </w:r>
      <w:r w:rsidRPr="00FF6E12">
        <w:t>107493</w:t>
      </w:r>
      <w:r w:rsidR="00E54A5E" w:rsidRPr="00FF6E12">
        <w:t xml:space="preserve"> &lt;https://doi.org/10.1016/j.chiabu.2025.107493&gt;</w:t>
      </w:r>
      <w:r w:rsidR="00211090" w:rsidRPr="00FF6E12">
        <w:t>.</w:t>
      </w:r>
      <w:r w:rsidRPr="00FF6E12">
        <w:t xml:space="preserve"> </w:t>
      </w:r>
    </w:p>
  </w:footnote>
  <w:footnote w:id="610">
    <w:p w14:paraId="2EB1753A" w14:textId="1BBE7459" w:rsidR="006C7B61" w:rsidRPr="00FF6E12" w:rsidRDefault="006C7B61">
      <w:pPr>
        <w:pStyle w:val="FootnoteText"/>
      </w:pPr>
      <w:r w:rsidRPr="00FF6E12">
        <w:rPr>
          <w:rStyle w:val="FootnoteReference"/>
        </w:rPr>
        <w:footnoteRef/>
      </w:r>
      <w:r w:rsidRPr="00FF6E12">
        <w:t xml:space="preserve"> </w:t>
      </w:r>
      <w:r w:rsidR="00E54A5E" w:rsidRPr="00FF6E12">
        <w:t xml:space="preserve">Mathews et al (n </w:t>
      </w:r>
      <w:r w:rsidR="00E54A5E" w:rsidRPr="00FF6E12">
        <w:fldChar w:fldCharType="begin"/>
      </w:r>
      <w:r w:rsidR="00E54A5E" w:rsidRPr="00FF6E12">
        <w:instrText xml:space="preserve"> NOTEREF _Ref218003564 \h </w:instrText>
      </w:r>
      <w:r w:rsidR="00E54A5E" w:rsidRPr="00FF6E12">
        <w:fldChar w:fldCharType="separate"/>
      </w:r>
      <w:r w:rsidR="007D7830">
        <w:t>606</w:t>
      </w:r>
      <w:r w:rsidR="00E54A5E" w:rsidRPr="00FF6E12">
        <w:fldChar w:fldCharType="end"/>
      </w:r>
      <w:r w:rsidR="00E54A5E" w:rsidRPr="00FF6E12">
        <w:t>)</w:t>
      </w:r>
      <w:r w:rsidR="00E62CCB" w:rsidRPr="00FF6E12">
        <w:t xml:space="preserve"> [3</w:t>
      </w:r>
      <w:r w:rsidRPr="00FF6E12">
        <w:t>.2</w:t>
      </w:r>
      <w:r w:rsidR="00E62CCB" w:rsidRPr="00FF6E12">
        <w:t>]</w:t>
      </w:r>
      <w:r w:rsidRPr="00FF6E12">
        <w:t xml:space="preserve"> Table 2</w:t>
      </w:r>
      <w:r w:rsidR="00101A1D" w:rsidRPr="00FF6E12">
        <w:t>.</w:t>
      </w:r>
    </w:p>
  </w:footnote>
  <w:footnote w:id="611">
    <w:p w14:paraId="68EAF7FA" w14:textId="56CEDD4A" w:rsidR="006C7B61" w:rsidRPr="00FF6E12" w:rsidRDefault="006C7B61">
      <w:pPr>
        <w:pStyle w:val="FootnoteText"/>
      </w:pPr>
      <w:r w:rsidRPr="00FF6E12">
        <w:rPr>
          <w:rStyle w:val="FootnoteReference"/>
        </w:rPr>
        <w:footnoteRef/>
      </w:r>
      <w:r w:rsidRPr="00FF6E12">
        <w:t xml:space="preserve"> Caitlin Douglass et al, ‘Non-consensual sharing of persona</w:t>
      </w:r>
      <w:r w:rsidR="00E54A5E" w:rsidRPr="00FF6E12">
        <w:t>l</w:t>
      </w:r>
      <w:r w:rsidRPr="00FF6E12">
        <w:t xml:space="preserve"> sexually explicit imagery among young people in Australia: results from an online survey’ (2020) 17</w:t>
      </w:r>
      <w:r w:rsidR="00E54A5E" w:rsidRPr="00FF6E12">
        <w:t>(2)</w:t>
      </w:r>
      <w:r w:rsidRPr="00FF6E12">
        <w:t xml:space="preserve"> </w:t>
      </w:r>
      <w:r w:rsidRPr="00FF6E12">
        <w:rPr>
          <w:i/>
          <w:iCs/>
        </w:rPr>
        <w:t xml:space="preserve">Sexual Health </w:t>
      </w:r>
      <w:r w:rsidRPr="00FF6E12">
        <w:t>182, 184.</w:t>
      </w:r>
    </w:p>
  </w:footnote>
  <w:footnote w:id="612">
    <w:p w14:paraId="19382939" w14:textId="42D63C58" w:rsidR="006C7B61" w:rsidRPr="00FF6E12" w:rsidRDefault="006C7B61">
      <w:pPr>
        <w:pStyle w:val="FootnoteText"/>
      </w:pPr>
      <w:r w:rsidRPr="00FF6E12">
        <w:rPr>
          <w:rStyle w:val="FootnoteReference"/>
        </w:rPr>
        <w:footnoteRef/>
      </w:r>
      <w:r w:rsidRPr="00FF6E12">
        <w:t xml:space="preserve"> See </w:t>
      </w:r>
      <w:r w:rsidR="00674FC2" w:rsidRPr="00FF6E12">
        <w:t xml:space="preserve">KPMG and RMIT Centre for Innovative Justice (n </w:t>
      </w:r>
      <w:r w:rsidR="00674FC2" w:rsidRPr="00FF6E12">
        <w:fldChar w:fldCharType="begin"/>
      </w:r>
      <w:r w:rsidR="00674FC2" w:rsidRPr="00FF6E12">
        <w:instrText xml:space="preserve"> NOTEREF _Ref217996748 \h </w:instrText>
      </w:r>
      <w:r w:rsidR="00674FC2" w:rsidRPr="00FF6E12">
        <w:fldChar w:fldCharType="separate"/>
      </w:r>
      <w:r w:rsidR="007D7830">
        <w:t>66</w:t>
      </w:r>
      <w:r w:rsidR="00674FC2" w:rsidRPr="00FF6E12">
        <w:fldChar w:fldCharType="end"/>
      </w:r>
      <w:r w:rsidR="00674FC2" w:rsidRPr="00FF6E12">
        <w:t>)</w:t>
      </w:r>
      <w:r w:rsidRPr="00FF6E12">
        <w:t xml:space="preserve"> viii, 12. See also Georgina Heydon et al, </w:t>
      </w:r>
      <w:r w:rsidRPr="00A920EC">
        <w:rPr>
          <w:i/>
          <w:iCs/>
        </w:rPr>
        <w:t>Alternative Reporting Options for Sexual Assault: Investigating their Use, Purpose and Potential</w:t>
      </w:r>
      <w:r w:rsidRPr="00FF6E12">
        <w:t xml:space="preserve"> (Report to the Criminology Research Advisory Council Grant: CRG 25/19-20, 2023) &lt;</w:t>
      </w:r>
      <w:r w:rsidR="00E54A5E" w:rsidRPr="00A920EC">
        <w:t>https://www.aic.gov.au/sites/default/files/2023-11/crg_25_19_20_alternative_reporting_v4.pdf</w:t>
      </w:r>
      <w:r w:rsidRPr="00FF6E12">
        <w:t>&gt; 1–2. For international literature, see Michelle Wieberneit, ‘Silenced Survivors: A Systematic Review of the Barriers to Reporting, Investigating, Prosecuting, and Sentencing of Adult Female Rape and Sexual Assault (2024) 25(5)</w:t>
      </w:r>
      <w:r w:rsidRPr="00A920EC">
        <w:rPr>
          <w:i/>
          <w:iCs/>
        </w:rPr>
        <w:t xml:space="preserve"> Trauma, Violence, and Abuse</w:t>
      </w:r>
      <w:r w:rsidRPr="00FF6E12">
        <w:t xml:space="preserve"> 3742</w:t>
      </w:r>
      <w:r w:rsidR="00E54A5E" w:rsidRPr="00FF6E12">
        <w:t xml:space="preserve"> &lt;https://doi.org/10.1177/15248380241261404&gt;</w:t>
      </w:r>
      <w:r w:rsidRPr="00FF6E12">
        <w:t>.</w:t>
      </w:r>
    </w:p>
  </w:footnote>
  <w:footnote w:id="613">
    <w:p w14:paraId="1A922103" w14:textId="3CD428B8" w:rsidR="006C7B61" w:rsidRPr="00FF6E12" w:rsidRDefault="006C7B61">
      <w:pPr>
        <w:pStyle w:val="FootnoteText"/>
      </w:pPr>
      <w:r w:rsidRPr="00FF6E12">
        <w:rPr>
          <w:rStyle w:val="FootnoteReference"/>
        </w:rPr>
        <w:footnoteRef/>
      </w:r>
      <w:r w:rsidRPr="00FF6E12">
        <w:t xml:space="preserve"> See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ch</w:t>
      </w:r>
      <w:r w:rsidRPr="00FF6E12">
        <w:t xml:space="preserve"> 3;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Pr="00FF6E12">
        <w:t>[2.26]–[2.30].</w:t>
      </w:r>
    </w:p>
  </w:footnote>
  <w:footnote w:id="614">
    <w:p w14:paraId="7309377E" w14:textId="77518ADE" w:rsidR="006C7B61" w:rsidRPr="00FF6E12" w:rsidRDefault="006C7B61">
      <w:pPr>
        <w:pStyle w:val="FootnoteText"/>
      </w:pPr>
      <w:r w:rsidRPr="00FF6E12">
        <w:rPr>
          <w:rStyle w:val="FootnoteReference"/>
        </w:rPr>
        <w:footnoteRef/>
      </w:r>
      <w:r w:rsidRPr="00FF6E12">
        <w:t xml:space="preserve"> </w:t>
      </w:r>
      <w:r w:rsidR="000C7EAA" w:rsidRPr="00FF6E12">
        <w:t>Brigitte Gilbert</w:t>
      </w:r>
      <w:r w:rsidR="00E54A5E" w:rsidRPr="00FF6E12">
        <w:t>,</w:t>
      </w:r>
      <w:r w:rsidR="000C7EAA" w:rsidRPr="00FF6E12">
        <w:t xml:space="preserve"> </w:t>
      </w:r>
      <w:r w:rsidR="000C7EAA" w:rsidRPr="00A920EC">
        <w:rPr>
          <w:i/>
          <w:iCs/>
        </w:rPr>
        <w:t>Attrition of Sexual Assaults from the New South Wales Criminal Justice System</w:t>
      </w:r>
      <w:r w:rsidR="000C7EAA" w:rsidRPr="00FF6E12">
        <w:t xml:space="preserve"> (</w:t>
      </w:r>
      <w:r w:rsidR="00E54A5E" w:rsidRPr="00A920EC">
        <w:t>Crime and Justice Statistics Bureau Brief</w:t>
      </w:r>
      <w:r w:rsidR="00E54A5E" w:rsidRPr="00FF6E12">
        <w:t xml:space="preserve"> n</w:t>
      </w:r>
      <w:r w:rsidR="000C7EAA" w:rsidRPr="00FF6E12">
        <w:t>o 170, N</w:t>
      </w:r>
      <w:r w:rsidR="00E54A5E" w:rsidRPr="00FF6E12">
        <w:t xml:space="preserve">ew </w:t>
      </w:r>
      <w:r w:rsidR="000C7EAA" w:rsidRPr="00FF6E12">
        <w:t>S</w:t>
      </w:r>
      <w:r w:rsidR="00E54A5E" w:rsidRPr="00FF6E12">
        <w:t xml:space="preserve">outh </w:t>
      </w:r>
      <w:r w:rsidR="000C7EAA" w:rsidRPr="00FF6E12">
        <w:t>W</w:t>
      </w:r>
      <w:r w:rsidR="00E54A5E" w:rsidRPr="00FF6E12">
        <w:t>ales</w:t>
      </w:r>
      <w:r w:rsidR="000C7EAA" w:rsidRPr="00FF6E12">
        <w:t xml:space="preserve"> Bureau of Crime Statistics and Research, 2025</w:t>
      </w:r>
      <w:r w:rsidR="00E54A5E" w:rsidRPr="00FF6E12">
        <w:t>)</w:t>
      </w:r>
      <w:r w:rsidRPr="00FF6E12">
        <w:t>, 4.</w:t>
      </w:r>
    </w:p>
  </w:footnote>
  <w:footnote w:id="615">
    <w:p w14:paraId="43A2E0F2" w14:textId="31EBD26D" w:rsidR="006C7B61" w:rsidRPr="00FF6E12" w:rsidRDefault="006C7B61">
      <w:pPr>
        <w:pStyle w:val="FootnoteText"/>
      </w:pPr>
      <w:r w:rsidRPr="00FF6E12">
        <w:rPr>
          <w:rStyle w:val="FootnoteReference"/>
        </w:rPr>
        <w:footnoteRef/>
      </w:r>
      <w:r w:rsidRPr="00FF6E12">
        <w:t xml:space="preserve"> </w:t>
      </w:r>
      <w:r w:rsidR="00E54A5E" w:rsidRPr="00FF6E12">
        <w:t xml:space="preserve">Mathews et al (n </w:t>
      </w:r>
      <w:r w:rsidR="00E54A5E" w:rsidRPr="00FF6E12">
        <w:fldChar w:fldCharType="begin"/>
      </w:r>
      <w:r w:rsidR="00E54A5E" w:rsidRPr="00FF6E12">
        <w:instrText xml:space="preserve"> NOTEREF _Ref218003564 \h </w:instrText>
      </w:r>
      <w:r w:rsidR="00E54A5E" w:rsidRPr="00FF6E12">
        <w:fldChar w:fldCharType="separate"/>
      </w:r>
      <w:r w:rsidR="007D7830">
        <w:t>606</w:t>
      </w:r>
      <w:r w:rsidR="00E54A5E" w:rsidRPr="00FF6E12">
        <w:fldChar w:fldCharType="end"/>
      </w:r>
      <w:r w:rsidR="00E54A5E" w:rsidRPr="00FF6E12">
        <w:t xml:space="preserve">) </w:t>
      </w:r>
      <w:r w:rsidR="00460BAF" w:rsidRPr="00FF6E12">
        <w:t>[</w:t>
      </w:r>
      <w:r w:rsidRPr="00FF6E12">
        <w:t>1.1</w:t>
      </w:r>
      <w:r w:rsidR="00460BAF" w:rsidRPr="00FF6E12">
        <w:t>]</w:t>
      </w:r>
      <w:r w:rsidRPr="00FF6E12">
        <w:t>.</w:t>
      </w:r>
    </w:p>
  </w:footnote>
  <w:footnote w:id="616">
    <w:p w14:paraId="5A9C8DA3" w14:textId="3F5483DE" w:rsidR="006C7B61" w:rsidRPr="00FF6E12" w:rsidRDefault="006C7B61" w:rsidP="00A920EC">
      <w:pPr>
        <w:pStyle w:val="FootnoteText"/>
      </w:pPr>
      <w:r w:rsidRPr="00FF6E12">
        <w:rPr>
          <w:rStyle w:val="FootnoteReference"/>
        </w:rPr>
        <w:footnoteRef/>
      </w:r>
      <w:r w:rsidRPr="00FF6E12">
        <w:t xml:space="preserve"> Mathews et al</w:t>
      </w:r>
      <w:r w:rsidR="008F04AC" w:rsidRPr="00FF6E12">
        <w:t xml:space="preserve"> (n </w:t>
      </w:r>
      <w:r w:rsidR="008F04AC" w:rsidRPr="00FF6E12">
        <w:fldChar w:fldCharType="begin"/>
      </w:r>
      <w:r w:rsidR="008F04AC" w:rsidRPr="00FF6E12">
        <w:instrText xml:space="preserve"> NOTEREF _Ref218003951 \h </w:instrText>
      </w:r>
      <w:r w:rsidR="008F04AC" w:rsidRPr="00FF6E12">
        <w:fldChar w:fldCharType="separate"/>
      </w:r>
      <w:r w:rsidR="007D7830">
        <w:t>608</w:t>
      </w:r>
      <w:r w:rsidR="008F04AC" w:rsidRPr="00FF6E12">
        <w:fldChar w:fldCharType="end"/>
      </w:r>
      <w:r w:rsidR="008F04AC" w:rsidRPr="00FF6E12">
        <w:t>)</w:t>
      </w:r>
      <w:r w:rsidR="00435BC9" w:rsidRPr="00FF6E12">
        <w:t xml:space="preserve"> [</w:t>
      </w:r>
      <w:r w:rsidRPr="00FF6E12">
        <w:t>1.2.1</w:t>
      </w:r>
      <w:r w:rsidR="00435BC9" w:rsidRPr="00FF6E12">
        <w:t>].</w:t>
      </w:r>
    </w:p>
  </w:footnote>
  <w:footnote w:id="617">
    <w:p w14:paraId="527151AD" w14:textId="2C1BE877" w:rsidR="00335C63" w:rsidRPr="00FF6E12" w:rsidRDefault="00335C63" w:rsidP="00A920EC">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Pr="00FF6E12">
        <w:t>[3.2].</w:t>
      </w:r>
    </w:p>
  </w:footnote>
  <w:footnote w:id="618">
    <w:p w14:paraId="60573BC7" w14:textId="6252AF08" w:rsidR="00335C63" w:rsidRPr="00FF6E12" w:rsidRDefault="00335C63" w:rsidP="00A920EC">
      <w:pPr>
        <w:pStyle w:val="FootnoteText"/>
      </w:pPr>
      <w:r w:rsidRPr="00FF6E12">
        <w:rPr>
          <w:rStyle w:val="FootnoteReference"/>
        </w:rPr>
        <w:footnoteRef/>
      </w:r>
      <w:r w:rsidRPr="00FF6E12">
        <w:t xml:space="preserve"> See</w:t>
      </w:r>
      <w:r w:rsidR="00560A6E" w:rsidRPr="00FF6E12">
        <w:t xml:space="preserve"> </w:t>
      </w:r>
      <w:r w:rsidR="001332C7" w:rsidRPr="00FF6E12">
        <w:t xml:space="preserve">ibid </w:t>
      </w:r>
      <w:r w:rsidRPr="00FF6E12">
        <w:t xml:space="preserve">[3.5] </w:t>
      </w:r>
    </w:p>
  </w:footnote>
  <w:footnote w:id="619">
    <w:p w14:paraId="0D9D2AA5" w14:textId="723D7391" w:rsidR="00335C63" w:rsidRPr="00FF6E12" w:rsidRDefault="00335C63" w:rsidP="00A920EC">
      <w:pPr>
        <w:pStyle w:val="FootnoteText"/>
      </w:pPr>
      <w:r w:rsidRPr="00FF6E12">
        <w:rPr>
          <w:rStyle w:val="FootnoteReference"/>
        </w:rPr>
        <w:footnoteRef/>
      </w:r>
      <w:r w:rsidRPr="00FF6E12">
        <w:t xml:space="preserve"> The ALRC noted that the mandatory reporting laws are a vital part of responding to child sexual abuse, but it was not able to address the topic in the time provided for the review</w:t>
      </w:r>
      <w:r w:rsidR="001332C7" w:rsidRPr="00FF6E12">
        <w:t>:</w:t>
      </w:r>
      <w:r w:rsidR="000B3048" w:rsidRPr="00FF6E12">
        <w:t xml:space="preserve"> </w:t>
      </w:r>
      <w:r w:rsidR="001332C7" w:rsidRPr="00FF6E12">
        <w:t xml:space="preserve">ibid </w:t>
      </w:r>
      <w:r w:rsidRPr="00FF6E12">
        <w:t>[19.32].</w:t>
      </w:r>
    </w:p>
  </w:footnote>
  <w:footnote w:id="620">
    <w:p w14:paraId="6179BE40" w14:textId="3A877A50" w:rsidR="00335C63" w:rsidRPr="00FF6E12" w:rsidRDefault="00335C63" w:rsidP="00A920EC">
      <w:pPr>
        <w:pStyle w:val="FootnoteText"/>
      </w:pPr>
      <w:r w:rsidRPr="00FF6E12">
        <w:rPr>
          <w:rStyle w:val="FootnoteReference"/>
        </w:rPr>
        <w:footnoteRef/>
      </w:r>
      <w:r w:rsidRPr="00FF6E12">
        <w:t xml:space="preserve"> </w:t>
      </w:r>
      <w:r w:rsidR="001332C7" w:rsidRPr="00FF6E12">
        <w:t>Ibid</w:t>
      </w:r>
      <w:r w:rsidR="000B3048" w:rsidRPr="00FF6E12">
        <w:t xml:space="preserve"> </w:t>
      </w:r>
      <w:r w:rsidRPr="00FF6E12">
        <w:t>[19.32] fn 46.</w:t>
      </w:r>
    </w:p>
  </w:footnote>
  <w:footnote w:id="621">
    <w:p w14:paraId="7F6E89C2" w14:textId="1F399C52" w:rsidR="004A7CEB" w:rsidRPr="00FF6E12" w:rsidRDefault="004A7CEB" w:rsidP="00A920EC">
      <w:pPr>
        <w:pStyle w:val="FootnoteText"/>
        <w:rPr>
          <w:i/>
          <w:iCs/>
        </w:rPr>
      </w:pPr>
      <w:r w:rsidRPr="00FF6E12">
        <w:rPr>
          <w:rStyle w:val="FootnoteReference"/>
        </w:rPr>
        <w:footnoteRef/>
      </w:r>
      <w:r w:rsidRPr="00FF6E12">
        <w:t xml:space="preserve"> Ben </w:t>
      </w:r>
      <w:r w:rsidR="007E75A9" w:rsidRPr="00FF6E12">
        <w:t>Mathews</w:t>
      </w:r>
      <w:r w:rsidRPr="00FF6E12">
        <w:t xml:space="preserve">, ‘Duties to </w:t>
      </w:r>
      <w:r w:rsidR="007E75A9" w:rsidRPr="00FF6E12">
        <w:t>Report</w:t>
      </w:r>
      <w:r w:rsidRPr="00FF6E12">
        <w:t xml:space="preserve"> Child Sexual Offences: A New Era in </w:t>
      </w:r>
      <w:r w:rsidR="007E75A9" w:rsidRPr="00FF6E12">
        <w:t>Australian</w:t>
      </w:r>
      <w:r w:rsidRPr="00FF6E12">
        <w:t xml:space="preserve"> </w:t>
      </w:r>
      <w:r w:rsidR="007E75A9" w:rsidRPr="00FF6E12">
        <w:t>Criminal</w:t>
      </w:r>
      <w:r w:rsidRPr="00FF6E12">
        <w:t xml:space="preserve"> Law</w:t>
      </w:r>
      <w:r w:rsidR="007E75A9" w:rsidRPr="00FF6E12">
        <w:t xml:space="preserve">’ (2021) 18(2) </w:t>
      </w:r>
      <w:r w:rsidR="007E75A9" w:rsidRPr="00A920EC">
        <w:rPr>
          <w:i/>
          <w:iCs/>
        </w:rPr>
        <w:t xml:space="preserve">Canberra Law </w:t>
      </w:r>
      <w:r w:rsidR="008F04AC" w:rsidRPr="00A920EC">
        <w:rPr>
          <w:i/>
          <w:iCs/>
        </w:rPr>
        <w:t>R</w:t>
      </w:r>
      <w:r w:rsidR="007E75A9" w:rsidRPr="00A920EC">
        <w:rPr>
          <w:i/>
          <w:iCs/>
        </w:rPr>
        <w:t>eview</w:t>
      </w:r>
      <w:r w:rsidR="007E75A9" w:rsidRPr="00FF6E12">
        <w:t xml:space="preserve"> 54</w:t>
      </w:r>
      <w:r w:rsidR="003C2C40">
        <w:t>.</w:t>
      </w:r>
    </w:p>
  </w:footnote>
  <w:footnote w:id="622">
    <w:p w14:paraId="42F28B5E" w14:textId="3826EC04" w:rsidR="006C7B61" w:rsidRPr="00FF6E12" w:rsidRDefault="006C7B61" w:rsidP="00A920EC">
      <w:pPr>
        <w:pStyle w:val="FootnoteText"/>
      </w:pPr>
      <w:r w:rsidRPr="00FF6E12">
        <w:rPr>
          <w:rStyle w:val="FootnoteReference"/>
        </w:rPr>
        <w:footnoteRef/>
      </w:r>
      <w:r w:rsidRPr="00FF6E12">
        <w:t xml:space="preserve"> </w:t>
      </w:r>
      <w:r w:rsidR="008F04AC" w:rsidRPr="00FF6E12">
        <w:t xml:space="preserve">Ben Matthews, </w:t>
      </w:r>
      <w:r w:rsidR="008F04AC" w:rsidRPr="00A920EC">
        <w:rPr>
          <w:i/>
          <w:iCs/>
        </w:rPr>
        <w:t>Mandatory Reporting Laws for Child Sexual Abuse in Australia: A Legislative History</w:t>
      </w:r>
      <w:r w:rsidR="008F04AC" w:rsidRPr="00FF6E12">
        <w:t xml:space="preserve"> (Report prepared for the Royal Commission into Institutional Responses to Child Sexual Abuse, August 2014) &lt;https://www.childabuseroyalcommission.gov.au/sites/default/files/file-list/Research%20Report%20-%20Mandatory%20reporting%20laws%20for%20child%20sexual%20abuse%20in%20Australia%20A%20legislative%20history%20-%20Identification.pdf&gt; </w:t>
      </w:r>
      <w:r w:rsidRPr="00FF6E12">
        <w:t>[2.7.1].</w:t>
      </w:r>
    </w:p>
  </w:footnote>
  <w:footnote w:id="623">
    <w:p w14:paraId="6DD9773A" w14:textId="524E7F25" w:rsidR="006C7B61" w:rsidRPr="00FF6E12" w:rsidRDefault="006C7B61" w:rsidP="00A920EC">
      <w:pPr>
        <w:pStyle w:val="FootnoteText"/>
      </w:pPr>
      <w:r w:rsidRPr="00FF6E12">
        <w:rPr>
          <w:rStyle w:val="FootnoteReference"/>
        </w:rPr>
        <w:footnoteRef/>
      </w:r>
      <w:r w:rsidRPr="00FF6E12">
        <w:t xml:space="preserve"> </w:t>
      </w:r>
      <w:r w:rsidR="00186EC7" w:rsidRPr="00FF6E12">
        <w:t>Ibid.</w:t>
      </w:r>
    </w:p>
  </w:footnote>
  <w:footnote w:id="624">
    <w:p w14:paraId="3A410CFE" w14:textId="5F1D1D37" w:rsidR="00A901D4" w:rsidRPr="00FF6E12" w:rsidRDefault="00A901D4" w:rsidP="00A920EC">
      <w:pPr>
        <w:pStyle w:val="FootnoteText"/>
      </w:pPr>
      <w:r w:rsidRPr="00FF6E12">
        <w:rPr>
          <w:rStyle w:val="FootnoteReference"/>
        </w:rPr>
        <w:footnoteRef/>
      </w:r>
      <w:r w:rsidRPr="00FF6E12">
        <w:t xml:space="preserve"> </w:t>
      </w:r>
      <w:r w:rsidR="00BA5645" w:rsidRPr="00FF6E12">
        <w:t xml:space="preserve">Jill McTavish et al, </w:t>
      </w:r>
      <w:r w:rsidR="00560A6E" w:rsidRPr="00FF6E12">
        <w:t xml:space="preserve">‘Mandated Reporter’s Experiences with Reporting Child Maltreatment: A Meta-synthesis of Qualitative Studies’ (2017) </w:t>
      </w:r>
      <w:r w:rsidR="00560A6E" w:rsidRPr="00FF6E12">
        <w:rPr>
          <w:i/>
          <w:iCs/>
        </w:rPr>
        <w:t>BMJ Open</w:t>
      </w:r>
      <w:r w:rsidR="00560A6E" w:rsidRPr="00FF6E12">
        <w:t xml:space="preserve"> 7, </w:t>
      </w:r>
      <w:r w:rsidRPr="00FF6E12">
        <w:t>11.</w:t>
      </w:r>
    </w:p>
  </w:footnote>
  <w:footnote w:id="625">
    <w:p w14:paraId="7E83ADD3" w14:textId="5D7B0AAA" w:rsidR="00BA5645" w:rsidRPr="00FF6E12" w:rsidRDefault="00BA5645" w:rsidP="00A920EC">
      <w:pPr>
        <w:pStyle w:val="FootnoteText"/>
      </w:pPr>
      <w:r w:rsidRPr="00FF6E12">
        <w:rPr>
          <w:rStyle w:val="FootnoteReference"/>
        </w:rPr>
        <w:footnoteRef/>
      </w:r>
      <w:r w:rsidRPr="00FF6E12">
        <w:t xml:space="preserve"> </w:t>
      </w:r>
      <w:r w:rsidR="008F04AC" w:rsidRPr="00FF6E12">
        <w:t>Ibid</w:t>
      </w:r>
      <w:r w:rsidRPr="00FF6E12">
        <w:t>.</w:t>
      </w:r>
    </w:p>
  </w:footnote>
  <w:footnote w:id="626">
    <w:p w14:paraId="1E5227FB" w14:textId="429E72E3" w:rsidR="003225BD" w:rsidRPr="00FF6E12" w:rsidRDefault="003225BD" w:rsidP="00A920EC">
      <w:pPr>
        <w:pStyle w:val="FootnoteText"/>
      </w:pPr>
      <w:r w:rsidRPr="00FF6E12">
        <w:rPr>
          <w:rStyle w:val="FootnoteReference"/>
        </w:rPr>
        <w:footnoteRef/>
      </w:r>
      <w:r w:rsidRPr="00FF6E12">
        <w:t xml:space="preserve"> </w:t>
      </w:r>
      <w:r w:rsidR="008F04AC" w:rsidRPr="00FF6E12">
        <w:t>Ibid</w:t>
      </w:r>
      <w:r w:rsidRPr="00FF6E12">
        <w:t>. This was a meta-synthesis of studies across nine high-income countries (including Australia) and three middle-income countries.</w:t>
      </w:r>
    </w:p>
  </w:footnote>
  <w:footnote w:id="627">
    <w:p w14:paraId="13B6C731" w14:textId="6B12709B" w:rsidR="00642B72" w:rsidRPr="00FF6E12" w:rsidRDefault="00642B72" w:rsidP="00A920EC">
      <w:pPr>
        <w:pStyle w:val="FootnoteText"/>
      </w:pPr>
      <w:r w:rsidRPr="00FF6E12">
        <w:rPr>
          <w:rStyle w:val="FootnoteReference"/>
        </w:rPr>
        <w:footnoteRef/>
      </w:r>
      <w:r w:rsidRPr="00FF6E12">
        <w:t xml:space="preserve"> </w:t>
      </w:r>
      <w:r w:rsidR="008F04AC" w:rsidRPr="00FF6E12">
        <w:t>Ibid</w:t>
      </w:r>
      <w:r w:rsidRPr="00FF6E12">
        <w:t>.</w:t>
      </w:r>
    </w:p>
  </w:footnote>
  <w:footnote w:id="628">
    <w:p w14:paraId="0D5FD14B" w14:textId="28458FD8" w:rsidR="007C5536" w:rsidRPr="00FF6E12" w:rsidRDefault="007C5536" w:rsidP="00A920EC">
      <w:pPr>
        <w:pStyle w:val="FootnoteText"/>
      </w:pPr>
      <w:r w:rsidRPr="00FF6E12">
        <w:rPr>
          <w:rStyle w:val="FootnoteReference"/>
        </w:rPr>
        <w:footnoteRef/>
      </w:r>
      <w:r w:rsidRPr="00FF6E12">
        <w:t xml:space="preserve"> </w:t>
      </w:r>
      <w:r w:rsidR="008F04AC" w:rsidRPr="00FF6E12">
        <w:t>Ibid</w:t>
      </w:r>
      <w:r w:rsidR="00A26BC7" w:rsidRPr="00FF6E12">
        <w:t>.</w:t>
      </w:r>
    </w:p>
  </w:footnote>
  <w:footnote w:id="629">
    <w:p w14:paraId="5145E562" w14:textId="26034C80" w:rsidR="008B1996" w:rsidRPr="00FF6E12" w:rsidRDefault="008B1996" w:rsidP="00A920EC">
      <w:pPr>
        <w:pStyle w:val="FootnoteText"/>
      </w:pPr>
      <w:r w:rsidRPr="00FF6E12">
        <w:rPr>
          <w:rStyle w:val="FootnoteReference"/>
        </w:rPr>
        <w:footnoteRef/>
      </w:r>
      <w:r w:rsidRPr="00FF6E12">
        <w:t xml:space="preserve"> M</w:t>
      </w:r>
      <w:r w:rsidR="008F04AC" w:rsidRPr="00FF6E12">
        <w:t>ical</w:t>
      </w:r>
      <w:r w:rsidRPr="00FF6E12">
        <w:t xml:space="preserve"> Raz, ‘</w:t>
      </w:r>
      <w:r w:rsidR="000B5365" w:rsidRPr="00FF6E12">
        <w:t>Unintended</w:t>
      </w:r>
      <w:r w:rsidRPr="00FF6E12">
        <w:t xml:space="preserve"> </w:t>
      </w:r>
      <w:r w:rsidR="000B5365" w:rsidRPr="00FF6E12">
        <w:t>Consequences</w:t>
      </w:r>
      <w:r w:rsidRPr="00FF6E12">
        <w:t xml:space="preserve"> of Expanded Mandatory </w:t>
      </w:r>
      <w:r w:rsidR="000B5365" w:rsidRPr="00FF6E12">
        <w:t>Reporting</w:t>
      </w:r>
      <w:r w:rsidRPr="00FF6E12">
        <w:t xml:space="preserve"> Laws’ </w:t>
      </w:r>
      <w:r w:rsidR="00C3269F" w:rsidRPr="00FF6E12">
        <w:t xml:space="preserve">(2017) 139(2) </w:t>
      </w:r>
      <w:r w:rsidR="00C3269F" w:rsidRPr="00FF6E12">
        <w:rPr>
          <w:i/>
          <w:iCs/>
        </w:rPr>
        <w:t>Pediatrics</w:t>
      </w:r>
      <w:r w:rsidR="00C3269F" w:rsidRPr="00FF6E12">
        <w:t xml:space="preserve"> </w:t>
      </w:r>
      <w:r w:rsidR="000B5365" w:rsidRPr="00FF6E12">
        <w:t>3.</w:t>
      </w:r>
    </w:p>
  </w:footnote>
  <w:footnote w:id="630">
    <w:p w14:paraId="684E8A23" w14:textId="7C022B73" w:rsidR="00992037" w:rsidRPr="00FF6E12" w:rsidRDefault="00992037" w:rsidP="00A920EC">
      <w:pPr>
        <w:pStyle w:val="FootnoteText"/>
      </w:pPr>
      <w:r w:rsidRPr="00FF6E12">
        <w:rPr>
          <w:rStyle w:val="FootnoteReference"/>
        </w:rPr>
        <w:footnoteRef/>
      </w:r>
      <w:r w:rsidR="00462631" w:rsidRPr="00FF6E12">
        <w:t xml:space="preserve"> R</w:t>
      </w:r>
      <w:r w:rsidR="008F04AC" w:rsidRPr="00FF6E12">
        <w:t>achel</w:t>
      </w:r>
      <w:r w:rsidR="00462631" w:rsidRPr="00FF6E12">
        <w:t xml:space="preserve"> Rosenberg et al, </w:t>
      </w:r>
      <w:r w:rsidR="00E20738" w:rsidRPr="00FF6E12">
        <w:t>‘Mandatory Reporting Policies and the Detection of Child Abuse and Neglect’</w:t>
      </w:r>
      <w:r w:rsidR="008F04AC" w:rsidRPr="00FF6E12">
        <w:t xml:space="preserve"> (2024) 159</w:t>
      </w:r>
      <w:r w:rsidR="00E20738" w:rsidRPr="00FF6E12">
        <w:t xml:space="preserve"> </w:t>
      </w:r>
      <w:r w:rsidR="00BF7362" w:rsidRPr="00FF6E12">
        <w:rPr>
          <w:i/>
          <w:iCs/>
        </w:rPr>
        <w:t xml:space="preserve">Children and Youth Services Review </w:t>
      </w:r>
      <w:r w:rsidR="00462631" w:rsidRPr="00FF6E12">
        <w:t>[5.1]</w:t>
      </w:r>
      <w:r w:rsidR="003C2C40">
        <w:t>.</w:t>
      </w:r>
    </w:p>
  </w:footnote>
  <w:footnote w:id="631">
    <w:p w14:paraId="4ABFE35B" w14:textId="56D085AD" w:rsidR="006C7B61" w:rsidRPr="00FF6E12" w:rsidRDefault="006C7B61">
      <w:pPr>
        <w:pStyle w:val="FootnoteText"/>
      </w:pPr>
      <w:r w:rsidRPr="00FF6E12">
        <w:rPr>
          <w:rStyle w:val="FootnoteReference"/>
        </w:rPr>
        <w:footnoteRef/>
      </w:r>
      <w:r w:rsidRPr="00FF6E12">
        <w:t xml:space="preserve"> KPMG </w:t>
      </w:r>
      <w:r w:rsidR="00674FC2" w:rsidRPr="00FF6E12">
        <w:t>and</w:t>
      </w:r>
      <w:r w:rsidRPr="00FF6E12">
        <w:t xml:space="preserve"> RMIT University Centre for Innovative Justice</w:t>
      </w:r>
      <w:r w:rsidR="00674FC2" w:rsidRPr="00FF6E12">
        <w:t xml:space="preserve"> (n </w:t>
      </w:r>
      <w:r w:rsidR="00674FC2" w:rsidRPr="00FF6E12">
        <w:fldChar w:fldCharType="begin"/>
      </w:r>
      <w:r w:rsidR="00674FC2" w:rsidRPr="00FF6E12">
        <w:instrText xml:space="preserve"> NOTEREF _Ref217996748 \h </w:instrText>
      </w:r>
      <w:r w:rsidR="00674FC2" w:rsidRPr="00FF6E12">
        <w:fldChar w:fldCharType="separate"/>
      </w:r>
      <w:r w:rsidR="007D7830">
        <w:t>66</w:t>
      </w:r>
      <w:r w:rsidR="00674FC2" w:rsidRPr="00FF6E12">
        <w:fldChar w:fldCharType="end"/>
      </w:r>
      <w:r w:rsidR="00674FC2" w:rsidRPr="00FF6E12">
        <w:t>)</w:t>
      </w:r>
      <w:r w:rsidRPr="00FF6E12">
        <w:t xml:space="preserve"> 37.</w:t>
      </w:r>
    </w:p>
  </w:footnote>
  <w:footnote w:id="632">
    <w:p w14:paraId="3E81FA7E" w14:textId="129B74D1" w:rsidR="006C7B61" w:rsidRPr="00FF6E12" w:rsidRDefault="006C7B61">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Pr="00FF6E12">
        <w:t>[5.1].</w:t>
      </w:r>
    </w:p>
  </w:footnote>
  <w:footnote w:id="633">
    <w:p w14:paraId="1B7384D9" w14:textId="0C3D9AF6" w:rsidR="006C7B61" w:rsidRPr="00FF6E12" w:rsidRDefault="006C7B61">
      <w:pPr>
        <w:pStyle w:val="FootnoteText"/>
      </w:pPr>
      <w:r w:rsidRPr="00FF6E12">
        <w:rPr>
          <w:rStyle w:val="FootnoteReference"/>
        </w:rPr>
        <w:footnoteRef/>
      </w:r>
      <w:r w:rsidRPr="00FF6E12">
        <w:t xml:space="preserve"> </w:t>
      </w:r>
      <w:r w:rsidR="001332C7" w:rsidRPr="00FF6E12">
        <w:t>Ibid</w:t>
      </w:r>
      <w:r w:rsidRPr="00FF6E12">
        <w:t xml:space="preserve"> [5.2].</w:t>
      </w:r>
    </w:p>
  </w:footnote>
  <w:footnote w:id="634">
    <w:p w14:paraId="39BC40D7" w14:textId="254AD3C4" w:rsidR="006C7B61" w:rsidRPr="00FF6E12" w:rsidRDefault="006C7B61">
      <w:pPr>
        <w:pStyle w:val="FootnoteText"/>
      </w:pPr>
      <w:r w:rsidRPr="00FF6E12">
        <w:rPr>
          <w:rStyle w:val="FootnoteReference"/>
        </w:rPr>
        <w:footnoteRef/>
      </w:r>
      <w:r w:rsidR="001332C7" w:rsidRPr="00FF6E12">
        <w:t xml:space="preserve"> Ibid</w:t>
      </w:r>
      <w:r w:rsidRPr="00FF6E12">
        <w:t xml:space="preserve"> [1.9] referring to research in Victoria (2021) and New South Wales (2024).</w:t>
      </w:r>
    </w:p>
  </w:footnote>
  <w:footnote w:id="635">
    <w:p w14:paraId="061040F1" w14:textId="70D1D758" w:rsidR="006C7B61" w:rsidRPr="00A920EC" w:rsidRDefault="006C7B61" w:rsidP="009C1090">
      <w:pPr>
        <w:spacing w:after="0"/>
        <w:rPr>
          <w:sz w:val="20"/>
          <w:szCs w:val="20"/>
        </w:rPr>
      </w:pPr>
      <w:r w:rsidRPr="00FF6E12">
        <w:rPr>
          <w:rStyle w:val="FootnoteReference"/>
        </w:rPr>
        <w:footnoteRef/>
      </w:r>
      <w:r w:rsidRPr="00FF6E12">
        <w:t xml:space="preserve"> </w:t>
      </w:r>
      <w:r w:rsidR="00A214D5" w:rsidRPr="00A920EC">
        <w:rPr>
          <w:sz w:val="20"/>
          <w:szCs w:val="20"/>
        </w:rPr>
        <w:t xml:space="preserve">Tasmanian Commission of Inquiry (n </w:t>
      </w:r>
      <w:r w:rsidR="00A214D5" w:rsidRPr="00A920EC">
        <w:rPr>
          <w:sz w:val="20"/>
          <w:szCs w:val="20"/>
        </w:rPr>
        <w:fldChar w:fldCharType="begin"/>
      </w:r>
      <w:r w:rsidR="00A214D5" w:rsidRPr="00A920EC">
        <w:rPr>
          <w:sz w:val="20"/>
          <w:szCs w:val="20"/>
        </w:rPr>
        <w:instrText xml:space="preserve"> NOTEREF _Ref217902008 \h </w:instrText>
      </w:r>
      <w:r w:rsidR="00674FC2" w:rsidRPr="00FF6E12">
        <w:rPr>
          <w:sz w:val="20"/>
          <w:szCs w:val="20"/>
        </w:rPr>
        <w:instrText xml:space="preserve"> \* MERGEFORMAT </w:instrText>
      </w:r>
      <w:r w:rsidR="00A214D5" w:rsidRPr="00A920EC">
        <w:rPr>
          <w:sz w:val="20"/>
          <w:szCs w:val="20"/>
        </w:rPr>
      </w:r>
      <w:r w:rsidR="00A214D5" w:rsidRPr="00A920EC">
        <w:rPr>
          <w:sz w:val="20"/>
          <w:szCs w:val="20"/>
        </w:rPr>
        <w:fldChar w:fldCharType="separate"/>
      </w:r>
      <w:r w:rsidR="007D7830">
        <w:rPr>
          <w:sz w:val="20"/>
          <w:szCs w:val="20"/>
        </w:rPr>
        <w:t>9</w:t>
      </w:r>
      <w:r w:rsidR="00A214D5" w:rsidRPr="00A920EC">
        <w:rPr>
          <w:sz w:val="20"/>
          <w:szCs w:val="20"/>
        </w:rPr>
        <w:fldChar w:fldCharType="end"/>
      </w:r>
      <w:r w:rsidR="00A214D5" w:rsidRPr="00A920EC">
        <w:rPr>
          <w:sz w:val="20"/>
          <w:szCs w:val="20"/>
        </w:rPr>
        <w:t>) vol</w:t>
      </w:r>
      <w:r w:rsidRPr="00A920EC">
        <w:rPr>
          <w:sz w:val="20"/>
          <w:szCs w:val="20"/>
        </w:rPr>
        <w:t xml:space="preserve"> 7 </w:t>
      </w:r>
      <w:r w:rsidR="00A214D5" w:rsidRPr="00A920EC">
        <w:rPr>
          <w:sz w:val="20"/>
          <w:szCs w:val="20"/>
        </w:rPr>
        <w:t xml:space="preserve">ch </w:t>
      </w:r>
      <w:r w:rsidRPr="00A920EC">
        <w:rPr>
          <w:sz w:val="20"/>
          <w:szCs w:val="20"/>
        </w:rPr>
        <w:t>16 9</w:t>
      </w:r>
      <w:r w:rsidR="00F6297E" w:rsidRPr="00A920EC">
        <w:rPr>
          <w:sz w:val="20"/>
          <w:szCs w:val="20"/>
        </w:rPr>
        <w:t>.</w:t>
      </w:r>
    </w:p>
  </w:footnote>
  <w:footnote w:id="636">
    <w:p w14:paraId="3897FFF2" w14:textId="3EB839CD" w:rsidR="006C7B61" w:rsidRPr="00FF6E12" w:rsidRDefault="006C7B61">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000B3048" w:rsidRPr="00FF6E12">
        <w:t>[</w:t>
      </w:r>
      <w:r w:rsidRPr="00FF6E12">
        <w:t>5.7</w:t>
      </w:r>
      <w:r w:rsidR="000B3048" w:rsidRPr="00FF6E12">
        <w:t>]</w:t>
      </w:r>
      <w:r w:rsidRPr="00FF6E12">
        <w:t>.</w:t>
      </w:r>
    </w:p>
  </w:footnote>
  <w:footnote w:id="637">
    <w:p w14:paraId="3A42A8B4" w14:textId="3B552296" w:rsidR="006C7B61" w:rsidRPr="00FF6E12" w:rsidRDefault="006C7B61">
      <w:pPr>
        <w:pStyle w:val="FootnoteText"/>
      </w:pPr>
      <w:r w:rsidRPr="00FF6E12">
        <w:rPr>
          <w:rStyle w:val="FootnoteReference"/>
        </w:rPr>
        <w:footnoteRef/>
      </w:r>
      <w:r w:rsidRPr="00FF6E12">
        <w:t xml:space="preserve"> </w:t>
      </w:r>
      <w:r w:rsidR="001332C7" w:rsidRPr="00FF6E12">
        <w:t>Ibid</w:t>
      </w:r>
      <w:r w:rsidRPr="00FF6E12">
        <w:t xml:space="preserve"> [5.2]. See also Gilbert</w:t>
      </w:r>
      <w:r w:rsidR="008F04AC" w:rsidRPr="00FF6E12">
        <w:t xml:space="preserve"> (n </w:t>
      </w:r>
      <w:r w:rsidR="008F04AC" w:rsidRPr="00FF6E12">
        <w:fldChar w:fldCharType="begin"/>
      </w:r>
      <w:r w:rsidR="008F04AC" w:rsidRPr="00FF6E12">
        <w:instrText xml:space="preserve"> NOTEREF _Ref218004338 \h </w:instrText>
      </w:r>
      <w:r w:rsidR="008F04AC" w:rsidRPr="00FF6E12">
        <w:fldChar w:fldCharType="separate"/>
      </w:r>
      <w:r w:rsidR="007D7830">
        <w:t>613</w:t>
      </w:r>
      <w:r w:rsidR="008F04AC" w:rsidRPr="00FF6E12">
        <w:fldChar w:fldCharType="end"/>
      </w:r>
      <w:r w:rsidR="008F04AC" w:rsidRPr="00FF6E12">
        <w:t>)</w:t>
      </w:r>
      <w:r w:rsidR="003708A3" w:rsidRPr="00FF6E12">
        <w:t>.</w:t>
      </w:r>
    </w:p>
  </w:footnote>
  <w:footnote w:id="638">
    <w:p w14:paraId="2A4EC74D" w14:textId="01F73476" w:rsidR="006C7B61" w:rsidRPr="00FF6E12" w:rsidRDefault="006C7B61">
      <w:pPr>
        <w:pStyle w:val="FootnoteText"/>
      </w:pPr>
      <w:r w:rsidRPr="00FF6E12">
        <w:rPr>
          <w:rStyle w:val="FootnoteReference"/>
        </w:rPr>
        <w:footnoteRef/>
      </w:r>
      <w:r w:rsidRPr="00FF6E12">
        <w:t xml:space="preserve"> </w:t>
      </w:r>
      <w:r w:rsidR="00674FC2" w:rsidRPr="00FF6E12">
        <w:t xml:space="preserve">KPMG and RMIT University Centre for Innovative Justice (n </w:t>
      </w:r>
      <w:r w:rsidR="00674FC2" w:rsidRPr="00FF6E12">
        <w:fldChar w:fldCharType="begin"/>
      </w:r>
      <w:r w:rsidR="00674FC2" w:rsidRPr="00FF6E12">
        <w:instrText xml:space="preserve"> NOTEREF _Ref217996748 \h </w:instrText>
      </w:r>
      <w:r w:rsidR="00674FC2" w:rsidRPr="00FF6E12">
        <w:fldChar w:fldCharType="separate"/>
      </w:r>
      <w:r w:rsidR="007D7830">
        <w:t>66</w:t>
      </w:r>
      <w:r w:rsidR="00674FC2" w:rsidRPr="00FF6E12">
        <w:fldChar w:fldCharType="end"/>
      </w:r>
      <w:r w:rsidR="00674FC2" w:rsidRPr="00FF6E12">
        <w:t xml:space="preserve">) </w:t>
      </w:r>
      <w:r w:rsidRPr="00FF6E12">
        <w:t>39.</w:t>
      </w:r>
    </w:p>
  </w:footnote>
  <w:footnote w:id="639">
    <w:p w14:paraId="2B409A82" w14:textId="696A4598" w:rsidR="006C7B61" w:rsidRPr="00FF6E12" w:rsidRDefault="006C7B61">
      <w:pPr>
        <w:pStyle w:val="FootnoteText"/>
      </w:pPr>
      <w:r w:rsidRPr="00FF6E12">
        <w:rPr>
          <w:rStyle w:val="FootnoteReference"/>
        </w:rPr>
        <w:footnoteRef/>
      </w:r>
      <w:r w:rsidRPr="00FF6E12">
        <w:t xml:space="preserve"> </w:t>
      </w:r>
      <w:r w:rsidR="00674FC2" w:rsidRPr="00FF6E12">
        <w:t>Ibid</w:t>
      </w:r>
      <w:r w:rsidRPr="00FF6E12">
        <w:t xml:space="preserve"> ix, 39</w:t>
      </w:r>
      <w:r w:rsidR="003C2C40">
        <w:t>.</w:t>
      </w:r>
    </w:p>
  </w:footnote>
  <w:footnote w:id="640">
    <w:p w14:paraId="68743648" w14:textId="77D43DC3" w:rsidR="006C7B61" w:rsidRPr="00FF6E12" w:rsidRDefault="006C7B61">
      <w:pPr>
        <w:pStyle w:val="FootnoteText"/>
      </w:pPr>
      <w:r w:rsidRPr="00FF6E12">
        <w:rPr>
          <w:rStyle w:val="FootnoteReference"/>
        </w:rPr>
        <w:footnoteRef/>
      </w:r>
      <w:r w:rsidRPr="00FF6E12">
        <w:t xml:space="preserve"> </w:t>
      </w:r>
      <w:r w:rsidR="00674FC2" w:rsidRPr="00FF6E12">
        <w:t>Ibid</w:t>
      </w:r>
      <w:r w:rsidRPr="00FF6E12">
        <w:t xml:space="preserve"> [3.4].</w:t>
      </w:r>
    </w:p>
  </w:footnote>
  <w:footnote w:id="641">
    <w:p w14:paraId="4D5345D1" w14:textId="51538252" w:rsidR="006C7B61" w:rsidRPr="00FF6E12" w:rsidRDefault="006C7B61">
      <w:pPr>
        <w:pStyle w:val="FootnoteText"/>
      </w:pPr>
      <w:r w:rsidRPr="00FF6E12">
        <w:rPr>
          <w:rStyle w:val="FootnoteReference"/>
        </w:rPr>
        <w:footnoteRef/>
      </w:r>
      <w:r w:rsidRPr="00FF6E12">
        <w:t xml:space="preserve"> See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w:t>
      </w:r>
      <w:r w:rsidR="00223ECD" w:rsidRPr="00FF6E12">
        <w:t xml:space="preserve">; </w:t>
      </w:r>
      <w:r w:rsidR="00186EC7" w:rsidRPr="00FF6E12">
        <w:t xml:space="preserve">Royal Commission into Institutional Responses to Child Sexual Abuse (n 13) </w:t>
      </w:r>
      <w:r w:rsidRPr="00A920EC">
        <w:rPr>
          <w:i/>
          <w:iCs/>
        </w:rPr>
        <w:t>Criminal Justice Executive Summary and Parts I</w:t>
      </w:r>
      <w:r w:rsidR="00186EC7" w:rsidRPr="00FF6E12">
        <w:rPr>
          <w:i/>
          <w:iCs/>
        </w:rPr>
        <w:t>–</w:t>
      </w:r>
      <w:r w:rsidRPr="00A920EC">
        <w:rPr>
          <w:i/>
          <w:iCs/>
        </w:rPr>
        <w:t>II</w:t>
      </w:r>
      <w:r w:rsidRPr="00FF6E12">
        <w:t xml:space="preserve">, 165–166. </w:t>
      </w:r>
    </w:p>
  </w:footnote>
  <w:footnote w:id="642">
    <w:p w14:paraId="0EAA3EB7" w14:textId="3105BC7D" w:rsidR="006C7B61" w:rsidRPr="00FF6E12" w:rsidRDefault="006C7B61">
      <w:pPr>
        <w:pStyle w:val="FootnoteText"/>
      </w:pPr>
      <w:r w:rsidRPr="00FF6E12">
        <w:rPr>
          <w:rStyle w:val="FootnoteReference"/>
        </w:rPr>
        <w:footnoteRef/>
      </w:r>
      <w:r w:rsidRPr="00FF6E12">
        <w:t xml:space="preserve"> </w:t>
      </w:r>
      <w:r w:rsidR="00186EC7" w:rsidRPr="00FF6E12">
        <w:t xml:space="preserve">Tasmanian </w:t>
      </w:r>
      <w:r w:rsidR="00175DE5" w:rsidRPr="00FF6E12">
        <w:t xml:space="preserve">Commission of Inquiry </w:t>
      </w:r>
      <w:r w:rsidR="00186EC7" w:rsidRPr="00FF6E12">
        <w:t xml:space="preserve">(n </w:t>
      </w:r>
      <w:r w:rsidR="00186EC7" w:rsidRPr="00FF6E12">
        <w:fldChar w:fldCharType="begin"/>
      </w:r>
      <w:r w:rsidR="00186EC7" w:rsidRPr="00FF6E12">
        <w:instrText xml:space="preserve"> NOTEREF _Ref217902008 \h </w:instrText>
      </w:r>
      <w:r w:rsidR="00186EC7" w:rsidRPr="00FF6E12">
        <w:fldChar w:fldCharType="separate"/>
      </w:r>
      <w:r w:rsidR="007D7830">
        <w:t>9</w:t>
      </w:r>
      <w:r w:rsidR="00186EC7" w:rsidRPr="00FF6E12">
        <w:fldChar w:fldCharType="end"/>
      </w:r>
      <w:r w:rsidR="00186EC7" w:rsidRPr="00FF6E12">
        <w:t>) vol</w:t>
      </w:r>
      <w:r w:rsidR="00175DE5" w:rsidRPr="00FF6E12">
        <w:t xml:space="preserve"> 7 </w:t>
      </w:r>
      <w:r w:rsidR="00186EC7" w:rsidRPr="00FF6E12">
        <w:t xml:space="preserve">ch </w:t>
      </w:r>
      <w:r w:rsidR="00175DE5" w:rsidRPr="00FF6E12">
        <w:t>16</w:t>
      </w:r>
      <w:r w:rsidRPr="00FF6E12">
        <w:t xml:space="preserve"> 9.</w:t>
      </w:r>
    </w:p>
  </w:footnote>
  <w:footnote w:id="643">
    <w:p w14:paraId="212A6AD3" w14:textId="357590BE" w:rsidR="0015765C" w:rsidRPr="00FF6E12" w:rsidRDefault="0015765C">
      <w:pPr>
        <w:pStyle w:val="FootnoteText"/>
      </w:pPr>
      <w:r w:rsidRPr="00FF6E12">
        <w:rPr>
          <w:rStyle w:val="FootnoteReference"/>
        </w:rPr>
        <w:footnoteRef/>
      </w:r>
      <w:r w:rsidRPr="00FF6E12">
        <w:t xml:space="preserve"> </w:t>
      </w:r>
      <w:r w:rsidR="00186EC7" w:rsidRPr="00FF6E12">
        <w:t>Ibid</w:t>
      </w:r>
      <w:r w:rsidRPr="00FF6E12">
        <w:t xml:space="preserve"> 3.</w:t>
      </w:r>
    </w:p>
  </w:footnote>
  <w:footnote w:id="644">
    <w:p w14:paraId="7350D314" w14:textId="4BB4532B" w:rsidR="0015765C" w:rsidRPr="00FF6E12" w:rsidRDefault="0015765C">
      <w:pPr>
        <w:pStyle w:val="FootnoteText"/>
      </w:pPr>
      <w:r w:rsidRPr="00FF6E12">
        <w:rPr>
          <w:rStyle w:val="FootnoteReference"/>
        </w:rPr>
        <w:footnoteRef/>
      </w:r>
      <w:r w:rsidRPr="00FF6E12">
        <w:t xml:space="preserve"> </w:t>
      </w:r>
      <w:r w:rsidR="00186EC7" w:rsidRPr="00FF6E12">
        <w:t>Ibid</w:t>
      </w:r>
      <w:r w:rsidR="00C534F4" w:rsidRPr="00FF6E12">
        <w:t xml:space="preserve"> </w:t>
      </w:r>
      <w:r w:rsidR="003F0B52" w:rsidRPr="00FF6E12">
        <w:t>[</w:t>
      </w:r>
      <w:r w:rsidRPr="00FF6E12">
        <w:t>3.2.1</w:t>
      </w:r>
      <w:r w:rsidR="003F0B52" w:rsidRPr="00FF6E12">
        <w:t>]</w:t>
      </w:r>
      <w:r w:rsidR="00186EC7" w:rsidRPr="00FF6E12">
        <w:t>.</w:t>
      </w:r>
    </w:p>
  </w:footnote>
  <w:footnote w:id="645">
    <w:p w14:paraId="01FF05D4" w14:textId="664BC4E8" w:rsidR="005D02CB" w:rsidRPr="00FF6E12" w:rsidRDefault="005D02CB">
      <w:pPr>
        <w:pStyle w:val="FootnoteText"/>
      </w:pPr>
      <w:r w:rsidRPr="00FF6E12">
        <w:rPr>
          <w:rStyle w:val="FootnoteReference"/>
        </w:rPr>
        <w:footnoteRef/>
      </w:r>
      <w:r w:rsidRPr="00FF6E12">
        <w:t xml:space="preserve"> </w:t>
      </w:r>
      <w:r w:rsidR="00186EC7" w:rsidRPr="00FF6E12">
        <w:t>Ibid</w:t>
      </w:r>
      <w:r w:rsidR="00C534F4" w:rsidRPr="00FF6E12">
        <w:t xml:space="preserve"> </w:t>
      </w:r>
      <w:r w:rsidRPr="00FF6E12">
        <w:t>Recommendation</w:t>
      </w:r>
      <w:r w:rsidR="00186EC7" w:rsidRPr="00FF6E12">
        <w:t>s</w:t>
      </w:r>
      <w:r w:rsidRPr="00FF6E12">
        <w:t xml:space="preserve"> 16.1</w:t>
      </w:r>
      <w:r w:rsidR="009441A3">
        <w:t>,</w:t>
      </w:r>
      <w:r w:rsidR="00EA32C2" w:rsidRPr="00FF6E12">
        <w:t xml:space="preserve"> 16.3.</w:t>
      </w:r>
    </w:p>
  </w:footnote>
  <w:footnote w:id="646">
    <w:p w14:paraId="6B2EFE68" w14:textId="73A16DB5" w:rsidR="00740884" w:rsidRPr="00FF6E12" w:rsidRDefault="00740884">
      <w:pPr>
        <w:pStyle w:val="FootnoteText"/>
      </w:pPr>
      <w:r w:rsidRPr="00FF6E12">
        <w:rPr>
          <w:rStyle w:val="FootnoteReference"/>
        </w:rPr>
        <w:footnoteRef/>
      </w:r>
      <w:r w:rsidRPr="00FF6E12">
        <w:t xml:space="preserve"> </w:t>
      </w:r>
      <w:r w:rsidR="00186EC7" w:rsidRPr="00FF6E12">
        <w:t>Ibid</w:t>
      </w:r>
      <w:r w:rsidR="00C534F4" w:rsidRPr="00FF6E12">
        <w:t xml:space="preserve"> </w:t>
      </w:r>
      <w:r w:rsidR="00EA32C2" w:rsidRPr="00FF6E12">
        <w:t>Recommendation 16.2.</w:t>
      </w:r>
    </w:p>
  </w:footnote>
  <w:footnote w:id="647">
    <w:p w14:paraId="529B82FA" w14:textId="09ADB6FE" w:rsidR="00E73395" w:rsidRPr="00FF6E12" w:rsidRDefault="00E73395">
      <w:pPr>
        <w:pStyle w:val="FootnoteText"/>
      </w:pPr>
      <w:r w:rsidRPr="00FF6E12">
        <w:rPr>
          <w:rStyle w:val="FootnoteReference"/>
        </w:rPr>
        <w:footnoteRef/>
      </w:r>
      <w:r w:rsidRPr="00FF6E12">
        <w:t xml:space="preserve"> </w:t>
      </w:r>
      <w:r w:rsidR="00186EC7" w:rsidRPr="00FF6E12">
        <w:t>Ibid</w:t>
      </w:r>
      <w:r w:rsidR="00C534F4" w:rsidRPr="00FF6E12">
        <w:t xml:space="preserve"> </w:t>
      </w:r>
      <w:r w:rsidR="00282778" w:rsidRPr="00FF6E12">
        <w:t xml:space="preserve">Recommendation </w:t>
      </w:r>
      <w:r w:rsidRPr="00FF6E12">
        <w:t>16.8.</w:t>
      </w:r>
    </w:p>
  </w:footnote>
  <w:footnote w:id="648">
    <w:p w14:paraId="4C442071" w14:textId="1D8DFD00" w:rsidR="00282778" w:rsidRPr="00FF6E12" w:rsidRDefault="00282778">
      <w:pPr>
        <w:pStyle w:val="FootnoteText"/>
      </w:pPr>
      <w:r w:rsidRPr="00FF6E12">
        <w:rPr>
          <w:rStyle w:val="FootnoteReference"/>
        </w:rPr>
        <w:footnoteRef/>
      </w:r>
      <w:r w:rsidRPr="00FF6E12">
        <w:t xml:space="preserve"> </w:t>
      </w:r>
      <w:r w:rsidR="00186EC7" w:rsidRPr="00FF6E12">
        <w:t>Ibid</w:t>
      </w:r>
      <w:r w:rsidR="004108B1" w:rsidRPr="00FF6E12">
        <w:t xml:space="preserve"> </w:t>
      </w:r>
      <w:r w:rsidRPr="00FF6E12">
        <w:t>Recommendation</w:t>
      </w:r>
      <w:r w:rsidR="004108B1" w:rsidRPr="00FF6E12">
        <w:t>s</w:t>
      </w:r>
      <w:r w:rsidRPr="00FF6E12">
        <w:t xml:space="preserve"> </w:t>
      </w:r>
      <w:r w:rsidR="00660311" w:rsidRPr="00FF6E12">
        <w:t>16.14</w:t>
      </w:r>
      <w:r w:rsidR="00186EC7" w:rsidRPr="00FF6E12">
        <w:t>–</w:t>
      </w:r>
      <w:r w:rsidR="00660311" w:rsidRPr="00FF6E12">
        <w:t>16.1</w:t>
      </w:r>
      <w:r w:rsidR="00DA59ED" w:rsidRPr="00FF6E12">
        <w:t>6</w:t>
      </w:r>
      <w:r w:rsidRPr="00FF6E12">
        <w:t>.</w:t>
      </w:r>
    </w:p>
  </w:footnote>
  <w:footnote w:id="649">
    <w:p w14:paraId="45FBF251" w14:textId="344C7272" w:rsidR="00A57218" w:rsidRPr="00FF6E12" w:rsidRDefault="00A57218">
      <w:pPr>
        <w:pStyle w:val="FootnoteText"/>
      </w:pPr>
      <w:r w:rsidRPr="00FF6E12">
        <w:rPr>
          <w:rStyle w:val="FootnoteReference"/>
        </w:rPr>
        <w:footnoteRef/>
      </w:r>
      <w:r w:rsidR="009441A3">
        <w:t xml:space="preserve"> </w:t>
      </w:r>
      <w:r w:rsidR="00186EC7" w:rsidRPr="00FF6E12">
        <w:t>Ibid</w:t>
      </w:r>
      <w:r w:rsidRPr="00FF6E12">
        <w:t xml:space="preserve"> Recommendation 16.20.</w:t>
      </w:r>
    </w:p>
  </w:footnote>
  <w:footnote w:id="650">
    <w:p w14:paraId="1764EB89" w14:textId="6DAF0D99" w:rsidR="00691D8F" w:rsidRPr="00FF6E12" w:rsidRDefault="00691D8F">
      <w:pPr>
        <w:pStyle w:val="FootnoteText"/>
      </w:pPr>
      <w:r w:rsidRPr="00FF6E12">
        <w:rPr>
          <w:rStyle w:val="FootnoteReference"/>
        </w:rPr>
        <w:footnoteRef/>
      </w:r>
      <w:r w:rsidRPr="00FF6E12">
        <w:t xml:space="preserve"> </w:t>
      </w:r>
      <w:r w:rsidR="00255095" w:rsidRPr="00FF6E12">
        <w:t xml:space="preserve">See </w:t>
      </w:r>
      <w:r w:rsidRPr="00FF6E12">
        <w:t xml:space="preserve">Part </w:t>
      </w:r>
      <w:r w:rsidR="00DA59ED" w:rsidRPr="00FF6E12">
        <w:t>2</w:t>
      </w:r>
      <w:r w:rsidRPr="00FF6E12">
        <w:t>.</w:t>
      </w:r>
    </w:p>
  </w:footnote>
  <w:footnote w:id="651">
    <w:p w14:paraId="15AC941B" w14:textId="23CEDC5B" w:rsidR="00691D8F" w:rsidRPr="00FF6E12" w:rsidRDefault="00691D8F">
      <w:pPr>
        <w:pStyle w:val="FootnoteText"/>
      </w:pPr>
      <w:r w:rsidRPr="00FF6E12">
        <w:rPr>
          <w:rStyle w:val="FootnoteReference"/>
        </w:rPr>
        <w:footnoteRef/>
      </w:r>
      <w:r w:rsidRPr="00FF6E12">
        <w:t xml:space="preserve"> See</w:t>
      </w:r>
      <w:r w:rsidR="00FD0AAA" w:rsidRPr="00FF6E12">
        <w:t xml:space="preserve"> </w:t>
      </w:r>
      <w:r w:rsidR="004201E9" w:rsidRPr="00FF6E12">
        <w:t>[</w:t>
      </w:r>
      <w:r w:rsidR="003C2C40">
        <w:fldChar w:fldCharType="begin"/>
      </w:r>
      <w:r w:rsidR="003C2C40">
        <w:instrText xml:space="preserve"> REF _Ref218241076 \r \h </w:instrText>
      </w:r>
      <w:r w:rsidR="003C2C40">
        <w:fldChar w:fldCharType="separate"/>
      </w:r>
      <w:r w:rsidR="007D7830">
        <w:t>7.2</w:t>
      </w:r>
      <w:r w:rsidR="003C2C40">
        <w:fldChar w:fldCharType="end"/>
      </w:r>
      <w:r w:rsidR="008309B8" w:rsidRPr="00FF6E12">
        <w:t>]</w:t>
      </w:r>
      <w:r w:rsidR="00E42DD9" w:rsidRPr="00FF6E12">
        <w:t>.</w:t>
      </w:r>
    </w:p>
  </w:footnote>
  <w:footnote w:id="652">
    <w:p w14:paraId="15914F37" w14:textId="5686D0DB" w:rsidR="00F86165" w:rsidRPr="00FF6E12" w:rsidRDefault="00F86165">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00E42DD9" w:rsidRPr="00FF6E12">
        <w:t>[1.9]</w:t>
      </w:r>
      <w:r w:rsidRPr="00FF6E12">
        <w:t>.</w:t>
      </w:r>
    </w:p>
  </w:footnote>
  <w:footnote w:id="653">
    <w:p w14:paraId="058A404B" w14:textId="4FAFF9AF" w:rsidR="00B65E79" w:rsidRPr="00FF6E12" w:rsidRDefault="00B65E79">
      <w:pPr>
        <w:pStyle w:val="FootnoteText"/>
      </w:pPr>
      <w:r w:rsidRPr="00FF6E12">
        <w:rPr>
          <w:rStyle w:val="FootnoteReference"/>
        </w:rPr>
        <w:footnoteRef/>
      </w:r>
      <w:r w:rsidRPr="00FF6E12">
        <w:t xml:space="preserve"> </w:t>
      </w:r>
      <w:r w:rsidR="002A786C" w:rsidRPr="00FF6E12">
        <w:t>Participant</w:t>
      </w:r>
      <w:r w:rsidRPr="00FF6E12">
        <w:t xml:space="preserve"> 27</w:t>
      </w:r>
      <w:r w:rsidR="009A75D1" w:rsidRPr="00FF6E12">
        <w:t>.</w:t>
      </w:r>
    </w:p>
  </w:footnote>
  <w:footnote w:id="654">
    <w:p w14:paraId="23D12AF4" w14:textId="52BF372C" w:rsidR="00B65E79" w:rsidRPr="00FF6E12" w:rsidRDefault="00B65E79">
      <w:pPr>
        <w:pStyle w:val="FootnoteText"/>
      </w:pPr>
      <w:r w:rsidRPr="00FF6E12">
        <w:rPr>
          <w:rStyle w:val="FootnoteReference"/>
        </w:rPr>
        <w:footnoteRef/>
      </w:r>
      <w:r w:rsidRPr="00FF6E12">
        <w:t xml:space="preserve"> </w:t>
      </w:r>
      <w:r w:rsidR="002A786C" w:rsidRPr="00FF6E12">
        <w:t>Participant</w:t>
      </w:r>
      <w:r w:rsidRPr="00FF6E12">
        <w:t xml:space="preserve"> 31.</w:t>
      </w:r>
    </w:p>
  </w:footnote>
  <w:footnote w:id="655">
    <w:p w14:paraId="2A69A4D7" w14:textId="6892D454" w:rsidR="00B65E79" w:rsidRPr="00FF6E12" w:rsidRDefault="00B65E79" w:rsidP="00A920EC">
      <w:pPr>
        <w:pStyle w:val="FootnoteText"/>
      </w:pPr>
      <w:r w:rsidRPr="00FF6E12">
        <w:rPr>
          <w:rStyle w:val="FootnoteReference"/>
        </w:rPr>
        <w:footnoteRef/>
      </w:r>
      <w:r w:rsidRPr="00FF6E12">
        <w:t xml:space="preserve"> </w:t>
      </w:r>
      <w:r w:rsidR="008F04AC" w:rsidRPr="00FF6E12">
        <w:t xml:space="preserve">Blackley and Bartels (n </w:t>
      </w:r>
      <w:r w:rsidR="008F04AC" w:rsidRPr="00FF6E12">
        <w:fldChar w:fldCharType="begin"/>
      </w:r>
      <w:r w:rsidR="008F04AC" w:rsidRPr="00FF6E12">
        <w:instrText xml:space="preserve"> NOTEREF _Ref218004465 \h </w:instrText>
      </w:r>
      <w:r w:rsidR="008F04AC" w:rsidRPr="00FF6E12">
        <w:fldChar w:fldCharType="separate"/>
      </w:r>
      <w:r w:rsidR="007D7830">
        <w:t>6</w:t>
      </w:r>
      <w:r w:rsidR="008F04AC" w:rsidRPr="00FF6E12">
        <w:fldChar w:fldCharType="end"/>
      </w:r>
      <w:r w:rsidR="008F04AC" w:rsidRPr="00FF6E12">
        <w:t>)</w:t>
      </w:r>
      <w:r w:rsidR="008F04AC" w:rsidRPr="00FF6E12">
        <w:rPr>
          <w:rFonts w:cs="Times New Roman"/>
        </w:rPr>
        <w:t xml:space="preserve"> </w:t>
      </w:r>
      <w:r w:rsidRPr="00FF6E12">
        <w:t>9.</w:t>
      </w:r>
    </w:p>
  </w:footnote>
  <w:footnote w:id="656">
    <w:p w14:paraId="5B488636" w14:textId="6C5963F7" w:rsidR="00DA2115" w:rsidRPr="00FF6E12" w:rsidRDefault="00DA2115" w:rsidP="00A920EC">
      <w:pPr>
        <w:pStyle w:val="FootnoteText"/>
      </w:pPr>
      <w:r w:rsidRPr="00FF6E12">
        <w:rPr>
          <w:rStyle w:val="FootnoteReference"/>
        </w:rPr>
        <w:footnoteRef/>
      </w:r>
      <w:r w:rsidRPr="00FF6E12">
        <w:t xml:space="preserve"> </w:t>
      </w:r>
      <w:r w:rsidR="001702C8" w:rsidRPr="00FF6E12">
        <w:t>See for example, TLRI,</w:t>
      </w:r>
      <w:r w:rsidR="000540F2" w:rsidRPr="00FF6E12">
        <w:t xml:space="preserve"> </w:t>
      </w:r>
      <w:r w:rsidR="000540F2" w:rsidRPr="00A920EC">
        <w:rPr>
          <w:i/>
          <w:iCs/>
        </w:rPr>
        <w:t xml:space="preserve">An </w:t>
      </w:r>
      <w:r w:rsidR="003B0D97" w:rsidRPr="00A920EC">
        <w:rPr>
          <w:i/>
          <w:iCs/>
        </w:rPr>
        <w:t>evaluation of the Pre-recorded Evidence Scheme in Tasmania</w:t>
      </w:r>
      <w:r w:rsidR="003B0D97" w:rsidRPr="00FF6E12">
        <w:t xml:space="preserve"> (Research Paper </w:t>
      </w:r>
      <w:r w:rsidR="00A214D5" w:rsidRPr="00FF6E12">
        <w:t>n</w:t>
      </w:r>
      <w:r w:rsidR="003B0D97" w:rsidRPr="00FF6E12">
        <w:t>o 7, 2024)</w:t>
      </w:r>
      <w:r w:rsidR="00255095"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w:t>
      </w:r>
      <w:r w:rsidR="00255095" w:rsidRPr="00FF6E12">
        <w:t>.</w:t>
      </w:r>
    </w:p>
  </w:footnote>
  <w:footnote w:id="657">
    <w:p w14:paraId="58C50FF2" w14:textId="474F5227" w:rsidR="00DA2115" w:rsidRPr="00FF6E12" w:rsidRDefault="00DA2115">
      <w:pPr>
        <w:pStyle w:val="FootnoteText"/>
      </w:pPr>
      <w:r w:rsidRPr="00FF6E12">
        <w:rPr>
          <w:rStyle w:val="FootnoteReference"/>
        </w:rPr>
        <w:footnoteRef/>
      </w:r>
      <w:r w:rsidRPr="00FF6E12">
        <w:t xml:space="preserve"> </w:t>
      </w:r>
      <w:r w:rsidR="00DE1FD9" w:rsidRPr="00FF6E12">
        <w:t xml:space="preserve">Arch, </w:t>
      </w:r>
      <w:r w:rsidR="00DE1FD9" w:rsidRPr="00FF6E12">
        <w:rPr>
          <w:i/>
          <w:iCs/>
        </w:rPr>
        <w:t xml:space="preserve">What is Arch? </w:t>
      </w:r>
      <w:r w:rsidR="00350D4E" w:rsidRPr="00FF6E12">
        <w:t xml:space="preserve">(Web page, nd) </w:t>
      </w:r>
      <w:r w:rsidRPr="00FF6E12">
        <w:t>&lt;</w:t>
      </w:r>
      <w:r w:rsidRPr="00FF6E12">
        <w:rPr>
          <w:sz w:val="22"/>
          <w:szCs w:val="24"/>
        </w:rPr>
        <w:t xml:space="preserve"> </w:t>
      </w:r>
      <w:r w:rsidR="008C1E48" w:rsidRPr="00A920EC">
        <w:t>https://arch.tas.gov.au/</w:t>
      </w:r>
      <w:r w:rsidRPr="00FF6E12">
        <w:t>&gt;.</w:t>
      </w:r>
      <w:r w:rsidR="00CB7350" w:rsidRPr="00FF6E12">
        <w:t xml:space="preserve"> </w:t>
      </w:r>
      <w:r w:rsidR="008E4D50" w:rsidRPr="00FF6E12">
        <w:t>Note</w:t>
      </w:r>
      <w:r w:rsidR="00CB7350" w:rsidRPr="00FF6E12">
        <w:t xml:space="preserve"> that Arch is currently being evaluated </w:t>
      </w:r>
      <w:r w:rsidR="006558DD" w:rsidRPr="00FF6E12">
        <w:t xml:space="preserve">through a </w:t>
      </w:r>
      <w:r w:rsidR="0028671E" w:rsidRPr="00FF6E12">
        <w:t>collaboration</w:t>
      </w:r>
      <w:r w:rsidR="006558DD" w:rsidRPr="00FF6E12">
        <w:t xml:space="preserve"> </w:t>
      </w:r>
      <w:r w:rsidR="0028671E" w:rsidRPr="00FF6E12">
        <w:t>between</w:t>
      </w:r>
      <w:r w:rsidR="006558DD" w:rsidRPr="00FF6E12">
        <w:t xml:space="preserve"> the </w:t>
      </w:r>
      <w:r w:rsidR="0028671E" w:rsidRPr="00FF6E12">
        <w:t>Institute</w:t>
      </w:r>
      <w:r w:rsidR="006558DD" w:rsidRPr="00FF6E12">
        <w:t xml:space="preserve"> of Child </w:t>
      </w:r>
      <w:r w:rsidR="0028671E" w:rsidRPr="00FF6E12">
        <w:t>Protection</w:t>
      </w:r>
      <w:r w:rsidR="006558DD" w:rsidRPr="00FF6E12">
        <w:t xml:space="preserve"> Studies</w:t>
      </w:r>
      <w:r w:rsidR="00EE66F9" w:rsidRPr="00FF6E12">
        <w:t xml:space="preserve"> at the ACU and the School of Social Sciences at </w:t>
      </w:r>
      <w:r w:rsidR="008E4D50" w:rsidRPr="00FF6E12">
        <w:t>the University of Tasmania:</w:t>
      </w:r>
      <w:r w:rsidR="00A247EC" w:rsidRPr="00FF6E12">
        <w:t xml:space="preserve"> </w:t>
      </w:r>
      <w:r w:rsidR="006449E6" w:rsidRPr="00FF6E12">
        <w:t>Australian</w:t>
      </w:r>
      <w:r w:rsidR="00A247EC" w:rsidRPr="00FF6E12">
        <w:t xml:space="preserve"> </w:t>
      </w:r>
      <w:r w:rsidR="006449E6" w:rsidRPr="00FF6E12">
        <w:t>Catholic</w:t>
      </w:r>
      <w:r w:rsidR="00A247EC" w:rsidRPr="00FF6E12">
        <w:t xml:space="preserve"> </w:t>
      </w:r>
      <w:r w:rsidR="006449E6" w:rsidRPr="00FF6E12">
        <w:t>University</w:t>
      </w:r>
      <w:r w:rsidR="00A247EC" w:rsidRPr="00FF6E12">
        <w:t xml:space="preserve">, </w:t>
      </w:r>
      <w:r w:rsidR="00A247EC" w:rsidRPr="00FF6E12">
        <w:rPr>
          <w:i/>
          <w:iCs/>
        </w:rPr>
        <w:t xml:space="preserve">Arch: An </w:t>
      </w:r>
      <w:r w:rsidR="006449E6" w:rsidRPr="00FF6E12">
        <w:rPr>
          <w:i/>
          <w:iCs/>
        </w:rPr>
        <w:t>Evaluation</w:t>
      </w:r>
      <w:r w:rsidR="00A247EC" w:rsidRPr="00FF6E12">
        <w:rPr>
          <w:i/>
          <w:iCs/>
        </w:rPr>
        <w:t xml:space="preserve"> of a Multi-</w:t>
      </w:r>
      <w:r w:rsidR="006449E6" w:rsidRPr="00FF6E12">
        <w:rPr>
          <w:i/>
          <w:iCs/>
        </w:rPr>
        <w:t>disciplinary</w:t>
      </w:r>
      <w:r w:rsidR="00A247EC" w:rsidRPr="00FF6E12">
        <w:rPr>
          <w:i/>
          <w:iCs/>
        </w:rPr>
        <w:t xml:space="preserve"> Response for People Affected by Sexual Harm</w:t>
      </w:r>
      <w:r w:rsidR="006449E6" w:rsidRPr="00FF6E12">
        <w:t xml:space="preserve"> </w:t>
      </w:r>
      <w:r w:rsidR="00EE66F9" w:rsidRPr="00FF6E12">
        <w:t>&lt;</w:t>
      </w:r>
      <w:r w:rsidR="008C1E48" w:rsidRPr="00A920EC">
        <w:t>https://www.acu.edu.au/about-acu/institutes-academies-and-centres/institute-of-child-protection-studies/our-research/completed-projects-2025/arch-evaluation-assessment-of-co-located-multidisciplinary-support-for-people-affected-by-sexual-harm</w:t>
      </w:r>
      <w:r w:rsidR="0028671E" w:rsidRPr="00FF6E12">
        <w:t>&gt;.</w:t>
      </w:r>
    </w:p>
  </w:footnote>
  <w:footnote w:id="658">
    <w:p w14:paraId="499333B5" w14:textId="719E7F27" w:rsidR="003B39FD" w:rsidRPr="00FF6E12" w:rsidRDefault="003B39FD">
      <w:pPr>
        <w:pStyle w:val="FootnoteText"/>
      </w:pPr>
      <w:r w:rsidRPr="00FF6E12">
        <w:rPr>
          <w:rStyle w:val="FootnoteReference"/>
        </w:rPr>
        <w:footnoteRef/>
      </w:r>
      <w:r w:rsidRPr="00FF6E12">
        <w:t xml:space="preserve"> See </w:t>
      </w:r>
      <w:r w:rsidR="004755E6" w:rsidRPr="00FF6E12">
        <w:t>P</w:t>
      </w:r>
      <w:r w:rsidRPr="00FF6E12">
        <w:t xml:space="preserve">art 8; TSAC, </w:t>
      </w:r>
      <w:r w:rsidR="007F72D8" w:rsidRPr="00A920EC">
        <w:rPr>
          <w:i/>
          <w:iCs/>
        </w:rPr>
        <w:t>Sentencing</w:t>
      </w:r>
      <w:r w:rsidR="008E7367" w:rsidRPr="00A920EC">
        <w:rPr>
          <w:i/>
          <w:iCs/>
        </w:rPr>
        <w:t xml:space="preserve"> for Serious Sex Offences </w:t>
      </w:r>
      <w:r w:rsidR="007F72D8" w:rsidRPr="00A920EC">
        <w:rPr>
          <w:i/>
          <w:iCs/>
        </w:rPr>
        <w:t>Against</w:t>
      </w:r>
      <w:r w:rsidR="008E7367" w:rsidRPr="00A920EC">
        <w:rPr>
          <w:i/>
          <w:iCs/>
        </w:rPr>
        <w:t xml:space="preserve"> Children</w:t>
      </w:r>
      <w:r w:rsidR="008E7367" w:rsidRPr="00FF6E12">
        <w:t xml:space="preserve"> (Research </w:t>
      </w:r>
      <w:r w:rsidR="00350D4E" w:rsidRPr="00FF6E12">
        <w:t>P</w:t>
      </w:r>
      <w:r w:rsidR="008E7367" w:rsidRPr="00FF6E12">
        <w:t xml:space="preserve">aper </w:t>
      </w:r>
      <w:r w:rsidR="00350D4E" w:rsidRPr="00FF6E12">
        <w:t>n</w:t>
      </w:r>
      <w:r w:rsidR="008E7367" w:rsidRPr="00FF6E12">
        <w:t xml:space="preserve">o 3, </w:t>
      </w:r>
      <w:r w:rsidR="007F72D8" w:rsidRPr="00FF6E12">
        <w:t>2018)</w:t>
      </w:r>
      <w:r w:rsidR="007A1494" w:rsidRPr="00FF6E12">
        <w:t>.</w:t>
      </w:r>
    </w:p>
  </w:footnote>
  <w:footnote w:id="659">
    <w:p w14:paraId="129946FF" w14:textId="513F6C2E" w:rsidR="00670D0C" w:rsidRPr="00FF6E12" w:rsidRDefault="00670D0C">
      <w:pPr>
        <w:pStyle w:val="FootnoteText"/>
      </w:pPr>
      <w:r w:rsidRPr="00FF6E12">
        <w:rPr>
          <w:rStyle w:val="FootnoteReference"/>
        </w:rPr>
        <w:footnoteRef/>
      </w:r>
      <w:r w:rsidRPr="00FF6E12">
        <w:t xml:space="preserve"> See discussion at </w:t>
      </w:r>
      <w:r w:rsidR="000D61B0" w:rsidRPr="00FF6E12">
        <w:t>[</w:t>
      </w:r>
      <w:r w:rsidR="003C2C40">
        <w:fldChar w:fldCharType="begin"/>
      </w:r>
      <w:r w:rsidR="003C2C40">
        <w:instrText xml:space="preserve"> REF _Ref218241096 \r \h </w:instrText>
      </w:r>
      <w:r w:rsidR="003C2C40">
        <w:fldChar w:fldCharType="separate"/>
      </w:r>
      <w:r w:rsidR="007D7830">
        <w:t>4.2</w:t>
      </w:r>
      <w:r w:rsidR="003C2C40">
        <w:fldChar w:fldCharType="end"/>
      </w:r>
      <w:r w:rsidR="000D61B0" w:rsidRPr="00FF6E12">
        <w:t>]</w:t>
      </w:r>
      <w:r w:rsidRPr="00FF6E12">
        <w:t>.</w:t>
      </w:r>
    </w:p>
  </w:footnote>
  <w:footnote w:id="660">
    <w:p w14:paraId="30AF6779" w14:textId="131D8CF9" w:rsidR="00636AEA" w:rsidRPr="00FF6E12" w:rsidRDefault="00636AEA">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w:t>
      </w:r>
      <w:r w:rsidRPr="00FF6E12">
        <w:t xml:space="preserve">ol 8 </w:t>
      </w:r>
      <w:r w:rsidR="00A214D5" w:rsidRPr="00FF6E12">
        <w:t>c</w:t>
      </w:r>
      <w:r w:rsidRPr="00FF6E12">
        <w:t xml:space="preserve">h </w:t>
      </w:r>
      <w:r w:rsidR="00D4023A" w:rsidRPr="00FF6E12">
        <w:t xml:space="preserve">21 [5.3] Recommendation </w:t>
      </w:r>
      <w:r w:rsidR="00845C8F" w:rsidRPr="00FF6E12">
        <w:t>21.9</w:t>
      </w:r>
    </w:p>
  </w:footnote>
  <w:footnote w:id="661">
    <w:p w14:paraId="3988D2C3" w14:textId="44D315D6" w:rsidR="005B4A84" w:rsidRPr="00FF6E12" w:rsidRDefault="005B4A84">
      <w:pPr>
        <w:pStyle w:val="FootnoteText"/>
      </w:pPr>
      <w:r w:rsidRPr="00FF6E12">
        <w:rPr>
          <w:rStyle w:val="FootnoteReference"/>
        </w:rPr>
        <w:footnoteRef/>
      </w:r>
      <w:r w:rsidRPr="00FF6E12">
        <w:t xml:space="preserve"> </w:t>
      </w:r>
      <w:r w:rsidR="0016108A" w:rsidRPr="00A920EC">
        <w:rPr>
          <w:i/>
          <w:iCs/>
        </w:rPr>
        <w:t>Children, Youth and Families Act 2005</w:t>
      </w:r>
      <w:r w:rsidR="0016108A" w:rsidRPr="00FF6E12">
        <w:t xml:space="preserve"> (Vic)</w:t>
      </w:r>
      <w:r w:rsidR="002E7E72" w:rsidRPr="00FF6E12">
        <w:t xml:space="preserve"> s</w:t>
      </w:r>
      <w:r w:rsidR="009438F2" w:rsidRPr="00FF6E12">
        <w:t xml:space="preserve"> 248.</w:t>
      </w:r>
    </w:p>
  </w:footnote>
  <w:footnote w:id="662">
    <w:p w14:paraId="1EBC6C0F" w14:textId="0DC94D77" w:rsidR="00242586" w:rsidRPr="00FF6E12" w:rsidRDefault="00242586">
      <w:pPr>
        <w:pStyle w:val="FootnoteText"/>
      </w:pPr>
      <w:r w:rsidRPr="00FF6E12">
        <w:rPr>
          <w:rStyle w:val="FootnoteReference"/>
        </w:rPr>
        <w:footnoteRef/>
      </w:r>
      <w:r w:rsidRPr="00FF6E12">
        <w:t xml:space="preserve"> </w:t>
      </w:r>
      <w:r w:rsidR="004A61B5" w:rsidRPr="00FF6E12">
        <w:t>Victoria</w:t>
      </w:r>
      <w:r w:rsidR="00E37ED6" w:rsidRPr="00FF6E12">
        <w:t xml:space="preserve"> State </w:t>
      </w:r>
      <w:r w:rsidR="004A61B5" w:rsidRPr="00FF6E12">
        <w:t>Government</w:t>
      </w:r>
      <w:r w:rsidR="00E37ED6" w:rsidRPr="00FF6E12">
        <w:t xml:space="preserve">, Families, Fairness and Housing, </w:t>
      </w:r>
      <w:r w:rsidR="004A61B5" w:rsidRPr="00FF6E12">
        <w:rPr>
          <w:i/>
          <w:iCs/>
        </w:rPr>
        <w:t>Therapeutic</w:t>
      </w:r>
      <w:r w:rsidR="00E37ED6" w:rsidRPr="00FF6E12">
        <w:rPr>
          <w:i/>
          <w:iCs/>
        </w:rPr>
        <w:t xml:space="preserve"> </w:t>
      </w:r>
      <w:r w:rsidR="004A61B5" w:rsidRPr="00FF6E12">
        <w:rPr>
          <w:i/>
          <w:iCs/>
        </w:rPr>
        <w:t>Treatment</w:t>
      </w:r>
      <w:r w:rsidR="00E37ED6" w:rsidRPr="00FF6E12">
        <w:rPr>
          <w:i/>
          <w:iCs/>
        </w:rPr>
        <w:t xml:space="preserve"> </w:t>
      </w:r>
      <w:r w:rsidR="004A61B5" w:rsidRPr="00FF6E12">
        <w:rPr>
          <w:i/>
          <w:iCs/>
        </w:rPr>
        <w:t>Reports</w:t>
      </w:r>
      <w:r w:rsidR="00E37ED6" w:rsidRPr="00FF6E12">
        <w:rPr>
          <w:i/>
          <w:iCs/>
        </w:rPr>
        <w:t xml:space="preserve"> and Orders – advice </w:t>
      </w:r>
      <w:r w:rsidR="00350D4E" w:rsidRPr="00A920EC">
        <w:t xml:space="preserve">(Web page, December 2025) </w:t>
      </w:r>
      <w:r w:rsidR="00E37ED6" w:rsidRPr="00FF6E12">
        <w:t>&lt;</w:t>
      </w:r>
      <w:r w:rsidR="00350D4E" w:rsidRPr="00A920EC">
        <w:t>https://www.cpmanual.vic.gov.au/advice-and-protocols/advice/children-specific-circumstances/therapeutic-treatment-reports-and</w:t>
      </w:r>
      <w:r w:rsidR="004A61B5" w:rsidRPr="00FF6E12">
        <w:t>&gt;</w:t>
      </w:r>
      <w:r w:rsidR="00350D4E" w:rsidRPr="00FF6E12">
        <w:t>.</w:t>
      </w:r>
    </w:p>
  </w:footnote>
  <w:footnote w:id="663">
    <w:p w14:paraId="16A53AB8" w14:textId="30063DDE" w:rsidR="00525819" w:rsidRPr="00FF6E12" w:rsidRDefault="00525819">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w:t>
      </w:r>
      <w:r w:rsidR="00410911" w:rsidRPr="00FF6E12">
        <w:t xml:space="preserve">ol 8 </w:t>
      </w:r>
      <w:r w:rsidR="00A214D5" w:rsidRPr="00FF6E12">
        <w:t>c</w:t>
      </w:r>
      <w:r w:rsidR="00410911" w:rsidRPr="00FF6E12">
        <w:t>h 21 [5.3].</w:t>
      </w:r>
    </w:p>
  </w:footnote>
  <w:footnote w:id="664">
    <w:p w14:paraId="649A64EE" w14:textId="7D5461B1" w:rsidR="0065306F" w:rsidRPr="00FF6E12" w:rsidRDefault="0065306F">
      <w:pPr>
        <w:pStyle w:val="FootnoteText"/>
      </w:pPr>
      <w:r w:rsidRPr="00FF6E12">
        <w:rPr>
          <w:rStyle w:val="FootnoteReference"/>
        </w:rPr>
        <w:footnoteRef/>
      </w:r>
      <w:r w:rsidRPr="00FF6E12">
        <w:t xml:space="preserve"> E</w:t>
      </w:r>
      <w:r w:rsidR="00350D4E" w:rsidRPr="00FF6E12">
        <w:t>rika</w:t>
      </w:r>
      <w:r w:rsidRPr="00FF6E12">
        <w:t xml:space="preserve"> Fortunato et al, ‘</w:t>
      </w:r>
      <w:r w:rsidR="00C72D9D" w:rsidRPr="00FF6E12">
        <w:t xml:space="preserve">Expanding </w:t>
      </w:r>
      <w:r w:rsidR="00350D4E" w:rsidRPr="00FF6E12">
        <w:t>t</w:t>
      </w:r>
      <w:r w:rsidR="00C72D9D" w:rsidRPr="00FF6E12">
        <w:t xml:space="preserve">reatment </w:t>
      </w:r>
      <w:r w:rsidR="00350D4E" w:rsidRPr="00FF6E12">
        <w:t>p</w:t>
      </w:r>
      <w:r w:rsidR="00C72D9D" w:rsidRPr="00FF6E12">
        <w:t xml:space="preserve">athways for </w:t>
      </w:r>
      <w:r w:rsidR="00350D4E" w:rsidRPr="00FF6E12">
        <w:t>s</w:t>
      </w:r>
      <w:r w:rsidR="00C72D9D" w:rsidRPr="00FF6E12">
        <w:t xml:space="preserve">exually </w:t>
      </w:r>
      <w:r w:rsidR="00350D4E" w:rsidRPr="00FF6E12">
        <w:t>a</w:t>
      </w:r>
      <w:r w:rsidR="00C72D9D" w:rsidRPr="00FF6E12">
        <w:t xml:space="preserve">busive </w:t>
      </w:r>
      <w:r w:rsidR="00350D4E" w:rsidRPr="00FF6E12">
        <w:t>b</w:t>
      </w:r>
      <w:r w:rsidR="00880F4F" w:rsidRPr="00FF6E12">
        <w:t>ehaviour</w:t>
      </w:r>
      <w:r w:rsidR="00C72D9D" w:rsidRPr="00FF6E12">
        <w:t xml:space="preserve"> in </w:t>
      </w:r>
      <w:r w:rsidR="00350D4E" w:rsidRPr="00FF6E12">
        <w:t>y</w:t>
      </w:r>
      <w:r w:rsidR="00C72D9D" w:rsidRPr="00FF6E12">
        <w:t xml:space="preserve">oung </w:t>
      </w:r>
      <w:r w:rsidR="00350D4E" w:rsidRPr="00FF6E12">
        <w:t>p</w:t>
      </w:r>
      <w:r w:rsidR="00C72D9D" w:rsidRPr="00FF6E12">
        <w:t xml:space="preserve">eople: </w:t>
      </w:r>
      <w:r w:rsidR="00350D4E" w:rsidRPr="00FF6E12">
        <w:t>a</w:t>
      </w:r>
      <w:r w:rsidR="00C72D9D" w:rsidRPr="00FF6E12">
        <w:t xml:space="preserve">n </w:t>
      </w:r>
      <w:r w:rsidR="00350D4E" w:rsidRPr="00FF6E12">
        <w:t>e</w:t>
      </w:r>
      <w:r w:rsidR="00C72D9D" w:rsidRPr="00FF6E12">
        <w:t xml:space="preserve">xamination of </w:t>
      </w:r>
      <w:r w:rsidRPr="00FF6E12">
        <w:t xml:space="preserve">Therapeutic Treatment Orders’ </w:t>
      </w:r>
      <w:r w:rsidR="00880F4F" w:rsidRPr="00FF6E12">
        <w:t xml:space="preserve">(2024) 31 </w:t>
      </w:r>
      <w:r w:rsidR="007F739B" w:rsidRPr="00FF6E12">
        <w:rPr>
          <w:i/>
          <w:iCs/>
        </w:rPr>
        <w:t>Psychiatry</w:t>
      </w:r>
      <w:r w:rsidR="00880F4F" w:rsidRPr="00FF6E12">
        <w:rPr>
          <w:i/>
          <w:iCs/>
        </w:rPr>
        <w:t>, Psychology and Law</w:t>
      </w:r>
      <w:r w:rsidR="007F739B" w:rsidRPr="00FF6E12">
        <w:rPr>
          <w:i/>
          <w:iCs/>
        </w:rPr>
        <w:t xml:space="preserve"> </w:t>
      </w:r>
      <w:r w:rsidR="007F739B" w:rsidRPr="00FF6E12">
        <w:t>1029,</w:t>
      </w:r>
      <w:r w:rsidR="00880F4F" w:rsidRPr="00FF6E12">
        <w:t xml:space="preserve"> </w:t>
      </w:r>
      <w:r w:rsidRPr="00FF6E12">
        <w:t>1040.</w:t>
      </w:r>
    </w:p>
  </w:footnote>
  <w:footnote w:id="665">
    <w:p w14:paraId="32232486" w14:textId="39E0F5B3" w:rsidR="00263841" w:rsidRPr="00FF6E12" w:rsidRDefault="00263841">
      <w:pPr>
        <w:pStyle w:val="FootnoteText"/>
      </w:pPr>
      <w:r w:rsidRPr="00FF6E12">
        <w:rPr>
          <w:rStyle w:val="FootnoteReference"/>
        </w:rPr>
        <w:footnoteRef/>
      </w:r>
      <w:r w:rsidRPr="00FF6E12">
        <w:t xml:space="preserve"> </w:t>
      </w:r>
      <w:r w:rsidR="00F95EAE" w:rsidRPr="00FF6E12">
        <w:t xml:space="preserve">Children’s Court </w:t>
      </w:r>
      <w:r w:rsidR="00350D4E" w:rsidRPr="00FF6E12">
        <w:t xml:space="preserve">of Victoria, </w:t>
      </w:r>
      <w:r w:rsidR="00F95EAE" w:rsidRPr="00A920EC">
        <w:rPr>
          <w:i/>
          <w:iCs/>
        </w:rPr>
        <w:t>Annual Report 202</w:t>
      </w:r>
      <w:r w:rsidR="00B264A3" w:rsidRPr="00A920EC">
        <w:rPr>
          <w:i/>
          <w:iCs/>
        </w:rPr>
        <w:t>1</w:t>
      </w:r>
      <w:r w:rsidR="00350D4E" w:rsidRPr="00A920EC">
        <w:rPr>
          <w:i/>
          <w:iCs/>
        </w:rPr>
        <w:t>–</w:t>
      </w:r>
      <w:r w:rsidR="00F95EAE" w:rsidRPr="00A920EC">
        <w:rPr>
          <w:i/>
          <w:iCs/>
        </w:rPr>
        <w:t>2</w:t>
      </w:r>
      <w:r w:rsidR="00B264A3" w:rsidRPr="00A920EC">
        <w:rPr>
          <w:i/>
          <w:iCs/>
        </w:rPr>
        <w:t>2</w:t>
      </w:r>
      <w:r w:rsidR="00F95EAE" w:rsidRPr="00FF6E12">
        <w:t xml:space="preserve">, </w:t>
      </w:r>
      <w:r w:rsidR="00CF5E07" w:rsidRPr="00FF6E12">
        <w:t>10</w:t>
      </w:r>
      <w:r w:rsidR="00B264A3" w:rsidRPr="00FF6E12">
        <w:t xml:space="preserve">; </w:t>
      </w:r>
      <w:r w:rsidR="00D4023A" w:rsidRPr="00FF6E12">
        <w:t>Children’s</w:t>
      </w:r>
      <w:r w:rsidRPr="00FF6E12">
        <w:t xml:space="preserve"> Court </w:t>
      </w:r>
      <w:r w:rsidR="00350D4E" w:rsidRPr="00FF6E12">
        <w:t xml:space="preserve">of Victoria, </w:t>
      </w:r>
      <w:r w:rsidRPr="00A920EC">
        <w:rPr>
          <w:i/>
          <w:iCs/>
        </w:rPr>
        <w:t xml:space="preserve">Annual Report </w:t>
      </w:r>
      <w:r w:rsidR="009F61AD" w:rsidRPr="00A920EC">
        <w:rPr>
          <w:i/>
          <w:iCs/>
        </w:rPr>
        <w:t>2022</w:t>
      </w:r>
      <w:r w:rsidR="00350D4E" w:rsidRPr="00A920EC">
        <w:rPr>
          <w:i/>
          <w:iCs/>
        </w:rPr>
        <w:t>–</w:t>
      </w:r>
      <w:r w:rsidR="009F61AD" w:rsidRPr="00A920EC">
        <w:rPr>
          <w:i/>
          <w:iCs/>
        </w:rPr>
        <w:t>23</w:t>
      </w:r>
      <w:r w:rsidR="009F61AD" w:rsidRPr="00FF6E12">
        <w:t>, 11. These data are not provided in the 2023</w:t>
      </w:r>
      <w:r w:rsidR="00350D4E" w:rsidRPr="00FF6E12">
        <w:t>–</w:t>
      </w:r>
      <w:r w:rsidR="009F61AD" w:rsidRPr="00FF6E12">
        <w:t>24</w:t>
      </w:r>
      <w:r w:rsidR="00B264A3" w:rsidRPr="00FF6E12">
        <w:t xml:space="preserve"> </w:t>
      </w:r>
      <w:r w:rsidR="009F61AD" w:rsidRPr="00FF6E12">
        <w:t>Annual Report.</w:t>
      </w:r>
    </w:p>
  </w:footnote>
  <w:footnote w:id="666">
    <w:p w14:paraId="58031F55" w14:textId="063EADDF" w:rsidR="00DD2A0C" w:rsidRPr="00FF6E12" w:rsidRDefault="00DD2A0C">
      <w:pPr>
        <w:pStyle w:val="FootnoteText"/>
      </w:pPr>
      <w:r w:rsidRPr="00FF6E12">
        <w:rPr>
          <w:rStyle w:val="FootnoteReference"/>
        </w:rPr>
        <w:footnoteRef/>
      </w:r>
      <w:r w:rsidRPr="00FF6E12">
        <w:t xml:space="preserve"> </w:t>
      </w:r>
      <w:r w:rsidR="00CF5E07" w:rsidRPr="00A920EC">
        <w:rPr>
          <w:i/>
          <w:iCs/>
        </w:rPr>
        <w:t>Children, Youth and Families Act 2005</w:t>
      </w:r>
      <w:r w:rsidR="00CF5E07" w:rsidRPr="00FF6E12">
        <w:t xml:space="preserve"> (Vic) s</w:t>
      </w:r>
      <w:r w:rsidRPr="00FF6E12">
        <w:t xml:space="preserve"> 185.</w:t>
      </w:r>
    </w:p>
  </w:footnote>
  <w:footnote w:id="667">
    <w:p w14:paraId="2F612302" w14:textId="2443AF1B" w:rsidR="00022C23" w:rsidRPr="00FF6E12" w:rsidRDefault="00022C23">
      <w:pPr>
        <w:pStyle w:val="FootnoteText"/>
      </w:pPr>
      <w:r w:rsidRPr="00FF6E12">
        <w:rPr>
          <w:rStyle w:val="FootnoteReference"/>
        </w:rPr>
        <w:footnoteRef/>
      </w:r>
      <w:r w:rsidRPr="00FF6E12">
        <w:t xml:space="preserve"> See </w:t>
      </w:r>
      <w:r w:rsidR="00350D4E" w:rsidRPr="00FF6E12">
        <w:t xml:space="preserve">Victorian State Government (n </w:t>
      </w:r>
      <w:r w:rsidR="00350D4E" w:rsidRPr="00FF6E12">
        <w:fldChar w:fldCharType="begin"/>
      </w:r>
      <w:r w:rsidR="00350D4E" w:rsidRPr="00FF6E12">
        <w:instrText xml:space="preserve"> NOTEREF _Ref218004833 \h </w:instrText>
      </w:r>
      <w:r w:rsidR="00350D4E" w:rsidRPr="00FF6E12">
        <w:fldChar w:fldCharType="separate"/>
      </w:r>
      <w:r w:rsidR="007D7830">
        <w:t>661</w:t>
      </w:r>
      <w:r w:rsidR="00350D4E" w:rsidRPr="00FF6E12">
        <w:fldChar w:fldCharType="end"/>
      </w:r>
      <w:r w:rsidR="00350D4E" w:rsidRPr="00FF6E12">
        <w:t>).</w:t>
      </w:r>
    </w:p>
  </w:footnote>
  <w:footnote w:id="668">
    <w:p w14:paraId="6AC20BA5" w14:textId="663A5AE7" w:rsidR="00B91D56" w:rsidRPr="00FF6E12" w:rsidRDefault="00B91D56">
      <w:pPr>
        <w:pStyle w:val="FootnoteText"/>
      </w:pPr>
      <w:r w:rsidRPr="00FF6E12">
        <w:rPr>
          <w:rStyle w:val="FootnoteReference"/>
        </w:rPr>
        <w:footnoteRef/>
      </w:r>
      <w:r w:rsidRPr="00FF6E12">
        <w:t xml:space="preserve"> </w:t>
      </w:r>
      <w:r w:rsidR="00CF5E07" w:rsidRPr="00A920EC">
        <w:rPr>
          <w:i/>
          <w:iCs/>
        </w:rPr>
        <w:t>Children, Youth and Families Act 2005</w:t>
      </w:r>
      <w:r w:rsidR="00CF5E07" w:rsidRPr="00FF6E12">
        <w:t xml:space="preserve"> (Vic) s</w:t>
      </w:r>
      <w:r w:rsidRPr="00FF6E12">
        <w:t xml:space="preserve"> 352.</w:t>
      </w:r>
    </w:p>
  </w:footnote>
  <w:footnote w:id="669">
    <w:p w14:paraId="25437EED" w14:textId="67BE47F3" w:rsidR="00FE2D7F" w:rsidRPr="00FF6E12" w:rsidRDefault="00FE2D7F">
      <w:pPr>
        <w:pStyle w:val="FootnoteText"/>
      </w:pPr>
      <w:r w:rsidRPr="00FF6E12">
        <w:rPr>
          <w:rStyle w:val="FootnoteReference"/>
        </w:rPr>
        <w:footnoteRef/>
      </w:r>
      <w:r w:rsidRPr="00FF6E12">
        <w:t xml:space="preserve"> </w:t>
      </w:r>
      <w:r w:rsidR="00CF5E07" w:rsidRPr="00A920EC">
        <w:rPr>
          <w:i/>
          <w:iCs/>
        </w:rPr>
        <w:t>Children, Youth and Families Act 2005</w:t>
      </w:r>
      <w:r w:rsidR="00CF5E07" w:rsidRPr="00FF6E12">
        <w:t xml:space="preserve"> (Vic) s</w:t>
      </w:r>
      <w:r w:rsidRPr="00FF6E12">
        <w:t xml:space="preserve"> 349(2)</w:t>
      </w:r>
    </w:p>
  </w:footnote>
  <w:footnote w:id="670">
    <w:p w14:paraId="623DF8B4" w14:textId="09DB3509" w:rsidR="00990685" w:rsidRPr="00FF6E12" w:rsidRDefault="00990685">
      <w:pPr>
        <w:pStyle w:val="FootnoteText"/>
      </w:pPr>
      <w:r w:rsidRPr="00FF6E12">
        <w:rPr>
          <w:rStyle w:val="FootnoteReference"/>
        </w:rPr>
        <w:footnoteRef/>
      </w:r>
      <w:r w:rsidRPr="00FF6E12">
        <w:t xml:space="preserve"> </w:t>
      </w:r>
      <w:r w:rsidR="00CF5E07" w:rsidRPr="00A920EC">
        <w:rPr>
          <w:i/>
          <w:iCs/>
        </w:rPr>
        <w:t>Children, Youth and Families Act 2005</w:t>
      </w:r>
      <w:r w:rsidR="00CF5E07" w:rsidRPr="00FF6E12">
        <w:t xml:space="preserve"> (Vic) s</w:t>
      </w:r>
      <w:r w:rsidR="00484AE2" w:rsidRPr="00FF6E12">
        <w:t xml:space="preserve"> 354(4).</w:t>
      </w:r>
    </w:p>
  </w:footnote>
  <w:footnote w:id="671">
    <w:p w14:paraId="645D950A" w14:textId="0EAFE1A0" w:rsidR="008D7D2C" w:rsidRPr="00FF6E12" w:rsidRDefault="008D7D2C">
      <w:pPr>
        <w:pStyle w:val="FootnoteText"/>
      </w:pPr>
      <w:r w:rsidRPr="00FF6E12">
        <w:rPr>
          <w:rStyle w:val="FootnoteReference"/>
        </w:rPr>
        <w:footnoteRef/>
      </w:r>
      <w:r w:rsidRPr="00FF6E12">
        <w:t xml:space="preserve"> </w:t>
      </w:r>
      <w:r w:rsidR="00CF5E07" w:rsidRPr="00A920EC">
        <w:rPr>
          <w:i/>
          <w:iCs/>
        </w:rPr>
        <w:t>Children, Youth and Families Act 2005</w:t>
      </w:r>
      <w:r w:rsidR="00CF5E07" w:rsidRPr="00FF6E12">
        <w:t xml:space="preserve"> (Vic) s</w:t>
      </w:r>
      <w:r w:rsidR="00350D4E" w:rsidRPr="00FF6E12">
        <w:t>s</w:t>
      </w:r>
      <w:r w:rsidR="00F378E9" w:rsidRPr="00FF6E12">
        <w:t xml:space="preserve"> 354A(1)</w:t>
      </w:r>
      <w:r w:rsidR="00566D3C">
        <w:t>–</w:t>
      </w:r>
      <w:r w:rsidR="00F378E9" w:rsidRPr="00FF6E12">
        <w:t>(2).</w:t>
      </w:r>
    </w:p>
  </w:footnote>
  <w:footnote w:id="672">
    <w:p w14:paraId="42EE073B" w14:textId="6F7F84F2" w:rsidR="00845C8F" w:rsidRPr="00FF6E12" w:rsidRDefault="00845C8F">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xml:space="preserve">) </w:t>
      </w:r>
      <w:r w:rsidRPr="00FF6E12">
        <w:t>Recommendation 21.9.</w:t>
      </w:r>
    </w:p>
  </w:footnote>
  <w:footnote w:id="673">
    <w:p w14:paraId="2B9D9E80" w14:textId="77796A74" w:rsidR="00EA2ED3" w:rsidRPr="00FF6E12" w:rsidRDefault="00EA2ED3">
      <w:pPr>
        <w:pStyle w:val="FootnoteText"/>
      </w:pPr>
      <w:r w:rsidRPr="00FF6E12">
        <w:rPr>
          <w:rStyle w:val="FootnoteReference"/>
        </w:rPr>
        <w:footnoteRef/>
      </w:r>
      <w:r w:rsidRPr="00FF6E12">
        <w:t xml:space="preserve"> </w:t>
      </w:r>
      <w:r w:rsidR="00D40B31" w:rsidRPr="00FF6E12">
        <w:t>Fortunato et al</w:t>
      </w:r>
      <w:r w:rsidR="00350D4E" w:rsidRPr="00FF6E12">
        <w:t xml:space="preserve"> (n </w:t>
      </w:r>
      <w:r w:rsidR="00350D4E" w:rsidRPr="00FF6E12">
        <w:fldChar w:fldCharType="begin"/>
      </w:r>
      <w:r w:rsidR="00350D4E" w:rsidRPr="00FF6E12">
        <w:instrText xml:space="preserve"> NOTEREF _Ref218005127 \h </w:instrText>
      </w:r>
      <w:r w:rsidR="00350D4E" w:rsidRPr="00FF6E12">
        <w:fldChar w:fldCharType="separate"/>
      </w:r>
      <w:r w:rsidR="007D7830">
        <w:t>663</w:t>
      </w:r>
      <w:r w:rsidR="00350D4E" w:rsidRPr="00FF6E12">
        <w:fldChar w:fldCharType="end"/>
      </w:r>
      <w:r w:rsidR="00350D4E" w:rsidRPr="00FF6E12">
        <w:t>)</w:t>
      </w:r>
      <w:r w:rsidR="00AD0514" w:rsidRPr="00FF6E12">
        <w:t>.</w:t>
      </w:r>
    </w:p>
  </w:footnote>
  <w:footnote w:id="674">
    <w:p w14:paraId="2ECCF3D6" w14:textId="31C4F413" w:rsidR="00CE4AAB" w:rsidRPr="00FF6E12" w:rsidRDefault="00CE4AAB">
      <w:pPr>
        <w:pStyle w:val="FootnoteText"/>
      </w:pPr>
      <w:r w:rsidRPr="00FF6E12">
        <w:rPr>
          <w:rStyle w:val="FootnoteReference"/>
        </w:rPr>
        <w:footnoteRef/>
      </w:r>
      <w:r w:rsidRPr="00FF6E12">
        <w:t xml:space="preserve"> </w:t>
      </w:r>
      <w:r w:rsidR="00350D4E" w:rsidRPr="00FF6E12">
        <w:t>Ibid</w:t>
      </w:r>
      <w:r w:rsidR="00AD0514" w:rsidRPr="00FF6E12">
        <w:t>.</w:t>
      </w:r>
    </w:p>
  </w:footnote>
  <w:footnote w:id="675">
    <w:p w14:paraId="5E22A391" w14:textId="7D65CB3C" w:rsidR="00E8115B" w:rsidRPr="00FF6E12" w:rsidRDefault="00E8115B">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w:t>
      </w:r>
      <w:r w:rsidR="007F739B" w:rsidRPr="00FF6E12">
        <w:t>ol</w:t>
      </w:r>
      <w:r w:rsidRPr="00FF6E12">
        <w:t xml:space="preserve"> 8 </w:t>
      </w:r>
      <w:r w:rsidR="00A214D5" w:rsidRPr="00FF6E12">
        <w:t>c</w:t>
      </w:r>
      <w:r w:rsidRPr="00FF6E12">
        <w:t>h 21 [5.3].</w:t>
      </w:r>
    </w:p>
  </w:footnote>
  <w:footnote w:id="676">
    <w:p w14:paraId="6AEF751A" w14:textId="461F1F9B" w:rsidR="001B01B8" w:rsidRPr="00FF6E12" w:rsidRDefault="001B01B8">
      <w:pPr>
        <w:pStyle w:val="FootnoteText"/>
      </w:pPr>
      <w:r w:rsidRPr="00FF6E12">
        <w:rPr>
          <w:rStyle w:val="FootnoteReference"/>
        </w:rPr>
        <w:footnoteRef/>
      </w:r>
      <w:r w:rsidRPr="00FF6E12">
        <w:t xml:space="preserve">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00D20461" w:rsidRPr="00FF6E12">
        <w:t>[13.43].</w:t>
      </w:r>
    </w:p>
  </w:footnote>
  <w:footnote w:id="677">
    <w:p w14:paraId="6008D687" w14:textId="7D5828E0" w:rsidR="00AD0514" w:rsidRPr="00FF6E12" w:rsidRDefault="00AD0514">
      <w:pPr>
        <w:pStyle w:val="FootnoteText"/>
      </w:pPr>
      <w:r w:rsidRPr="00FF6E12">
        <w:rPr>
          <w:rStyle w:val="FootnoteReference"/>
        </w:rPr>
        <w:footnoteRef/>
      </w:r>
      <w:r w:rsidRPr="00FF6E12">
        <w:t xml:space="preserve"> </w:t>
      </w:r>
      <w:r w:rsidR="00350D4E" w:rsidRPr="00FF6E12">
        <w:t xml:space="preserve">Fortunato et al (n </w:t>
      </w:r>
      <w:r w:rsidR="00350D4E" w:rsidRPr="00FF6E12">
        <w:fldChar w:fldCharType="begin"/>
      </w:r>
      <w:r w:rsidR="00350D4E" w:rsidRPr="00FF6E12">
        <w:instrText xml:space="preserve"> NOTEREF _Ref218005127 \h </w:instrText>
      </w:r>
      <w:r w:rsidR="00350D4E" w:rsidRPr="00FF6E12">
        <w:fldChar w:fldCharType="separate"/>
      </w:r>
      <w:r w:rsidR="007D7830">
        <w:t>663</w:t>
      </w:r>
      <w:r w:rsidR="00350D4E" w:rsidRPr="00FF6E12">
        <w:fldChar w:fldCharType="end"/>
      </w:r>
      <w:r w:rsidR="00350D4E" w:rsidRPr="00FF6E12">
        <w:t>)</w:t>
      </w:r>
      <w:r w:rsidR="00D23687" w:rsidRPr="00FF6E12">
        <w:t xml:space="preserve">, </w:t>
      </w:r>
      <w:r w:rsidRPr="00FF6E12">
        <w:t>104</w:t>
      </w:r>
      <w:r w:rsidR="00333D07" w:rsidRPr="00FF6E12">
        <w:t>2</w:t>
      </w:r>
      <w:r w:rsidR="00350D4E" w:rsidRPr="00FF6E12">
        <w:t>–</w:t>
      </w:r>
      <w:r w:rsidR="00E2173B" w:rsidRPr="00FF6E12">
        <w:t>1043.</w:t>
      </w:r>
    </w:p>
  </w:footnote>
  <w:footnote w:id="678">
    <w:p w14:paraId="625D2C7D" w14:textId="3C9AF134" w:rsidR="00A7546D" w:rsidRPr="00FF6E12" w:rsidRDefault="00A7546D">
      <w:pPr>
        <w:pStyle w:val="FootnoteText"/>
      </w:pPr>
      <w:r w:rsidRPr="00FF6E12">
        <w:rPr>
          <w:rStyle w:val="FootnoteReference"/>
        </w:rPr>
        <w:footnoteRef/>
      </w:r>
      <w:r w:rsidRPr="00FF6E12">
        <w:t xml:space="preserve"> See </w:t>
      </w:r>
      <w:r w:rsidR="00372F4B" w:rsidRPr="00FF6E12">
        <w:t>[</w:t>
      </w:r>
      <w:r w:rsidR="003C2C40">
        <w:fldChar w:fldCharType="begin"/>
      </w:r>
      <w:r w:rsidR="003C2C40">
        <w:instrText xml:space="preserve"> REF _Ref218241170 \r \h </w:instrText>
      </w:r>
      <w:r w:rsidR="003C2C40">
        <w:fldChar w:fldCharType="separate"/>
      </w:r>
      <w:r w:rsidR="007D7830">
        <w:t>2.7</w:t>
      </w:r>
      <w:r w:rsidR="003C2C40">
        <w:fldChar w:fldCharType="end"/>
      </w:r>
      <w:r w:rsidR="00372F4B" w:rsidRPr="00FF6E12">
        <w:t>]</w:t>
      </w:r>
      <w:r w:rsidRPr="00FF6E12">
        <w:t>.</w:t>
      </w:r>
    </w:p>
  </w:footnote>
  <w:footnote w:id="679">
    <w:p w14:paraId="31CFBBC1" w14:textId="77777777" w:rsidR="00D2319A" w:rsidRPr="00FF6E12" w:rsidRDefault="00D2319A" w:rsidP="00A920EC">
      <w:pPr>
        <w:pStyle w:val="FootnoteText"/>
      </w:pPr>
      <w:r w:rsidRPr="00FF6E12">
        <w:rPr>
          <w:rStyle w:val="FootnoteReference"/>
        </w:rPr>
        <w:footnoteRef/>
      </w:r>
      <w:r w:rsidRPr="00FF6E12">
        <w:t xml:space="preserve"> Statistical comparisons were not possible due to the nature of the data.</w:t>
      </w:r>
    </w:p>
  </w:footnote>
  <w:footnote w:id="680">
    <w:p w14:paraId="633B9A9B" w14:textId="77777777" w:rsidR="00B97B76" w:rsidRPr="00FF6E12" w:rsidRDefault="00B97B76">
      <w:pPr>
        <w:pStyle w:val="FootnoteText"/>
        <w:rPr>
          <w:rFonts w:asciiTheme="minorHAnsi" w:hAnsiTheme="minorHAnsi"/>
        </w:rPr>
      </w:pPr>
      <w:r w:rsidRPr="00FF6E12">
        <w:rPr>
          <w:rStyle w:val="FootnoteReference"/>
        </w:rPr>
        <w:footnoteRef/>
      </w:r>
      <w:r w:rsidRPr="00FF6E12">
        <w:t xml:space="preserve"> Some disparities were evident when comparing the numbers of referrals between figures. However, it is possible that these disparities reflected multiple referrals for the same individuals, rather than errors in reporting.</w:t>
      </w:r>
    </w:p>
  </w:footnote>
  <w:footnote w:id="681">
    <w:p w14:paraId="5BD46C3A" w14:textId="4326109B" w:rsidR="00F512A3" w:rsidRPr="00FF6E12" w:rsidRDefault="00F512A3" w:rsidP="00A920EC">
      <w:pPr>
        <w:pStyle w:val="FootnoteText"/>
      </w:pPr>
      <w:r w:rsidRPr="00FF6E12">
        <w:rPr>
          <w:rStyle w:val="FootnoteReference"/>
        </w:rPr>
        <w:footnoteRef/>
      </w:r>
      <w:r w:rsidRPr="00FF6E12">
        <w:t xml:space="preserve"> Unpublished data provided by Tasmania Police</w:t>
      </w:r>
      <w:r w:rsidR="00D31408" w:rsidRPr="00FF6E12">
        <w:t>.</w:t>
      </w:r>
    </w:p>
  </w:footnote>
  <w:footnote w:id="682">
    <w:p w14:paraId="1F2AB61C" w14:textId="5E137A33" w:rsidR="00CF1CDF" w:rsidRPr="00FF6E12" w:rsidRDefault="00CF1CDF">
      <w:pPr>
        <w:pStyle w:val="FootnoteText"/>
      </w:pPr>
      <w:r w:rsidRPr="00FF6E12">
        <w:rPr>
          <w:rStyle w:val="FootnoteReference"/>
        </w:rPr>
        <w:footnoteRef/>
      </w:r>
      <w:r w:rsidRPr="00FF6E12">
        <w:t xml:space="preserve"> </w:t>
      </w:r>
      <w:r w:rsidR="00731A7D" w:rsidRPr="00FF6E12">
        <w:t>Unpublished</w:t>
      </w:r>
      <w:r w:rsidRPr="00FF6E12">
        <w:t xml:space="preserve"> data provided by Tasmania Police</w:t>
      </w:r>
      <w:r w:rsidR="00043034" w:rsidRPr="00FF6E12">
        <w:t>.</w:t>
      </w:r>
    </w:p>
  </w:footnote>
  <w:footnote w:id="683">
    <w:p w14:paraId="778CEC0E" w14:textId="4C52308F" w:rsidR="00812951" w:rsidRPr="00FF6E12" w:rsidRDefault="00812951">
      <w:pPr>
        <w:pStyle w:val="FootnoteText"/>
      </w:pPr>
      <w:r w:rsidRPr="00FF6E12">
        <w:rPr>
          <w:rStyle w:val="FootnoteReference"/>
        </w:rPr>
        <w:footnoteRef/>
      </w:r>
      <w:r w:rsidRPr="00FF6E12">
        <w:t xml:space="preserve"> </w:t>
      </w:r>
      <w:r w:rsidR="00D31408" w:rsidRPr="00FF6E12">
        <w:t xml:space="preserve">TSAC (n </w:t>
      </w:r>
      <w:r w:rsidR="00D31408" w:rsidRPr="00FF6E12">
        <w:fldChar w:fldCharType="begin"/>
      </w:r>
      <w:r w:rsidR="00D31408" w:rsidRPr="00FF6E12">
        <w:instrText xml:space="preserve"> NOTEREF _Ref217929806 \h </w:instrText>
      </w:r>
      <w:r w:rsidR="00D31408" w:rsidRPr="00FF6E12">
        <w:fldChar w:fldCharType="separate"/>
      </w:r>
      <w:r w:rsidR="007D7830">
        <w:t>167</w:t>
      </w:r>
      <w:r w:rsidR="00D31408" w:rsidRPr="00FF6E12">
        <w:fldChar w:fldCharType="end"/>
      </w:r>
      <w:r w:rsidR="00D31408" w:rsidRPr="00FF6E12">
        <w:t>) app</w:t>
      </w:r>
      <w:r w:rsidRPr="00FF6E12">
        <w:t xml:space="preserve"> B Table B1</w:t>
      </w:r>
      <w:r w:rsidR="00D31408" w:rsidRPr="00FF6E12">
        <w:t>,</w:t>
      </w:r>
      <w:r w:rsidRPr="00FF6E12">
        <w:t xml:space="preserve"> for the period 2010</w:t>
      </w:r>
      <w:r w:rsidR="00D31408" w:rsidRPr="00FF6E12">
        <w:t>–</w:t>
      </w:r>
      <w:r w:rsidRPr="00FF6E12">
        <w:t>11 to 2018</w:t>
      </w:r>
      <w:r w:rsidR="00D31408" w:rsidRPr="00FF6E12">
        <w:t>–</w:t>
      </w:r>
      <w:r w:rsidRPr="00FF6E12">
        <w:t>19.</w:t>
      </w:r>
    </w:p>
  </w:footnote>
  <w:footnote w:id="684">
    <w:p w14:paraId="7448D549" w14:textId="30976E99" w:rsidR="00812951" w:rsidRPr="00FF6E12" w:rsidRDefault="00812951">
      <w:pPr>
        <w:pStyle w:val="FootnoteText"/>
      </w:pPr>
      <w:r w:rsidRPr="00FF6E12">
        <w:rPr>
          <w:rStyle w:val="FootnoteReference"/>
        </w:rPr>
        <w:footnoteRef/>
      </w:r>
      <w:r w:rsidRPr="00FF6E12">
        <w:t xml:space="preserve"> </w:t>
      </w:r>
      <w:r w:rsidR="00D31408" w:rsidRPr="00FF6E12">
        <w:t>Ibid</w:t>
      </w:r>
      <w:r w:rsidR="00EE4342" w:rsidRPr="00FF6E12">
        <w:t xml:space="preserve"> </w:t>
      </w:r>
      <w:r w:rsidR="00D31408" w:rsidRPr="00FF6E12">
        <w:t xml:space="preserve">app </w:t>
      </w:r>
      <w:r w:rsidRPr="00FF6E12">
        <w:t>B Table B2</w:t>
      </w:r>
      <w:r w:rsidR="00D31408" w:rsidRPr="00FF6E12">
        <w:t>,</w:t>
      </w:r>
      <w:r w:rsidRPr="00FF6E12">
        <w:t xml:space="preserve"> for 2018</w:t>
      </w:r>
      <w:r w:rsidR="00D31408" w:rsidRPr="00FF6E12">
        <w:t>–</w:t>
      </w:r>
      <w:r w:rsidRPr="00FF6E12">
        <w:t>19.</w:t>
      </w:r>
    </w:p>
  </w:footnote>
  <w:footnote w:id="685">
    <w:p w14:paraId="161E8BBD" w14:textId="77777777" w:rsidR="006B5BF8" w:rsidRPr="00FF6E12" w:rsidRDefault="006B5BF8">
      <w:pPr>
        <w:pStyle w:val="FootnoteText"/>
      </w:pPr>
      <w:r w:rsidRPr="00FF6E12">
        <w:rPr>
          <w:rStyle w:val="FootnoteReference"/>
        </w:rPr>
        <w:footnoteRef/>
      </w:r>
      <w:r w:rsidRPr="00FF6E12">
        <w:t xml:space="preserve"> Unpublished data provided by Tasmania Police.</w:t>
      </w:r>
    </w:p>
  </w:footnote>
  <w:footnote w:id="686">
    <w:p w14:paraId="688BBB68" w14:textId="45944849" w:rsidR="00731A7D" w:rsidRPr="00FF6E12" w:rsidRDefault="00731A7D">
      <w:pPr>
        <w:pStyle w:val="FootnoteText"/>
      </w:pPr>
      <w:r w:rsidRPr="00FF6E12">
        <w:rPr>
          <w:rStyle w:val="FootnoteReference"/>
        </w:rPr>
        <w:footnoteRef/>
      </w:r>
      <w:r w:rsidRPr="00FF6E12">
        <w:t xml:space="preserve"> Unpublished data provided by Tasmania Police</w:t>
      </w:r>
      <w:r w:rsidR="000C6AD9" w:rsidRPr="00FF6E12">
        <w:t>.</w:t>
      </w:r>
    </w:p>
  </w:footnote>
  <w:footnote w:id="687">
    <w:p w14:paraId="47EC443E" w14:textId="7911DBAE" w:rsidR="006840B2" w:rsidRPr="00FF6E12" w:rsidRDefault="006840B2">
      <w:pPr>
        <w:pStyle w:val="FootnoteText"/>
      </w:pPr>
      <w:r w:rsidRPr="00FF6E12">
        <w:rPr>
          <w:rStyle w:val="FootnoteReference"/>
        </w:rPr>
        <w:footnoteRef/>
      </w:r>
      <w:r w:rsidRPr="00FF6E12">
        <w:t xml:space="preserve"> </w:t>
      </w:r>
      <w:r w:rsidR="00D31408" w:rsidRPr="00FF6E12">
        <w:t xml:space="preserve">TSAC (n </w:t>
      </w:r>
      <w:r w:rsidR="00D31408" w:rsidRPr="00FF6E12">
        <w:fldChar w:fldCharType="begin"/>
      </w:r>
      <w:r w:rsidR="00D31408" w:rsidRPr="00FF6E12">
        <w:instrText xml:space="preserve"> NOTEREF _Ref217929806 \h </w:instrText>
      </w:r>
      <w:r w:rsidR="00D31408" w:rsidRPr="00FF6E12">
        <w:fldChar w:fldCharType="separate"/>
      </w:r>
      <w:r w:rsidR="007D7830">
        <w:t>167</w:t>
      </w:r>
      <w:r w:rsidR="00D31408" w:rsidRPr="00FF6E12">
        <w:fldChar w:fldCharType="end"/>
      </w:r>
      <w:r w:rsidR="00D31408" w:rsidRPr="00FF6E12">
        <w:t>) app</w:t>
      </w:r>
      <w:r w:rsidRPr="00FF6E12">
        <w:t xml:space="preserve"> B Table B3</w:t>
      </w:r>
      <w:r w:rsidR="00D31408" w:rsidRPr="00FF6E12">
        <w:t>,</w:t>
      </w:r>
      <w:r w:rsidRPr="00FF6E12">
        <w:t xml:space="preserve"> for the period 2010</w:t>
      </w:r>
      <w:r w:rsidR="00D31408" w:rsidRPr="00FF6E12">
        <w:t>–</w:t>
      </w:r>
      <w:r w:rsidRPr="00FF6E12">
        <w:t>11 to 2018</w:t>
      </w:r>
      <w:r w:rsidR="00D31408" w:rsidRPr="00FF6E12">
        <w:t>–</w:t>
      </w:r>
      <w:r w:rsidRPr="00FF6E12">
        <w:t>19.</w:t>
      </w:r>
    </w:p>
  </w:footnote>
  <w:footnote w:id="688">
    <w:p w14:paraId="4E02E94C" w14:textId="67F36640" w:rsidR="006840B2" w:rsidRPr="00FF6E12" w:rsidRDefault="006840B2">
      <w:pPr>
        <w:pStyle w:val="FootnoteText"/>
      </w:pPr>
      <w:r w:rsidRPr="00FF6E12">
        <w:rPr>
          <w:rStyle w:val="FootnoteReference"/>
        </w:rPr>
        <w:footnoteRef/>
      </w:r>
      <w:r w:rsidRPr="00FF6E12">
        <w:t xml:space="preserve"> </w:t>
      </w:r>
      <w:r w:rsidR="00541C09" w:rsidRPr="00FF6E12">
        <w:t>Ibid</w:t>
      </w:r>
      <w:r w:rsidR="00D31408" w:rsidRPr="00FF6E12">
        <w:t xml:space="preserve"> app</w:t>
      </w:r>
      <w:r w:rsidRPr="00FF6E12">
        <w:t xml:space="preserve"> B Table B4</w:t>
      </w:r>
      <w:r w:rsidR="00D31408" w:rsidRPr="00FF6E12">
        <w:t>,</w:t>
      </w:r>
      <w:r w:rsidRPr="00FF6E12">
        <w:t xml:space="preserve"> for 2018</w:t>
      </w:r>
      <w:r w:rsidR="00D31408" w:rsidRPr="00FF6E12">
        <w:t>–</w:t>
      </w:r>
      <w:r w:rsidRPr="00FF6E12">
        <w:t>19.</w:t>
      </w:r>
    </w:p>
  </w:footnote>
  <w:footnote w:id="689">
    <w:p w14:paraId="2440469B" w14:textId="71850D96" w:rsidR="006D22B0" w:rsidRPr="00FF6E12" w:rsidRDefault="006D22B0">
      <w:pPr>
        <w:pStyle w:val="FootnoteText"/>
      </w:pPr>
      <w:r w:rsidRPr="00FF6E12">
        <w:rPr>
          <w:rStyle w:val="FootnoteReference"/>
        </w:rPr>
        <w:footnoteRef/>
      </w:r>
      <w:r w:rsidRPr="00FF6E12">
        <w:t xml:space="preserve"> </w:t>
      </w:r>
      <w:r w:rsidR="00972B48" w:rsidRPr="00FF6E12">
        <w:t>Participant</w:t>
      </w:r>
      <w:r w:rsidRPr="00FF6E12">
        <w:t xml:space="preserve"> 38.</w:t>
      </w:r>
    </w:p>
  </w:footnote>
  <w:footnote w:id="690">
    <w:p w14:paraId="4DE0ED52" w14:textId="7EF0BAD5" w:rsidR="00EC57AF" w:rsidRPr="00FF6E12" w:rsidRDefault="00EC57AF">
      <w:pPr>
        <w:pStyle w:val="FootnoteText"/>
      </w:pPr>
      <w:r w:rsidRPr="00FF6E12">
        <w:rPr>
          <w:rStyle w:val="FootnoteReference"/>
        </w:rPr>
        <w:footnoteRef/>
      </w:r>
      <w:r w:rsidRPr="00FF6E12">
        <w:t xml:space="preserve"> Unpublished data provided by Tasmania Police</w:t>
      </w:r>
      <w:r w:rsidR="00AD0CDD" w:rsidRPr="00FF6E12">
        <w:t>.</w:t>
      </w:r>
    </w:p>
  </w:footnote>
  <w:footnote w:id="691">
    <w:p w14:paraId="3F8BC86B" w14:textId="3CA25239" w:rsidR="003770C1" w:rsidRPr="00FF6E12" w:rsidRDefault="003770C1">
      <w:pPr>
        <w:pStyle w:val="FootnoteText"/>
      </w:pPr>
      <w:r w:rsidRPr="00FF6E12">
        <w:rPr>
          <w:rStyle w:val="FootnoteReference"/>
        </w:rPr>
        <w:footnoteRef/>
      </w:r>
      <w:r w:rsidRPr="00FF6E12">
        <w:t xml:space="preserve"> Based on ANZSOC Division Code 03 </w:t>
      </w:r>
      <w:r w:rsidR="007F5E2A" w:rsidRPr="00FF6E12">
        <w:t>‘</w:t>
      </w:r>
      <w:r w:rsidRPr="00FF6E12">
        <w:t>Sexual Offences’, where offence information was recorded.</w:t>
      </w:r>
    </w:p>
  </w:footnote>
  <w:footnote w:id="692">
    <w:p w14:paraId="70EA82E1" w14:textId="467A9777" w:rsidR="00352A49" w:rsidRPr="00FF6E12" w:rsidRDefault="009F2D95" w:rsidP="00573106">
      <w:pPr>
        <w:spacing w:after="0"/>
        <w:rPr>
          <w:sz w:val="20"/>
          <w:szCs w:val="20"/>
        </w:rPr>
      </w:pPr>
      <w:r w:rsidRPr="00FF6E12">
        <w:rPr>
          <w:rStyle w:val="FootnoteReference"/>
          <w:sz w:val="20"/>
          <w:szCs w:val="20"/>
        </w:rPr>
        <w:footnoteRef/>
      </w:r>
      <w:r w:rsidR="00352A49" w:rsidRPr="00FF6E12">
        <w:t xml:space="preserve"> </w:t>
      </w:r>
      <w:r w:rsidR="00352A49" w:rsidRPr="00FF6E12">
        <w:rPr>
          <w:rStyle w:val="FootnoteTextTLRIChar"/>
        </w:rPr>
        <w:t>Notes required for interpretation:</w:t>
      </w:r>
      <w:r w:rsidR="00795477" w:rsidRPr="00FF6E12">
        <w:rPr>
          <w:rStyle w:val="FootnoteTextTLRIChar"/>
        </w:rPr>
        <w:t xml:space="preserve">1. </w:t>
      </w:r>
      <w:r w:rsidR="00352A49" w:rsidRPr="00FF6E12">
        <w:rPr>
          <w:rStyle w:val="FootnoteTextTLRIChar"/>
        </w:rPr>
        <w:t>Young people with the following YJIS task types open during the reporting period 1/07/2014 to 30/06/2024 are included: CC.</w:t>
      </w:r>
      <w:r w:rsidR="0083228A" w:rsidRPr="00FF6E12">
        <w:rPr>
          <w:rStyle w:val="FootnoteTextTLRIChar"/>
        </w:rPr>
        <w:t xml:space="preserve"> </w:t>
      </w:r>
      <w:r w:rsidR="00795477" w:rsidRPr="00FF6E12">
        <w:rPr>
          <w:rStyle w:val="FootnoteTextTLRIChar"/>
        </w:rPr>
        <w:t xml:space="preserve">2. </w:t>
      </w:r>
      <w:r w:rsidR="00352A49" w:rsidRPr="00FF6E12">
        <w:rPr>
          <w:rStyle w:val="FootnoteTextTLRIChar"/>
        </w:rPr>
        <w:t xml:space="preserve">Young people with offences recorded in YJIS against an included task type that have been classified into ANZSOC 2023 Division </w:t>
      </w:r>
      <w:r w:rsidR="00D31408" w:rsidRPr="00FF6E12">
        <w:rPr>
          <w:rStyle w:val="FootnoteTextTLRIChar"/>
        </w:rPr>
        <w:t>‘</w:t>
      </w:r>
      <w:r w:rsidR="00352A49" w:rsidRPr="00FF6E12">
        <w:rPr>
          <w:rStyle w:val="FootnoteTextTLRIChar"/>
        </w:rPr>
        <w:t xml:space="preserve">03 Sexual offences’ have been included under the category of ‘Young people with sexual offences’. All other young people with an open YJIS task are included under ‘Young people with all other offences’ irrespective of whether an offence was recorded. </w:t>
      </w:r>
      <w:r w:rsidR="00795477" w:rsidRPr="00FF6E12">
        <w:rPr>
          <w:rStyle w:val="FootnoteTextTLRIChar"/>
        </w:rPr>
        <w:t xml:space="preserve">3. </w:t>
      </w:r>
      <w:r w:rsidR="00352A49" w:rsidRPr="00FF6E12">
        <w:rPr>
          <w:rStyle w:val="FootnoteTextTLRIChar"/>
        </w:rPr>
        <w:t>Offence data is subject to data quality concerns and</w:t>
      </w:r>
      <w:r w:rsidR="00541C09" w:rsidRPr="00FF6E12">
        <w:rPr>
          <w:rStyle w:val="FootnoteTextTLRIChar"/>
        </w:rPr>
        <w:t>,</w:t>
      </w:r>
      <w:r w:rsidR="00352A49" w:rsidRPr="00FF6E12">
        <w:rPr>
          <w:rStyle w:val="FootnoteTextTLRIChar"/>
        </w:rPr>
        <w:t xml:space="preserve"> as such</w:t>
      </w:r>
      <w:r w:rsidR="00541C09" w:rsidRPr="00FF6E12">
        <w:rPr>
          <w:rStyle w:val="FootnoteTextTLRIChar"/>
        </w:rPr>
        <w:t>,</w:t>
      </w:r>
      <w:r w:rsidR="00352A49" w:rsidRPr="00FF6E12">
        <w:rPr>
          <w:rStyle w:val="FootnoteTextTLRIChar"/>
        </w:rPr>
        <w:t xml:space="preserve"> should be interpreted with a high degree of caution. </w:t>
      </w:r>
      <w:r w:rsidR="00795477" w:rsidRPr="00FF6E12">
        <w:rPr>
          <w:rStyle w:val="FootnoteTextTLRIChar"/>
        </w:rPr>
        <w:t xml:space="preserve">4. </w:t>
      </w:r>
      <w:r w:rsidR="00352A49" w:rsidRPr="00FF6E12">
        <w:rPr>
          <w:rStyle w:val="FootnoteTextTLRIChar"/>
        </w:rPr>
        <w:t>One young person may have more than one type of offence within the reporting period. They are counted against each offence category which</w:t>
      </w:r>
      <w:r w:rsidR="00352A49" w:rsidRPr="00FF6E12">
        <w:rPr>
          <w:sz w:val="20"/>
          <w:szCs w:val="20"/>
        </w:rPr>
        <w:t xml:space="preserve"> means the summed values may be greater than the ‘Total’. Each young person is only counted once in the Total.</w:t>
      </w:r>
      <w:r w:rsidR="0083228A" w:rsidRPr="00FF6E12">
        <w:rPr>
          <w:sz w:val="20"/>
          <w:szCs w:val="20"/>
        </w:rPr>
        <w:t xml:space="preserve"> </w:t>
      </w:r>
      <w:r w:rsidR="00795477" w:rsidRPr="00FF6E12">
        <w:rPr>
          <w:sz w:val="20"/>
          <w:szCs w:val="20"/>
        </w:rPr>
        <w:t xml:space="preserve">5. </w:t>
      </w:r>
      <w:r w:rsidR="00352A49" w:rsidRPr="00FF6E12">
        <w:rPr>
          <w:sz w:val="20"/>
          <w:szCs w:val="20"/>
        </w:rPr>
        <w:t>Disaggregated values fewer than five have been suppressed (‘</w:t>
      </w:r>
      <w:r w:rsidR="00D31408" w:rsidRPr="00FF6E12">
        <w:rPr>
          <w:sz w:val="20"/>
          <w:szCs w:val="20"/>
        </w:rPr>
        <w:t>Not published</w:t>
      </w:r>
      <w:r w:rsidR="00352A49" w:rsidRPr="00FF6E12">
        <w:rPr>
          <w:sz w:val="20"/>
          <w:szCs w:val="20"/>
        </w:rPr>
        <w:t>’) to protect client confidentiality.</w:t>
      </w:r>
      <w:r w:rsidR="00DB1FA8" w:rsidRPr="00FF6E12">
        <w:rPr>
          <w:sz w:val="20"/>
          <w:szCs w:val="20"/>
        </w:rPr>
        <w:t xml:space="preserve"> </w:t>
      </w:r>
      <w:r w:rsidR="009D74C0" w:rsidRPr="00FF6E12">
        <w:rPr>
          <w:sz w:val="20"/>
          <w:szCs w:val="20"/>
        </w:rPr>
        <w:t>In addition, this is not to suggest that the extent of sexual offending by youth offenders is not greater</w:t>
      </w:r>
      <w:r w:rsidR="00541C09" w:rsidRPr="00FF6E12">
        <w:rPr>
          <w:sz w:val="20"/>
          <w:szCs w:val="20"/>
        </w:rPr>
        <w:t xml:space="preserve"> –</w:t>
      </w:r>
      <w:r w:rsidR="009D74C0" w:rsidRPr="00FF6E12">
        <w:rPr>
          <w:sz w:val="20"/>
          <w:szCs w:val="20"/>
        </w:rPr>
        <w:t xml:space="preserve"> the absence of information cannot be interpreted as conclusive given the potential false negatives and also the extent of underreporting being unknown</w:t>
      </w:r>
      <w:r w:rsidR="007A18DE" w:rsidRPr="00FF6E12">
        <w:rPr>
          <w:sz w:val="20"/>
          <w:szCs w:val="20"/>
        </w:rPr>
        <w:t>.</w:t>
      </w:r>
    </w:p>
  </w:footnote>
  <w:footnote w:id="693">
    <w:p w14:paraId="672E381E" w14:textId="02CB3326" w:rsidR="0083228A" w:rsidRPr="00FF6E12" w:rsidRDefault="0083228A" w:rsidP="00A920EC">
      <w:pPr>
        <w:pStyle w:val="FootnoteText"/>
      </w:pPr>
      <w:r w:rsidRPr="00FF6E12">
        <w:rPr>
          <w:rStyle w:val="FootnoteReference"/>
        </w:rPr>
        <w:footnoteRef/>
      </w:r>
      <w:r w:rsidRPr="00FF6E12">
        <w:t xml:space="preserve"> </w:t>
      </w:r>
      <w:r w:rsidR="005C79A7" w:rsidRPr="00FF6E12">
        <w:rPr>
          <w:rStyle w:val="FootnoteTextTLRIChar"/>
        </w:rPr>
        <w:t>Notes required for interpretation:</w:t>
      </w:r>
      <w:r w:rsidR="00951BCD" w:rsidRPr="00FF6E12">
        <w:rPr>
          <w:rStyle w:val="FootnoteTextTLRIChar"/>
        </w:rPr>
        <w:t xml:space="preserve">1. Young people with the following YJIS task types open during the reporting period 1/07/2014 to 30/06/2024 are included: CC. 2. Young people with offences recorded in YJIS against an included task type that have been classified into ANZSOC 2023 Division 03 </w:t>
      </w:r>
      <w:r w:rsidR="003C2C40">
        <w:rPr>
          <w:rStyle w:val="FootnoteTextTLRIChar"/>
        </w:rPr>
        <w:t>‘</w:t>
      </w:r>
      <w:r w:rsidR="00951BCD" w:rsidRPr="00FF6E12">
        <w:rPr>
          <w:rStyle w:val="FootnoteTextTLRIChar"/>
        </w:rPr>
        <w:t>Sexual offences’ have been included under the category of ‘Young people with sexual offences’. 3. Offence data is subject to data quality concerns and as such should be interpreted with a high degree of caution. 4. One young person may have more than one type of offence within the reporting period. They are counted against each offence category which</w:t>
      </w:r>
      <w:r w:rsidR="00951BCD" w:rsidRPr="00FF6E12">
        <w:t xml:space="preserve"> means the summed values may be greater than the ‘Total’. Each young person is only counted once in the Total. 5.</w:t>
      </w:r>
      <w:r w:rsidR="005C79A7" w:rsidRPr="00FF6E12">
        <w:rPr>
          <w:rFonts w:asciiTheme="minorHAnsi" w:hAnsiTheme="minorHAnsi"/>
          <w:kern w:val="2"/>
          <w:sz w:val="18"/>
          <w:szCs w:val="18"/>
          <w:lang w:bidi="th-TH"/>
          <w14:ligatures w14:val="standardContextual"/>
        </w:rPr>
        <w:t xml:space="preserve"> </w:t>
      </w:r>
      <w:r w:rsidR="005C79A7" w:rsidRPr="00FF6E12">
        <w:t xml:space="preserve">Offence descriptions come from the following sources: ‘Indecent Assault’ is defined under the Criminal Code Act 1924; ‘Child abuse material offences’ and ‘Sexual assault of a child’ refer to the ANZSOC 2023 Subdivision for the specific offences; and ‘Other sexual offences’ includes all other ANZSOC 2023 Division </w:t>
      </w:r>
      <w:r w:rsidR="00541C09" w:rsidRPr="00FF6E12">
        <w:t xml:space="preserve">‘03 </w:t>
      </w:r>
      <w:r w:rsidR="005C79A7" w:rsidRPr="00FF6E12">
        <w:t>Sexual offences’ for which numbers were too low to display separately.</w:t>
      </w:r>
    </w:p>
  </w:footnote>
  <w:footnote w:id="694">
    <w:p w14:paraId="48FD4458" w14:textId="6467D5C6" w:rsidR="00EC57AF" w:rsidRPr="00FF6E12" w:rsidRDefault="00EC57AF">
      <w:pPr>
        <w:pStyle w:val="FootnoteText"/>
      </w:pPr>
      <w:r w:rsidRPr="00FF6E12">
        <w:rPr>
          <w:rStyle w:val="FootnoteReference"/>
        </w:rPr>
        <w:footnoteRef/>
      </w:r>
      <w:r w:rsidRPr="00FF6E12">
        <w:t xml:space="preserve"> </w:t>
      </w:r>
      <w:r w:rsidR="00541C09" w:rsidRPr="00FF6E12">
        <w:t xml:space="preserve">TSAC (n </w:t>
      </w:r>
      <w:r w:rsidR="00541C09" w:rsidRPr="00FF6E12">
        <w:fldChar w:fldCharType="begin"/>
      </w:r>
      <w:r w:rsidR="00541C09" w:rsidRPr="00FF6E12">
        <w:instrText xml:space="preserve"> NOTEREF _Ref217929806 \h </w:instrText>
      </w:r>
      <w:r w:rsidR="00541C09" w:rsidRPr="00FF6E12">
        <w:fldChar w:fldCharType="separate"/>
      </w:r>
      <w:r w:rsidR="007D7830">
        <w:t>167</w:t>
      </w:r>
      <w:r w:rsidR="00541C09" w:rsidRPr="00FF6E12">
        <w:fldChar w:fldCharType="end"/>
      </w:r>
      <w:r w:rsidR="00541C09" w:rsidRPr="00FF6E12">
        <w:t>) app</w:t>
      </w:r>
      <w:r w:rsidRPr="00FF6E12">
        <w:t xml:space="preserve"> B Table B5 for the period 2010</w:t>
      </w:r>
      <w:r w:rsidR="00541C09" w:rsidRPr="00FF6E12">
        <w:t>–</w:t>
      </w:r>
      <w:r w:rsidRPr="00FF6E12">
        <w:t>11 to 2018</w:t>
      </w:r>
      <w:r w:rsidR="00541C09" w:rsidRPr="00FF6E12">
        <w:t>–</w:t>
      </w:r>
      <w:r w:rsidRPr="00FF6E12">
        <w:t>19.</w:t>
      </w:r>
      <w:r w:rsidR="00F629D4">
        <w:t xml:space="preserve"> Crime </w:t>
      </w:r>
      <w:r w:rsidR="00F654D1">
        <w:t xml:space="preserve">is a </w:t>
      </w:r>
      <w:r w:rsidR="005F230D">
        <w:t>category</w:t>
      </w:r>
      <w:r w:rsidR="00F654D1">
        <w:t xml:space="preserve"> recorded by </w:t>
      </w:r>
      <w:r w:rsidR="005F230D">
        <w:t xml:space="preserve">DPFEM and </w:t>
      </w:r>
      <w:r w:rsidR="00F654D1">
        <w:t>includes arson, burglary, fraud-</w:t>
      </w:r>
      <w:r w:rsidR="005F230D">
        <w:t>related</w:t>
      </w:r>
      <w:r w:rsidR="00F654D1">
        <w:t xml:space="preserve"> offences, injure or destroy property,</w:t>
      </w:r>
      <w:r w:rsidR="005F230D">
        <w:t xml:space="preserve"> stealing</w:t>
      </w:r>
      <w:r w:rsidR="00F654D1">
        <w:t xml:space="preserve"> and trespass.</w:t>
      </w:r>
    </w:p>
  </w:footnote>
  <w:footnote w:id="695">
    <w:p w14:paraId="3733D0D7" w14:textId="763A7D85" w:rsidR="00EC57AF" w:rsidRPr="00FF6E12" w:rsidRDefault="00EC57AF">
      <w:pPr>
        <w:pStyle w:val="FootnoteText"/>
      </w:pPr>
      <w:r w:rsidRPr="00FF6E12">
        <w:rPr>
          <w:rStyle w:val="FootnoteReference"/>
        </w:rPr>
        <w:footnoteRef/>
      </w:r>
      <w:r w:rsidRPr="00FF6E12">
        <w:t xml:space="preserve"> </w:t>
      </w:r>
      <w:r w:rsidR="00541C09" w:rsidRPr="00FF6E12">
        <w:t xml:space="preserve">Ibid app </w:t>
      </w:r>
      <w:r w:rsidRPr="00FF6E12">
        <w:t>B Table B6 for 2018</w:t>
      </w:r>
      <w:r w:rsidR="00541C09" w:rsidRPr="00FF6E12">
        <w:t>–</w:t>
      </w:r>
      <w:r w:rsidRPr="00FF6E12">
        <w:t>19.</w:t>
      </w:r>
    </w:p>
  </w:footnote>
  <w:footnote w:id="696">
    <w:p w14:paraId="137557D7" w14:textId="7FA03941" w:rsidR="00096123" w:rsidRPr="00FF6E12" w:rsidRDefault="00096123">
      <w:pPr>
        <w:pStyle w:val="FootnoteText"/>
      </w:pPr>
      <w:r w:rsidRPr="00FF6E12">
        <w:rPr>
          <w:rStyle w:val="FootnoteReference"/>
        </w:rPr>
        <w:footnoteRef/>
      </w:r>
      <w:r w:rsidRPr="00FF6E12">
        <w:t xml:space="preserve"> </w:t>
      </w:r>
      <w:r w:rsidR="002A786C" w:rsidRPr="00FF6E12">
        <w:t>Participant</w:t>
      </w:r>
      <w:r w:rsidR="00141AFF" w:rsidRPr="00FF6E12">
        <w:t xml:space="preserve"> 29</w:t>
      </w:r>
      <w:r w:rsidRPr="00FF6E12">
        <w:t>.</w:t>
      </w:r>
    </w:p>
  </w:footnote>
  <w:footnote w:id="697">
    <w:p w14:paraId="73460653" w14:textId="246E7962" w:rsidR="002B44E4" w:rsidRPr="00FF6E12" w:rsidRDefault="002B44E4">
      <w:pPr>
        <w:pStyle w:val="FootnoteText"/>
      </w:pPr>
      <w:r w:rsidRPr="00FF6E12">
        <w:rPr>
          <w:rStyle w:val="FootnoteReference"/>
        </w:rPr>
        <w:footnoteRef/>
      </w:r>
      <w:r w:rsidRPr="00FF6E12">
        <w:t xml:space="preserve"> </w:t>
      </w:r>
      <w:r w:rsidR="00573106" w:rsidRPr="00FF6E12">
        <w:t>Participant 20</w:t>
      </w:r>
      <w:r w:rsidRPr="00FF6E12">
        <w:t>.</w:t>
      </w:r>
    </w:p>
  </w:footnote>
  <w:footnote w:id="698">
    <w:p w14:paraId="43F0EB28" w14:textId="56D1DF85" w:rsidR="00B40390" w:rsidRPr="00FF6E12" w:rsidRDefault="00B40390">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00B1384A" w:rsidRPr="00FF6E12">
        <w:t>.</w:t>
      </w:r>
    </w:p>
  </w:footnote>
  <w:footnote w:id="699">
    <w:p w14:paraId="45F7C8F2" w14:textId="510DEF97" w:rsidR="001171CB" w:rsidRPr="00FF6E12" w:rsidRDefault="001171CB">
      <w:pPr>
        <w:pStyle w:val="FootnoteText"/>
      </w:pPr>
      <w:r w:rsidRPr="00FF6E12">
        <w:rPr>
          <w:rStyle w:val="FootnoteReference"/>
        </w:rPr>
        <w:footnoteRef/>
      </w:r>
      <w:r w:rsidRPr="00FF6E12">
        <w:t xml:space="preserve"> </w:t>
      </w:r>
      <w:r w:rsidR="002A786C" w:rsidRPr="00FF6E12">
        <w:t>Participant</w:t>
      </w:r>
      <w:r w:rsidR="00141AFF" w:rsidRPr="00FF6E12">
        <w:t xml:space="preserve"> 13</w:t>
      </w:r>
      <w:r w:rsidR="00562AAB" w:rsidRPr="00FF6E12">
        <w:t>.</w:t>
      </w:r>
    </w:p>
  </w:footnote>
  <w:footnote w:id="700">
    <w:p w14:paraId="5FEC6693" w14:textId="7B5382C5" w:rsidR="00E12692" w:rsidRPr="00FF6E12" w:rsidRDefault="00E12692">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00984520" w:rsidRPr="00FF6E12">
        <w:t>.</w:t>
      </w:r>
    </w:p>
  </w:footnote>
  <w:footnote w:id="701">
    <w:p w14:paraId="1D86A05D" w14:textId="425EA051" w:rsidR="002D73F5" w:rsidRPr="00FF6E12" w:rsidRDefault="002D73F5">
      <w:pPr>
        <w:pStyle w:val="FootnoteText"/>
      </w:pPr>
      <w:r w:rsidRPr="00FF6E12">
        <w:rPr>
          <w:rStyle w:val="FootnoteReference"/>
        </w:rPr>
        <w:footnoteRef/>
      </w:r>
      <w:r w:rsidRPr="00FF6E12">
        <w:t xml:space="preserve"> </w:t>
      </w:r>
      <w:r w:rsidR="002A786C" w:rsidRPr="00FF6E12">
        <w:t>Participant</w:t>
      </w:r>
      <w:r w:rsidR="00141AFF" w:rsidRPr="00FF6E12">
        <w:t xml:space="preserve"> 38</w:t>
      </w:r>
      <w:r w:rsidRPr="00FF6E12">
        <w:t>.</w:t>
      </w:r>
    </w:p>
  </w:footnote>
  <w:footnote w:id="702">
    <w:p w14:paraId="32437F3A" w14:textId="015B28EC" w:rsidR="002D73F5" w:rsidRPr="00FF6E12" w:rsidRDefault="002D73F5">
      <w:pPr>
        <w:pStyle w:val="FootnoteText"/>
      </w:pPr>
      <w:r w:rsidRPr="00FF6E12">
        <w:rPr>
          <w:rStyle w:val="FootnoteReference"/>
        </w:rPr>
        <w:footnoteRef/>
      </w:r>
      <w:r w:rsidRPr="00FF6E12">
        <w:t xml:space="preserve"> </w:t>
      </w:r>
      <w:r w:rsidR="002A786C" w:rsidRPr="00FF6E12">
        <w:t>Participant</w:t>
      </w:r>
      <w:r w:rsidR="004434D2" w:rsidRPr="00FF6E12">
        <w:t xml:space="preserve"> 3</w:t>
      </w:r>
      <w:r w:rsidRPr="00FF6E12">
        <w:t>.</w:t>
      </w:r>
    </w:p>
  </w:footnote>
  <w:footnote w:id="703">
    <w:p w14:paraId="0BF1C827" w14:textId="7045F271" w:rsidR="007225F6" w:rsidRPr="00FF6E12" w:rsidRDefault="007225F6">
      <w:pPr>
        <w:pStyle w:val="FootnoteText"/>
      </w:pPr>
      <w:r w:rsidRPr="00FF6E12">
        <w:rPr>
          <w:rStyle w:val="FootnoteReference"/>
        </w:rPr>
        <w:footnoteRef/>
      </w:r>
      <w:r w:rsidRPr="00FF6E12">
        <w:t xml:space="preserve"> </w:t>
      </w:r>
      <w:r w:rsidR="00AB4BBA" w:rsidRPr="00FF6E12">
        <w:t>Participant 38.</w:t>
      </w:r>
    </w:p>
  </w:footnote>
  <w:footnote w:id="704">
    <w:p w14:paraId="0137885B" w14:textId="5F54DC45" w:rsidR="00984520" w:rsidRPr="00FF6E12" w:rsidRDefault="00984520">
      <w:pPr>
        <w:pStyle w:val="FootnoteText"/>
      </w:pPr>
      <w:r w:rsidRPr="00FF6E12">
        <w:rPr>
          <w:rStyle w:val="FootnoteReference"/>
        </w:rPr>
        <w:footnoteRef/>
      </w:r>
      <w:r w:rsidRPr="00FF6E12">
        <w:t xml:space="preserve"> </w:t>
      </w:r>
      <w:r w:rsidR="002A786C" w:rsidRPr="00FF6E12">
        <w:t>Participant</w:t>
      </w:r>
      <w:r w:rsidR="00141AFF" w:rsidRPr="00FF6E12">
        <w:t xml:space="preserve"> 6</w:t>
      </w:r>
      <w:r w:rsidR="001A5094" w:rsidRPr="00FF6E12">
        <w:t>.</w:t>
      </w:r>
    </w:p>
  </w:footnote>
  <w:footnote w:id="705">
    <w:p w14:paraId="353F74A6" w14:textId="55932DD7" w:rsidR="0096678B" w:rsidRPr="00FF6E12" w:rsidRDefault="0096678B">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001A5094" w:rsidRPr="00FF6E12">
        <w:t>.</w:t>
      </w:r>
    </w:p>
  </w:footnote>
  <w:footnote w:id="706">
    <w:p w14:paraId="51EF7A06" w14:textId="18F047B4" w:rsidR="00676BA6" w:rsidRPr="00FF6E12" w:rsidRDefault="00676BA6"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6</w:t>
      </w:r>
      <w:r w:rsidRPr="00FF6E12">
        <w:t>.</w:t>
      </w:r>
    </w:p>
  </w:footnote>
  <w:footnote w:id="707">
    <w:p w14:paraId="415A2425" w14:textId="529EDE5D" w:rsidR="00737F1E" w:rsidRPr="00FF6E12" w:rsidRDefault="00737F1E" w:rsidP="00A920EC">
      <w:pPr>
        <w:pStyle w:val="FootnoteText"/>
      </w:pPr>
      <w:r w:rsidRPr="00FF6E12">
        <w:rPr>
          <w:rStyle w:val="FootnoteReference"/>
        </w:rPr>
        <w:footnoteRef/>
      </w:r>
      <w:r w:rsidRPr="00FF6E12">
        <w:t xml:space="preserve"> </w:t>
      </w:r>
      <w:r w:rsidR="002A786C" w:rsidRPr="00FF6E12">
        <w:t>Participant</w:t>
      </w:r>
      <w:r w:rsidR="004434D2" w:rsidRPr="00FF6E12">
        <w:t xml:space="preserve"> 3</w:t>
      </w:r>
      <w:r w:rsidRPr="00FF6E12">
        <w:t>.</w:t>
      </w:r>
    </w:p>
  </w:footnote>
  <w:footnote w:id="708">
    <w:p w14:paraId="5EB183FD" w14:textId="3C2972D4" w:rsidR="00737F1E" w:rsidRPr="00FF6E12" w:rsidRDefault="00737F1E">
      <w:pPr>
        <w:pStyle w:val="FootnoteText"/>
      </w:pPr>
      <w:r w:rsidRPr="00FF6E12">
        <w:rPr>
          <w:rStyle w:val="FootnoteReference"/>
        </w:rPr>
        <w:footnoteRef/>
      </w:r>
      <w:r w:rsidRPr="00FF6E12">
        <w:t xml:space="preserve"> </w:t>
      </w:r>
      <w:r w:rsidR="002A786C" w:rsidRPr="00FF6E12">
        <w:t>Participant</w:t>
      </w:r>
      <w:r w:rsidR="00141AFF" w:rsidRPr="00FF6E12">
        <w:t xml:space="preserve"> 16</w:t>
      </w:r>
    </w:p>
  </w:footnote>
  <w:footnote w:id="709">
    <w:p w14:paraId="3EA6871B" w14:textId="7A77EEAA" w:rsidR="00D80D05" w:rsidRPr="00FF6E12" w:rsidRDefault="00D80D05">
      <w:pPr>
        <w:pStyle w:val="FootnoteText"/>
      </w:pPr>
      <w:r w:rsidRPr="00FF6E12">
        <w:rPr>
          <w:rStyle w:val="FootnoteReference"/>
        </w:rPr>
        <w:footnoteRef/>
      </w:r>
      <w:r w:rsidRPr="00FF6E12">
        <w:t xml:space="preserve"> </w:t>
      </w:r>
      <w:r w:rsidR="002A786C" w:rsidRPr="00FF6E12">
        <w:t>Participant</w:t>
      </w:r>
      <w:r w:rsidR="00141AFF" w:rsidRPr="00FF6E12">
        <w:t xml:space="preserve"> 21</w:t>
      </w:r>
      <w:r w:rsidRPr="00FF6E12">
        <w:t>.</w:t>
      </w:r>
    </w:p>
  </w:footnote>
  <w:footnote w:id="710">
    <w:p w14:paraId="39FDF54A" w14:textId="6FAEA864" w:rsidR="00147E3E" w:rsidRPr="00FF6E12" w:rsidRDefault="00147E3E">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Pr="00FF6E12">
        <w:t>.</w:t>
      </w:r>
    </w:p>
  </w:footnote>
  <w:footnote w:id="711">
    <w:p w14:paraId="21A253C4" w14:textId="15ACC96E" w:rsidR="00D80D05" w:rsidRPr="00FF6E12" w:rsidRDefault="00D80D05">
      <w:pPr>
        <w:pStyle w:val="FootnoteText"/>
      </w:pPr>
      <w:r w:rsidRPr="00FF6E12">
        <w:rPr>
          <w:rStyle w:val="FootnoteReference"/>
        </w:rPr>
        <w:footnoteRef/>
      </w:r>
      <w:r w:rsidRPr="00FF6E12">
        <w:t xml:space="preserve"> </w:t>
      </w:r>
      <w:r w:rsidR="002A786C" w:rsidRPr="00FF6E12">
        <w:t>Participant</w:t>
      </w:r>
      <w:r w:rsidR="00141AFF" w:rsidRPr="00FF6E12">
        <w:t xml:space="preserve"> 24</w:t>
      </w:r>
      <w:r w:rsidRPr="00FF6E12">
        <w:t>.</w:t>
      </w:r>
    </w:p>
  </w:footnote>
  <w:footnote w:id="712">
    <w:p w14:paraId="40364688" w14:textId="56C61297" w:rsidR="00D80D05" w:rsidRPr="00FF6E12" w:rsidRDefault="00D80D05">
      <w:pPr>
        <w:pStyle w:val="FootnoteText"/>
      </w:pPr>
      <w:r w:rsidRPr="00FF6E12">
        <w:rPr>
          <w:rStyle w:val="FootnoteReference"/>
        </w:rPr>
        <w:footnoteRef/>
      </w:r>
      <w:r w:rsidRPr="00FF6E12">
        <w:t xml:space="preserve"> </w:t>
      </w:r>
      <w:r w:rsidR="002A786C" w:rsidRPr="00FF6E12">
        <w:t>Participant</w:t>
      </w:r>
      <w:r w:rsidR="00141AFF" w:rsidRPr="00FF6E12">
        <w:t xml:space="preserve"> 25</w:t>
      </w:r>
      <w:r w:rsidRPr="00FF6E12">
        <w:t>.</w:t>
      </w:r>
    </w:p>
  </w:footnote>
  <w:footnote w:id="713">
    <w:p w14:paraId="13F40E2E" w14:textId="072E443E" w:rsidR="00A54609" w:rsidRPr="00FF6E12" w:rsidRDefault="00A54609">
      <w:pPr>
        <w:pStyle w:val="FootnoteText"/>
      </w:pPr>
      <w:r w:rsidRPr="00FF6E12">
        <w:rPr>
          <w:rStyle w:val="FootnoteReference"/>
        </w:rPr>
        <w:footnoteRef/>
      </w:r>
      <w:r w:rsidRPr="00FF6E12">
        <w:t xml:space="preserve"> </w:t>
      </w:r>
      <w:r w:rsidR="002A786C" w:rsidRPr="00FF6E12">
        <w:t>Participant</w:t>
      </w:r>
      <w:r w:rsidR="00141AFF" w:rsidRPr="00FF6E12">
        <w:t xml:space="preserve"> 9</w:t>
      </w:r>
      <w:r w:rsidRPr="00FF6E12">
        <w:t>.</w:t>
      </w:r>
    </w:p>
  </w:footnote>
  <w:footnote w:id="714">
    <w:p w14:paraId="14D0A7AC" w14:textId="010F68DB" w:rsidR="00A54609" w:rsidRPr="00FF6E12" w:rsidRDefault="00A54609">
      <w:pPr>
        <w:pStyle w:val="FootnoteText"/>
      </w:pPr>
      <w:r w:rsidRPr="00FF6E12">
        <w:rPr>
          <w:rStyle w:val="FootnoteReference"/>
        </w:rPr>
        <w:footnoteRef/>
      </w:r>
      <w:r w:rsidRPr="00FF6E12">
        <w:t xml:space="preserve"> </w:t>
      </w:r>
      <w:r w:rsidR="002A786C" w:rsidRPr="00FF6E12">
        <w:t>Participant</w:t>
      </w:r>
      <w:r w:rsidR="00141AFF" w:rsidRPr="00FF6E12">
        <w:t xml:space="preserve"> 15</w:t>
      </w:r>
      <w:r w:rsidR="00B848C6" w:rsidRPr="00FF6E12">
        <w:t>.</w:t>
      </w:r>
    </w:p>
  </w:footnote>
  <w:footnote w:id="715">
    <w:p w14:paraId="23BD245D" w14:textId="0B9227D9" w:rsidR="00A54609" w:rsidRPr="00FF6E12" w:rsidRDefault="00A54609">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00B848C6" w:rsidRPr="00FF6E12">
        <w:t>.</w:t>
      </w:r>
    </w:p>
  </w:footnote>
  <w:footnote w:id="716">
    <w:p w14:paraId="641366AC" w14:textId="473655CD" w:rsidR="00EF459B" w:rsidRPr="00FF6E12" w:rsidRDefault="00EF459B">
      <w:pPr>
        <w:pStyle w:val="FootnoteText"/>
      </w:pPr>
      <w:r w:rsidRPr="00FF6E12">
        <w:rPr>
          <w:rStyle w:val="FootnoteReference"/>
        </w:rPr>
        <w:footnoteRef/>
      </w:r>
      <w:r w:rsidRPr="00FF6E12">
        <w:t xml:space="preserve"> </w:t>
      </w:r>
      <w:r w:rsidR="002A786C" w:rsidRPr="00FF6E12">
        <w:t>Participant</w:t>
      </w:r>
      <w:r w:rsidR="00141AFF" w:rsidRPr="00FF6E12">
        <w:t xml:space="preserve"> 17</w:t>
      </w:r>
      <w:r w:rsidR="00B848C6" w:rsidRPr="00FF6E12">
        <w:t>.</w:t>
      </w:r>
    </w:p>
  </w:footnote>
  <w:footnote w:id="717">
    <w:p w14:paraId="1541A268" w14:textId="0A8674D1" w:rsidR="00E801B7" w:rsidRPr="00FF6E12" w:rsidRDefault="00E801B7">
      <w:pPr>
        <w:pStyle w:val="FootnoteText"/>
      </w:pPr>
      <w:r w:rsidRPr="00FF6E12">
        <w:rPr>
          <w:rStyle w:val="FootnoteReference"/>
        </w:rPr>
        <w:footnoteRef/>
      </w:r>
      <w:r w:rsidRPr="00FF6E12">
        <w:t xml:space="preserve"> </w:t>
      </w:r>
      <w:r w:rsidR="002A786C" w:rsidRPr="00FF6E12">
        <w:t>Participant</w:t>
      </w:r>
      <w:r w:rsidR="00141AFF" w:rsidRPr="00FF6E12">
        <w:t xml:space="preserve"> 13</w:t>
      </w:r>
      <w:r w:rsidR="00B848C6" w:rsidRPr="00FF6E12">
        <w:t>.</w:t>
      </w:r>
    </w:p>
  </w:footnote>
  <w:footnote w:id="718">
    <w:p w14:paraId="5D4DF038" w14:textId="24F876D0" w:rsidR="0097522F" w:rsidRPr="00FF6E12" w:rsidRDefault="0097522F">
      <w:pPr>
        <w:pStyle w:val="FootnoteText"/>
      </w:pPr>
      <w:r w:rsidRPr="00FF6E12">
        <w:rPr>
          <w:rStyle w:val="FootnoteReference"/>
        </w:rPr>
        <w:footnoteRef/>
      </w:r>
      <w:r w:rsidRPr="00FF6E12">
        <w:t xml:space="preserve"> </w:t>
      </w:r>
      <w:r w:rsidR="002A786C" w:rsidRPr="00FF6E12">
        <w:t>Participant</w:t>
      </w:r>
      <w:r w:rsidR="00141AFF" w:rsidRPr="00FF6E12">
        <w:t xml:space="preserve"> 31</w:t>
      </w:r>
      <w:r w:rsidR="008447C0" w:rsidRPr="00FF6E12">
        <w:t>.</w:t>
      </w:r>
    </w:p>
  </w:footnote>
  <w:footnote w:id="719">
    <w:p w14:paraId="5944FC54" w14:textId="7E678D7F" w:rsidR="00EA1169" w:rsidRPr="00FF6E12" w:rsidRDefault="00EA1169">
      <w:pPr>
        <w:pStyle w:val="FootnoteText"/>
      </w:pPr>
      <w:r w:rsidRPr="00FF6E12">
        <w:rPr>
          <w:rStyle w:val="FootnoteReference"/>
        </w:rPr>
        <w:footnoteRef/>
      </w:r>
      <w:r w:rsidRPr="00FF6E12">
        <w:t xml:space="preserve"> </w:t>
      </w:r>
      <w:r w:rsidR="002A786C" w:rsidRPr="00FF6E12">
        <w:t>Participant</w:t>
      </w:r>
      <w:r w:rsidR="00141AFF" w:rsidRPr="00FF6E12">
        <w:t xml:space="preserve"> 12</w:t>
      </w:r>
      <w:r w:rsidRPr="00FF6E12">
        <w:t>.</w:t>
      </w:r>
    </w:p>
  </w:footnote>
  <w:footnote w:id="720">
    <w:p w14:paraId="19032C67" w14:textId="1E5EA0D1" w:rsidR="00E34E28" w:rsidRPr="00FF6E12" w:rsidRDefault="00E34E28">
      <w:pPr>
        <w:pStyle w:val="FootnoteText"/>
      </w:pPr>
      <w:r w:rsidRPr="00FF6E12">
        <w:rPr>
          <w:rStyle w:val="FootnoteReference"/>
        </w:rPr>
        <w:footnoteRef/>
      </w:r>
      <w:r w:rsidRPr="00FF6E12">
        <w:t xml:space="preserve"> </w:t>
      </w:r>
      <w:r w:rsidR="002A786C" w:rsidRPr="00FF6E12">
        <w:t>Participant</w:t>
      </w:r>
      <w:r w:rsidR="00141AFF" w:rsidRPr="00FF6E12">
        <w:t xml:space="preserve"> 31</w:t>
      </w:r>
      <w:r w:rsidRPr="00FF6E12">
        <w:t>.</w:t>
      </w:r>
    </w:p>
  </w:footnote>
  <w:footnote w:id="721">
    <w:p w14:paraId="0BFBCC1E" w14:textId="1AD2E919" w:rsidR="0008186D" w:rsidRPr="00FF6E12" w:rsidRDefault="0008186D">
      <w:pPr>
        <w:pStyle w:val="FootnoteText"/>
      </w:pPr>
      <w:r w:rsidRPr="00FF6E12">
        <w:rPr>
          <w:rStyle w:val="FootnoteReference"/>
        </w:rPr>
        <w:footnoteRef/>
      </w:r>
      <w:r w:rsidRPr="00FF6E12">
        <w:t xml:space="preserve"> </w:t>
      </w:r>
      <w:r w:rsidR="002A786C" w:rsidRPr="00FF6E12">
        <w:t>Participant</w:t>
      </w:r>
      <w:r w:rsidR="00141AFF" w:rsidRPr="00FF6E12">
        <w:t xml:space="preserve"> 22</w:t>
      </w:r>
      <w:r w:rsidRPr="00FF6E12">
        <w:t>.</w:t>
      </w:r>
    </w:p>
  </w:footnote>
  <w:footnote w:id="722">
    <w:p w14:paraId="4FB2542B" w14:textId="7D46BEE3" w:rsidR="00224F99" w:rsidRPr="00FF6E12" w:rsidRDefault="00224F99">
      <w:pPr>
        <w:pStyle w:val="FootnoteText"/>
      </w:pPr>
      <w:r w:rsidRPr="00FF6E12">
        <w:rPr>
          <w:rStyle w:val="FootnoteReference"/>
        </w:rPr>
        <w:footnoteRef/>
      </w:r>
      <w:r w:rsidRPr="00FF6E12">
        <w:t xml:space="preserve"> </w:t>
      </w:r>
      <w:r w:rsidR="002A786C" w:rsidRPr="00FF6E12">
        <w:t>Participant</w:t>
      </w:r>
      <w:r w:rsidR="00141AFF" w:rsidRPr="00FF6E12">
        <w:t xml:space="preserve"> 24</w:t>
      </w:r>
      <w:r w:rsidRPr="00FF6E12">
        <w:t>.</w:t>
      </w:r>
    </w:p>
  </w:footnote>
  <w:footnote w:id="723">
    <w:p w14:paraId="219382E8" w14:textId="4BF512B4" w:rsidR="005E3AE9" w:rsidRPr="00FF6E12" w:rsidRDefault="005E3AE9">
      <w:pPr>
        <w:pStyle w:val="FootnoteText"/>
      </w:pPr>
      <w:r w:rsidRPr="00FF6E12">
        <w:rPr>
          <w:rStyle w:val="FootnoteReference"/>
        </w:rPr>
        <w:footnoteRef/>
      </w:r>
      <w:r w:rsidRPr="00FF6E12">
        <w:t xml:space="preserve"> </w:t>
      </w:r>
      <w:r w:rsidR="002A786C" w:rsidRPr="00FF6E12">
        <w:t>Participant</w:t>
      </w:r>
      <w:r w:rsidR="00141AFF" w:rsidRPr="00FF6E12">
        <w:t xml:space="preserve"> 25</w:t>
      </w:r>
      <w:r w:rsidRPr="00FF6E12">
        <w:t>.</w:t>
      </w:r>
    </w:p>
  </w:footnote>
  <w:footnote w:id="724">
    <w:p w14:paraId="1AE0AACA" w14:textId="5FA3287A" w:rsidR="005E3AE9" w:rsidRPr="00FF6E12" w:rsidRDefault="005E3AE9">
      <w:pPr>
        <w:pStyle w:val="FootnoteText"/>
      </w:pPr>
      <w:r w:rsidRPr="00FF6E12">
        <w:rPr>
          <w:rStyle w:val="FootnoteReference"/>
        </w:rPr>
        <w:footnoteRef/>
      </w:r>
      <w:r w:rsidRPr="00FF6E12">
        <w:t xml:space="preserve"> </w:t>
      </w:r>
      <w:r w:rsidR="002A786C" w:rsidRPr="00FF6E12">
        <w:t>Participant</w:t>
      </w:r>
      <w:r w:rsidR="00141AFF" w:rsidRPr="00FF6E12">
        <w:t xml:space="preserve"> 21</w:t>
      </w:r>
      <w:r w:rsidRPr="00FF6E12">
        <w:t>.</w:t>
      </w:r>
    </w:p>
  </w:footnote>
  <w:footnote w:id="725">
    <w:p w14:paraId="3D398F08" w14:textId="32CB7D9C" w:rsidR="001F101D" w:rsidRPr="00FF6E12" w:rsidRDefault="001F101D">
      <w:pPr>
        <w:pStyle w:val="FootnoteText"/>
      </w:pPr>
      <w:r w:rsidRPr="00FF6E12">
        <w:rPr>
          <w:rStyle w:val="FootnoteReference"/>
        </w:rPr>
        <w:footnoteRef/>
      </w:r>
      <w:r w:rsidRPr="00FF6E12">
        <w:t xml:space="preserve"> </w:t>
      </w:r>
      <w:r w:rsidR="00A214D5" w:rsidRPr="00FF6E12">
        <w:t xml:space="preserve">Tasmanian Commission of Inquiry (n </w:t>
      </w:r>
      <w:r w:rsidR="00A214D5" w:rsidRPr="00FF6E12">
        <w:fldChar w:fldCharType="begin"/>
      </w:r>
      <w:r w:rsidR="00A214D5" w:rsidRPr="00FF6E12">
        <w:instrText xml:space="preserve"> NOTEREF _Ref217902008 \h </w:instrText>
      </w:r>
      <w:r w:rsidR="00A214D5" w:rsidRPr="00FF6E12">
        <w:fldChar w:fldCharType="separate"/>
      </w:r>
      <w:r w:rsidR="007D7830">
        <w:t>9</w:t>
      </w:r>
      <w:r w:rsidR="00A214D5" w:rsidRPr="00FF6E12">
        <w:fldChar w:fldCharType="end"/>
      </w:r>
      <w:r w:rsidR="00A214D5" w:rsidRPr="00FF6E12">
        <w:t>) vol</w:t>
      </w:r>
      <w:r w:rsidRPr="00FF6E12">
        <w:t xml:space="preserve"> 5 </w:t>
      </w:r>
      <w:r w:rsidR="00A214D5" w:rsidRPr="00FF6E12">
        <w:t xml:space="preserve">ch </w:t>
      </w:r>
      <w:r w:rsidRPr="00FF6E12">
        <w:t>12 [5.3.4].</w:t>
      </w:r>
      <w:r w:rsidR="005417B1" w:rsidRPr="00FF6E12">
        <w:t xml:space="preserve"> See recommendations set out in Appendix </w:t>
      </w:r>
      <w:r w:rsidR="008E4D50" w:rsidRPr="00FF6E12">
        <w:t>K</w:t>
      </w:r>
      <w:r w:rsidR="008E4010" w:rsidRPr="00FF6E12">
        <w:t xml:space="preserve"> and </w:t>
      </w:r>
      <w:r w:rsidR="008E4D50" w:rsidRPr="00FF6E12">
        <w:t>Appendix L</w:t>
      </w:r>
      <w:r w:rsidR="005417B1" w:rsidRPr="00FF6E12">
        <w:t>.</w:t>
      </w:r>
    </w:p>
  </w:footnote>
  <w:footnote w:id="726">
    <w:p w14:paraId="0B7A60AF" w14:textId="63759BA9" w:rsidR="00381448" w:rsidRPr="00FF6E12" w:rsidRDefault="00381448">
      <w:pPr>
        <w:pStyle w:val="FootnoteText"/>
      </w:pPr>
      <w:r w:rsidRPr="00FF6E12">
        <w:rPr>
          <w:rStyle w:val="FootnoteReference"/>
        </w:rPr>
        <w:footnoteRef/>
      </w:r>
      <w:r w:rsidRPr="00FF6E12">
        <w:t xml:space="preserve"> </w:t>
      </w:r>
      <w:r w:rsidR="00A214D5" w:rsidRPr="00FF6E12">
        <w:t>Ibid</w:t>
      </w:r>
      <w:r w:rsidR="00786258" w:rsidRPr="00FF6E12">
        <w:t xml:space="preserve"> </w:t>
      </w:r>
      <w:r w:rsidRPr="00FF6E12">
        <w:t>Recommendation 12.13.1(c)</w:t>
      </w:r>
      <w:r w:rsidR="00A07C0F" w:rsidRPr="00FF6E12">
        <w:t>.</w:t>
      </w:r>
    </w:p>
  </w:footnote>
  <w:footnote w:id="727">
    <w:p w14:paraId="6203B192" w14:textId="6AE2C238" w:rsidR="008C48DF" w:rsidRPr="00FF6E12" w:rsidRDefault="008C48DF">
      <w:pPr>
        <w:pStyle w:val="FootnoteText"/>
      </w:pPr>
      <w:r w:rsidRPr="00FF6E12">
        <w:rPr>
          <w:rStyle w:val="FootnoteReference"/>
        </w:rPr>
        <w:footnoteRef/>
      </w:r>
      <w:r w:rsidRPr="00FF6E12">
        <w:t xml:space="preserve"> </w:t>
      </w:r>
      <w:r w:rsidR="00A214D5" w:rsidRPr="00FF6E12">
        <w:t>Ibid</w:t>
      </w:r>
      <w:r w:rsidR="008E4BCA" w:rsidRPr="00FF6E12">
        <w:t xml:space="preserve"> </w:t>
      </w:r>
      <w:r w:rsidRPr="00FF6E12">
        <w:t>[5.3.7].</w:t>
      </w:r>
    </w:p>
  </w:footnote>
  <w:footnote w:id="728">
    <w:p w14:paraId="0E7B2773" w14:textId="637F76C7" w:rsidR="00776D18" w:rsidRPr="00FF6E12" w:rsidRDefault="00776D18">
      <w:pPr>
        <w:pStyle w:val="FootnoteText"/>
      </w:pPr>
      <w:r w:rsidRPr="00FF6E12">
        <w:rPr>
          <w:rStyle w:val="FootnoteReference"/>
        </w:rPr>
        <w:footnoteRef/>
      </w:r>
      <w:r w:rsidRPr="00FF6E12">
        <w:t xml:space="preserve"> </w:t>
      </w:r>
      <w:r w:rsidR="001332C7" w:rsidRPr="00FF6E12">
        <w:t>Ibid,</w:t>
      </w:r>
      <w:r w:rsidR="008E4BCA" w:rsidRPr="00FF6E12">
        <w:t xml:space="preserve"> q</w:t>
      </w:r>
      <w:r w:rsidR="00901B52" w:rsidRPr="00FF6E12">
        <w:t xml:space="preserve">uoted at </w:t>
      </w:r>
      <w:r w:rsidR="008E4BCA" w:rsidRPr="00FF6E12">
        <w:t>[</w:t>
      </w:r>
      <w:r w:rsidR="00901B52" w:rsidRPr="00FF6E12">
        <w:t>5.3.7</w:t>
      </w:r>
      <w:r w:rsidR="008E4BCA" w:rsidRPr="00FF6E12">
        <w:t>].</w:t>
      </w:r>
    </w:p>
  </w:footnote>
  <w:footnote w:id="729">
    <w:p w14:paraId="4C409470" w14:textId="35EE0111" w:rsidR="00DF4CA5" w:rsidRPr="00FF6E12" w:rsidRDefault="00DF4CA5">
      <w:pPr>
        <w:pStyle w:val="FootnoteText"/>
      </w:pPr>
      <w:r w:rsidRPr="00FF6E12">
        <w:rPr>
          <w:rStyle w:val="FootnoteReference"/>
        </w:rPr>
        <w:footnoteRef/>
      </w:r>
      <w:r w:rsidRPr="00FF6E12">
        <w:t xml:space="preserve"> </w:t>
      </w:r>
      <w:r w:rsidR="00E32296" w:rsidRPr="00FF6E12">
        <w:t xml:space="preserve">YJRT </w:t>
      </w:r>
      <w:r w:rsidR="00E32296" w:rsidRPr="00FF6E12">
        <w:rPr>
          <w:i/>
          <w:iCs/>
        </w:rPr>
        <w:t>Implementation Plan 2025–27</w:t>
      </w:r>
      <w:r w:rsidR="00E32296" w:rsidRPr="00FF6E12">
        <w:t xml:space="preserve"> (n </w:t>
      </w:r>
      <w:r w:rsidR="00E32296" w:rsidRPr="00FF6E12">
        <w:fldChar w:fldCharType="begin"/>
      </w:r>
      <w:r w:rsidR="00E32296" w:rsidRPr="00FF6E12">
        <w:instrText xml:space="preserve"> NOTEREF _Ref217903737 \h </w:instrText>
      </w:r>
      <w:r w:rsidR="00E32296" w:rsidRPr="00FF6E12">
        <w:fldChar w:fldCharType="separate"/>
      </w:r>
      <w:r w:rsidR="007D7830">
        <w:t>37</w:t>
      </w:r>
      <w:r w:rsidR="00E32296" w:rsidRPr="00FF6E12">
        <w:fldChar w:fldCharType="end"/>
      </w:r>
      <w:r w:rsidR="00E32296" w:rsidRPr="00FF6E12">
        <w:t>).</w:t>
      </w:r>
      <w:r w:rsidR="000B4D85" w:rsidRPr="00FF6E12">
        <w:t xml:space="preserve"> See Tasmania</w:t>
      </w:r>
      <w:r w:rsidR="00E32296" w:rsidRPr="00FF6E12">
        <w:t>n</w:t>
      </w:r>
      <w:r w:rsidR="000B4D85" w:rsidRPr="00FF6E12">
        <w:t xml:space="preserve"> Government</w:t>
      </w:r>
      <w:r w:rsidR="00E32296" w:rsidRPr="00FF6E12">
        <w:t xml:space="preserve"> (n </w:t>
      </w:r>
      <w:r w:rsidR="00E32296" w:rsidRPr="00FF6E12">
        <w:fldChar w:fldCharType="begin"/>
      </w:r>
      <w:r w:rsidR="00E32296" w:rsidRPr="00FF6E12">
        <w:instrText xml:space="preserve"> NOTEREF _Ref217905183 \h </w:instrText>
      </w:r>
      <w:r w:rsidR="00E32296" w:rsidRPr="00FF6E12">
        <w:fldChar w:fldCharType="separate"/>
      </w:r>
      <w:r w:rsidR="007D7830">
        <w:t>11</w:t>
      </w:r>
      <w:r w:rsidR="00E32296" w:rsidRPr="00FF6E12">
        <w:fldChar w:fldCharType="end"/>
      </w:r>
      <w:r w:rsidR="00E32296" w:rsidRPr="00FF6E12">
        <w:t>)</w:t>
      </w:r>
      <w:r w:rsidR="000B4D85" w:rsidRPr="00FF6E12">
        <w:t>.</w:t>
      </w:r>
    </w:p>
  </w:footnote>
  <w:footnote w:id="730">
    <w:p w14:paraId="4A12C5AF" w14:textId="59834CE7" w:rsidR="00B45B65" w:rsidRPr="00FF6E12" w:rsidRDefault="00B45B65">
      <w:pPr>
        <w:pStyle w:val="FootnoteText"/>
      </w:pPr>
      <w:r w:rsidRPr="00FF6E12">
        <w:rPr>
          <w:rStyle w:val="FootnoteReference"/>
        </w:rPr>
        <w:footnoteRef/>
      </w:r>
      <w:r w:rsidRPr="00FF6E12">
        <w:t xml:space="preserve"> </w:t>
      </w:r>
      <w:r w:rsidR="00E32296" w:rsidRPr="00FF6E12">
        <w:t xml:space="preserve">YJRT </w:t>
      </w:r>
      <w:r w:rsidR="00E32296" w:rsidRPr="00FF6E12">
        <w:rPr>
          <w:i/>
          <w:iCs/>
        </w:rPr>
        <w:t>Implementation Plan 2025–27</w:t>
      </w:r>
      <w:r w:rsidR="00E32296" w:rsidRPr="00FF6E12">
        <w:t xml:space="preserve"> (n </w:t>
      </w:r>
      <w:r w:rsidR="00E32296" w:rsidRPr="00FF6E12">
        <w:fldChar w:fldCharType="begin"/>
      </w:r>
      <w:r w:rsidR="00E32296" w:rsidRPr="00FF6E12">
        <w:instrText xml:space="preserve"> NOTEREF _Ref217903737 \h </w:instrText>
      </w:r>
      <w:r w:rsidR="00E32296" w:rsidRPr="00FF6E12">
        <w:fldChar w:fldCharType="separate"/>
      </w:r>
      <w:r w:rsidR="007D7830">
        <w:t>37</w:t>
      </w:r>
      <w:r w:rsidR="00E32296" w:rsidRPr="00FF6E12">
        <w:fldChar w:fldCharType="end"/>
      </w:r>
      <w:r w:rsidR="00E32296" w:rsidRPr="00FF6E12">
        <w:t>)</w:t>
      </w:r>
      <w:r w:rsidR="00541C09" w:rsidRPr="00FF6E12">
        <w:t>;</w:t>
      </w:r>
      <w:r w:rsidR="00E32296" w:rsidRPr="00FF6E12">
        <w:t xml:space="preserve"> YJRT </w:t>
      </w:r>
      <w:r w:rsidR="00E32296" w:rsidRPr="00FF6E12">
        <w:rPr>
          <w:i/>
          <w:iCs/>
        </w:rPr>
        <w:t>Action Plan Report 2024–25</w:t>
      </w:r>
      <w:r w:rsidR="00E32296" w:rsidRPr="00FF6E12">
        <w:t xml:space="preserve"> (n </w:t>
      </w:r>
      <w:r w:rsidR="00E32296" w:rsidRPr="00FF6E12">
        <w:fldChar w:fldCharType="begin"/>
      </w:r>
      <w:r w:rsidR="00E32296" w:rsidRPr="00FF6E12">
        <w:instrText xml:space="preserve"> NOTEREF _Ref217905264 \h </w:instrText>
      </w:r>
      <w:r w:rsidR="00E32296" w:rsidRPr="00FF6E12">
        <w:fldChar w:fldCharType="separate"/>
      </w:r>
      <w:r w:rsidR="007D7830">
        <w:t>38</w:t>
      </w:r>
      <w:r w:rsidR="00E32296" w:rsidRPr="00FF6E12">
        <w:fldChar w:fldCharType="end"/>
      </w:r>
      <w:r w:rsidR="00E32296" w:rsidRPr="00FF6E12">
        <w:t xml:space="preserve">) </w:t>
      </w:r>
      <w:r w:rsidR="00BE0F65" w:rsidRPr="00FF6E12">
        <w:t>6</w:t>
      </w:r>
      <w:r w:rsidR="00541C09" w:rsidRPr="00FF6E12">
        <w:t>;</w:t>
      </w:r>
      <w:r w:rsidR="0008184E" w:rsidRPr="00FF6E12">
        <w:t xml:space="preserve"> </w:t>
      </w:r>
      <w:r w:rsidR="00E32296" w:rsidRPr="00FF6E12">
        <w:t xml:space="preserve">Tasmanian Government (n </w:t>
      </w:r>
      <w:r w:rsidR="00E32296" w:rsidRPr="00FF6E12">
        <w:fldChar w:fldCharType="begin"/>
      </w:r>
      <w:r w:rsidR="00E32296" w:rsidRPr="00FF6E12">
        <w:instrText xml:space="preserve"> NOTEREF _Ref217905183 \h </w:instrText>
      </w:r>
      <w:r w:rsidR="00E32296" w:rsidRPr="00FF6E12">
        <w:fldChar w:fldCharType="separate"/>
      </w:r>
      <w:r w:rsidR="007D7830">
        <w:t>11</w:t>
      </w:r>
      <w:r w:rsidR="00E32296" w:rsidRPr="00FF6E12">
        <w:fldChar w:fldCharType="end"/>
      </w:r>
      <w:r w:rsidR="00E32296" w:rsidRPr="00FF6E12">
        <w:t>).</w:t>
      </w:r>
    </w:p>
  </w:footnote>
  <w:footnote w:id="731">
    <w:p w14:paraId="50E8D56B" w14:textId="76BFB78B" w:rsidR="000A2463" w:rsidRPr="00FF6E12" w:rsidRDefault="000A2463">
      <w:pPr>
        <w:pStyle w:val="FootnoteText"/>
      </w:pPr>
      <w:r w:rsidRPr="00FF6E12">
        <w:rPr>
          <w:rStyle w:val="FootnoteReference"/>
        </w:rPr>
        <w:footnoteRef/>
      </w:r>
      <w:r w:rsidRPr="00FF6E12">
        <w:t xml:space="preserve"> </w:t>
      </w:r>
      <w:r w:rsidR="00E32296" w:rsidRPr="00FF6E12">
        <w:t xml:space="preserve">YJRT </w:t>
      </w:r>
      <w:r w:rsidR="00E32296" w:rsidRPr="00FF6E12">
        <w:rPr>
          <w:i/>
          <w:iCs/>
        </w:rPr>
        <w:t>Implementation Plan 2025–27</w:t>
      </w:r>
      <w:r w:rsidR="00E32296" w:rsidRPr="00FF6E12">
        <w:t xml:space="preserve"> (n </w:t>
      </w:r>
      <w:r w:rsidR="00E32296" w:rsidRPr="00FF6E12">
        <w:fldChar w:fldCharType="begin"/>
      </w:r>
      <w:r w:rsidR="00E32296" w:rsidRPr="00FF6E12">
        <w:instrText xml:space="preserve"> NOTEREF _Ref217903737 \h </w:instrText>
      </w:r>
      <w:r w:rsidR="00E32296" w:rsidRPr="00FF6E12">
        <w:fldChar w:fldCharType="separate"/>
      </w:r>
      <w:r w:rsidR="007D7830">
        <w:t>37</w:t>
      </w:r>
      <w:r w:rsidR="00E32296" w:rsidRPr="00FF6E12">
        <w:fldChar w:fldCharType="end"/>
      </w:r>
      <w:r w:rsidR="00E32296" w:rsidRPr="00FF6E12">
        <w:t xml:space="preserve">) </w:t>
      </w:r>
      <w:r w:rsidR="00AC153B" w:rsidRPr="00FF6E12">
        <w:t>10</w:t>
      </w:r>
    </w:p>
  </w:footnote>
  <w:footnote w:id="732">
    <w:p w14:paraId="5E85972B" w14:textId="2AEB2EA4" w:rsidR="00D86046" w:rsidRPr="00FF6E12" w:rsidRDefault="00D86046">
      <w:pPr>
        <w:pStyle w:val="FootnoteText"/>
      </w:pPr>
      <w:r w:rsidRPr="00FF6E12">
        <w:rPr>
          <w:rStyle w:val="FootnoteReference"/>
        </w:rPr>
        <w:footnoteRef/>
      </w:r>
      <w:r w:rsidRPr="00FF6E12">
        <w:t xml:space="preserve"> </w:t>
      </w:r>
      <w:r w:rsidR="00E32296" w:rsidRPr="00FF6E12">
        <w:t xml:space="preserve">YJRT </w:t>
      </w:r>
      <w:r w:rsidR="00E32296" w:rsidRPr="00FF6E12">
        <w:rPr>
          <w:i/>
          <w:iCs/>
        </w:rPr>
        <w:t>Framework</w:t>
      </w:r>
      <w:r w:rsidR="00E32296" w:rsidRPr="00FF6E12">
        <w:t xml:space="preserve"> (n </w:t>
      </w:r>
      <w:r w:rsidR="00E32296" w:rsidRPr="00FF6E12">
        <w:fldChar w:fldCharType="begin"/>
      </w:r>
      <w:r w:rsidR="00E32296" w:rsidRPr="00FF6E12">
        <w:instrText xml:space="preserve"> NOTEREF _Ref217903737 \h </w:instrText>
      </w:r>
      <w:r w:rsidR="00E32296" w:rsidRPr="00FF6E12">
        <w:fldChar w:fldCharType="separate"/>
      </w:r>
      <w:r w:rsidR="007D7830">
        <w:t>37</w:t>
      </w:r>
      <w:r w:rsidR="00E32296" w:rsidRPr="00FF6E12">
        <w:fldChar w:fldCharType="end"/>
      </w:r>
      <w:r w:rsidR="00E32296" w:rsidRPr="00FF6E12">
        <w:t>).</w:t>
      </w:r>
      <w:r w:rsidR="00492330" w:rsidRPr="00FF6E12">
        <w:t xml:space="preserve"> See </w:t>
      </w:r>
      <w:r w:rsidR="00E32296" w:rsidRPr="00FF6E12">
        <w:t xml:space="preserve">YJRT </w:t>
      </w:r>
      <w:r w:rsidR="00E32296" w:rsidRPr="00FF6E12">
        <w:rPr>
          <w:i/>
          <w:iCs/>
        </w:rPr>
        <w:t>Model of Care</w:t>
      </w:r>
      <w:r w:rsidR="00E32296" w:rsidRPr="00FF6E12">
        <w:t xml:space="preserve"> (n </w:t>
      </w:r>
      <w:r w:rsidR="00E32296" w:rsidRPr="00FF6E12">
        <w:fldChar w:fldCharType="begin"/>
      </w:r>
      <w:r w:rsidR="00E32296" w:rsidRPr="00FF6E12">
        <w:instrText xml:space="preserve"> NOTEREF _Ref217905264 \h </w:instrText>
      </w:r>
      <w:r w:rsidR="00E32296" w:rsidRPr="00FF6E12">
        <w:fldChar w:fldCharType="separate"/>
      </w:r>
      <w:r w:rsidR="007D7830">
        <w:t>38</w:t>
      </w:r>
      <w:r w:rsidR="00E32296" w:rsidRPr="00FF6E12">
        <w:fldChar w:fldCharType="end"/>
      </w:r>
      <w:r w:rsidR="00E32296" w:rsidRPr="00FF6E12">
        <w:t>)</w:t>
      </w:r>
      <w:r w:rsidR="00492330" w:rsidRPr="00FF6E12">
        <w:t>.</w:t>
      </w:r>
      <w:r w:rsidR="0008184E" w:rsidRPr="00FF6E12">
        <w:t xml:space="preserve"> See </w:t>
      </w:r>
      <w:r w:rsidR="00E32296" w:rsidRPr="00FF6E12">
        <w:t xml:space="preserve">Tasmanian Government (n </w:t>
      </w:r>
      <w:r w:rsidR="00E32296" w:rsidRPr="00FF6E12">
        <w:fldChar w:fldCharType="begin"/>
      </w:r>
      <w:r w:rsidR="00E32296" w:rsidRPr="00FF6E12">
        <w:instrText xml:space="preserve"> NOTEREF _Ref217905183 \h </w:instrText>
      </w:r>
      <w:r w:rsidR="00E32296" w:rsidRPr="00FF6E12">
        <w:fldChar w:fldCharType="separate"/>
      </w:r>
      <w:r w:rsidR="007D7830">
        <w:t>11</w:t>
      </w:r>
      <w:r w:rsidR="00E32296" w:rsidRPr="00FF6E12">
        <w:fldChar w:fldCharType="end"/>
      </w:r>
      <w:r w:rsidR="00E32296" w:rsidRPr="00FF6E12">
        <w:t>).</w:t>
      </w:r>
    </w:p>
  </w:footnote>
  <w:footnote w:id="733">
    <w:p w14:paraId="4605355F" w14:textId="27CEDC18" w:rsidR="00D86046" w:rsidRPr="00FF6E12" w:rsidRDefault="00D86046">
      <w:pPr>
        <w:pStyle w:val="FootnoteText"/>
      </w:pPr>
      <w:r w:rsidRPr="00FF6E12">
        <w:rPr>
          <w:rStyle w:val="FootnoteReference"/>
        </w:rPr>
        <w:footnoteRef/>
      </w:r>
      <w:r w:rsidRPr="00FF6E12">
        <w:t xml:space="preserve"> </w:t>
      </w:r>
      <w:r w:rsidR="00E32296" w:rsidRPr="00FF6E12">
        <w:t xml:space="preserve">YJRT </w:t>
      </w:r>
      <w:r w:rsidR="00E32296" w:rsidRPr="00FF6E12">
        <w:rPr>
          <w:i/>
          <w:iCs/>
        </w:rPr>
        <w:t>Framework</w:t>
      </w:r>
      <w:r w:rsidR="00E32296" w:rsidRPr="00FF6E12">
        <w:t xml:space="preserve"> (n </w:t>
      </w:r>
      <w:r w:rsidR="00E32296" w:rsidRPr="00FF6E12">
        <w:fldChar w:fldCharType="begin"/>
      </w:r>
      <w:r w:rsidR="00E32296" w:rsidRPr="00FF6E12">
        <w:instrText xml:space="preserve"> NOTEREF _Ref217903737 \h </w:instrText>
      </w:r>
      <w:r w:rsidR="00E32296" w:rsidRPr="00FF6E12">
        <w:fldChar w:fldCharType="separate"/>
      </w:r>
      <w:r w:rsidR="007D7830">
        <w:t>37</w:t>
      </w:r>
      <w:r w:rsidR="00E32296" w:rsidRPr="00FF6E12">
        <w:fldChar w:fldCharType="end"/>
      </w:r>
      <w:r w:rsidR="00E32296" w:rsidRPr="00FF6E12">
        <w:t xml:space="preserve">) </w:t>
      </w:r>
      <w:r w:rsidRPr="00FF6E12">
        <w:t>6.</w:t>
      </w:r>
    </w:p>
  </w:footnote>
  <w:footnote w:id="734">
    <w:p w14:paraId="50DD54CD" w14:textId="1B80C1E7" w:rsidR="00D86046" w:rsidRPr="00FF6E12" w:rsidRDefault="00D86046" w:rsidP="00A920EC">
      <w:pPr>
        <w:pStyle w:val="FootnoteText"/>
      </w:pPr>
      <w:r w:rsidRPr="00FF6E12">
        <w:rPr>
          <w:rStyle w:val="FootnoteReference"/>
        </w:rPr>
        <w:footnoteRef/>
      </w:r>
      <w:r w:rsidRPr="00FF6E12">
        <w:t xml:space="preserve"> </w:t>
      </w:r>
      <w:r w:rsidR="006C7ADF" w:rsidRPr="00FF6E12">
        <w:t xml:space="preserve">Ibid </w:t>
      </w:r>
      <w:r w:rsidRPr="00FF6E12">
        <w:t>7.</w:t>
      </w:r>
    </w:p>
  </w:footnote>
  <w:footnote w:id="735">
    <w:p w14:paraId="560B2DC3" w14:textId="49F1E25F" w:rsidR="00D86046" w:rsidRPr="00FF6E12" w:rsidRDefault="00D86046" w:rsidP="00A920EC">
      <w:pPr>
        <w:pStyle w:val="FootnoteText"/>
      </w:pPr>
      <w:r w:rsidRPr="00FF6E12">
        <w:rPr>
          <w:rStyle w:val="FootnoteReference"/>
        </w:rPr>
        <w:footnoteRef/>
      </w:r>
      <w:r w:rsidRPr="00FF6E12">
        <w:t xml:space="preserve"> </w:t>
      </w:r>
      <w:r w:rsidR="006C7ADF" w:rsidRPr="00FF6E12">
        <w:t>Ibid</w:t>
      </w:r>
      <w:r w:rsidR="00A02D07" w:rsidRPr="00FF6E12">
        <w:t xml:space="preserve"> </w:t>
      </w:r>
      <w:r w:rsidRPr="00FF6E12">
        <w:t>28.</w:t>
      </w:r>
    </w:p>
  </w:footnote>
  <w:footnote w:id="736">
    <w:p w14:paraId="222E7BD5" w14:textId="7B0471FA" w:rsidR="00EE5B97" w:rsidRPr="00FF6E12" w:rsidRDefault="00EE5B97" w:rsidP="00A920EC">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Pr="00FF6E12">
        <w:t>[18.38]. See Appendix setting out the various approaches in Australia. Kath</w:t>
      </w:r>
      <w:r w:rsidRPr="00FF6E12">
        <w:rPr>
          <w:rFonts w:cs="Times New Roman"/>
        </w:rPr>
        <w:t xml:space="preserve">leen Daly, </w:t>
      </w:r>
      <w:r w:rsidR="003E7CFF" w:rsidRPr="00FF6E12">
        <w:rPr>
          <w:rFonts w:cs="Times New Roman"/>
        </w:rPr>
        <w:t>‘</w:t>
      </w:r>
      <w:r w:rsidRPr="00FF6E12">
        <w:rPr>
          <w:rFonts w:cs="Times New Roman"/>
        </w:rPr>
        <w:t>Restorative justice and sexual assault: An archival study of court and conference cases</w:t>
      </w:r>
      <w:r w:rsidR="003E7CFF" w:rsidRPr="00FF6E12">
        <w:rPr>
          <w:rFonts w:cs="Times New Roman"/>
        </w:rPr>
        <w:t>’</w:t>
      </w:r>
      <w:r w:rsidRPr="00FF6E12">
        <w:rPr>
          <w:rFonts w:cs="Times New Roman"/>
        </w:rPr>
        <w:t xml:space="preserve"> (2006) 46(2) </w:t>
      </w:r>
      <w:r w:rsidRPr="00FF6E12">
        <w:rPr>
          <w:rFonts w:cs="Times New Roman"/>
          <w:i/>
        </w:rPr>
        <w:t>The British Journal of Criminology</w:t>
      </w:r>
      <w:r w:rsidRPr="00FF6E12">
        <w:rPr>
          <w:rFonts w:cs="Times New Roman"/>
        </w:rPr>
        <w:t xml:space="preserve"> 334</w:t>
      </w:r>
      <w:r w:rsidR="003E7CFF" w:rsidRPr="00FF6E12">
        <w:rPr>
          <w:rFonts w:cs="Times New Roman"/>
        </w:rPr>
        <w:t>–</w:t>
      </w:r>
      <w:r w:rsidRPr="00FF6E12">
        <w:rPr>
          <w:rFonts w:cs="Times New Roman"/>
        </w:rPr>
        <w:t xml:space="preserve">356; Lisa Mary Armstrong, </w:t>
      </w:r>
      <w:r w:rsidR="003E7CFF" w:rsidRPr="00FF6E12">
        <w:rPr>
          <w:rFonts w:cs="Times New Roman"/>
        </w:rPr>
        <w:t>‘</w:t>
      </w:r>
      <w:r w:rsidRPr="00FF6E12">
        <w:rPr>
          <w:rFonts w:cs="Times New Roman"/>
        </w:rPr>
        <w:t>Is restorative justice an effective approach in responding to children and young people who sexually harm?</w:t>
      </w:r>
      <w:r w:rsidR="003E7CFF" w:rsidRPr="00FF6E12">
        <w:rPr>
          <w:rFonts w:cs="Times New Roman"/>
        </w:rPr>
        <w:t>’</w:t>
      </w:r>
      <w:r w:rsidRPr="00FF6E12">
        <w:rPr>
          <w:rFonts w:cs="Times New Roman"/>
        </w:rPr>
        <w:t xml:space="preserve"> (2021) 10(4) </w:t>
      </w:r>
      <w:r w:rsidRPr="00FF6E12">
        <w:rPr>
          <w:rFonts w:cs="Times New Roman"/>
          <w:i/>
        </w:rPr>
        <w:t>Laws</w:t>
      </w:r>
      <w:r w:rsidRPr="00FF6E12">
        <w:rPr>
          <w:rFonts w:cs="Times New Roman"/>
        </w:rPr>
        <w:t xml:space="preserve"> 86</w:t>
      </w:r>
      <w:r w:rsidR="003E7CFF" w:rsidRPr="00FF6E12">
        <w:rPr>
          <w:rFonts w:cs="Times New Roman"/>
        </w:rPr>
        <w:t>–</w:t>
      </w:r>
      <w:r w:rsidRPr="00FF6E12">
        <w:rPr>
          <w:rFonts w:cs="Times New Roman"/>
        </w:rPr>
        <w:t>95.</w:t>
      </w:r>
    </w:p>
  </w:footnote>
  <w:footnote w:id="737">
    <w:p w14:paraId="0B931521" w14:textId="0438BE15" w:rsidR="00DC452A" w:rsidRPr="00FF6E12" w:rsidRDefault="00DC452A">
      <w:pPr>
        <w:pStyle w:val="FootnoteText"/>
      </w:pPr>
      <w:r w:rsidRPr="00FF6E12">
        <w:rPr>
          <w:rStyle w:val="FootnoteReference"/>
        </w:rPr>
        <w:footnoteRef/>
      </w:r>
      <w:r w:rsidRPr="00FF6E12">
        <w:t xml:space="preserve"> </w:t>
      </w:r>
      <w:r w:rsidR="004E0D83" w:rsidRPr="00FF6E12">
        <w:t>Youth Law</w:t>
      </w:r>
      <w:r w:rsidR="003E7CFF" w:rsidRPr="00FF6E12">
        <w:t xml:space="preserve"> Australia, </w:t>
      </w:r>
      <w:r w:rsidR="003E7CFF" w:rsidRPr="00A920EC">
        <w:rPr>
          <w:i/>
          <w:iCs/>
        </w:rPr>
        <w:t>Formal cautions</w:t>
      </w:r>
      <w:r w:rsidR="003E7CFF" w:rsidRPr="00FF6E12">
        <w:t xml:space="preserve"> (Web page, 8 May 2024)</w:t>
      </w:r>
      <w:r w:rsidR="00D354D8" w:rsidRPr="00FF6E12">
        <w:t xml:space="preserve"> </w:t>
      </w:r>
      <w:r w:rsidR="00E84090" w:rsidRPr="00FF6E12">
        <w:t>&lt;</w:t>
      </w:r>
      <w:r w:rsidR="00857C57" w:rsidRPr="00A920EC">
        <w:t>https://yla.org.au/vic/topics/courts-police-and-the-law/the-youth-justice-system/formal-cautions/</w:t>
      </w:r>
      <w:r w:rsidR="00E84090" w:rsidRPr="00FF6E12">
        <w:t>&gt;.</w:t>
      </w:r>
    </w:p>
  </w:footnote>
  <w:footnote w:id="738">
    <w:p w14:paraId="24E5D854" w14:textId="143D837A" w:rsidR="009512DC" w:rsidRPr="00FF6E12" w:rsidRDefault="009512DC">
      <w:pPr>
        <w:pStyle w:val="FootnoteText"/>
      </w:pPr>
      <w:r w:rsidRPr="00FF6E12">
        <w:rPr>
          <w:rStyle w:val="FootnoteReference"/>
        </w:rPr>
        <w:footnoteRef/>
      </w:r>
      <w:r w:rsidRPr="00FF6E12">
        <w:t xml:space="preserve"> See </w:t>
      </w:r>
      <w:r w:rsidR="0056498E" w:rsidRPr="00FF6E12">
        <w:t>Appendix I.</w:t>
      </w:r>
    </w:p>
  </w:footnote>
  <w:footnote w:id="739">
    <w:p w14:paraId="1BB018C7" w14:textId="43AF7C8C" w:rsidR="00482CC8" w:rsidRPr="00FF6E12" w:rsidRDefault="00482CC8">
      <w:pPr>
        <w:pStyle w:val="FootnoteText"/>
      </w:pPr>
      <w:r w:rsidRPr="00FF6E12">
        <w:rPr>
          <w:rStyle w:val="FootnoteReference"/>
        </w:rPr>
        <w:footnoteRef/>
      </w:r>
      <w:r w:rsidRPr="00FF6E12">
        <w:t xml:space="preserve"> See Appendix </w:t>
      </w:r>
      <w:r w:rsidR="0056498E" w:rsidRPr="00FF6E12">
        <w:t>I</w:t>
      </w:r>
      <w:r w:rsidRPr="00FF6E12">
        <w:t>.</w:t>
      </w:r>
      <w:r w:rsidR="00B35135">
        <w:t xml:space="preserve"> it is noted that the DPP Guidelines are under review.</w:t>
      </w:r>
    </w:p>
  </w:footnote>
  <w:footnote w:id="740">
    <w:p w14:paraId="4D4AC229" w14:textId="260256FF" w:rsidR="00EB0E0F" w:rsidRPr="00FF6E12" w:rsidRDefault="00EB0E0F" w:rsidP="00A920EC">
      <w:pPr>
        <w:pStyle w:val="FootnoteText"/>
      </w:pPr>
      <w:r w:rsidRPr="00FF6E12">
        <w:rPr>
          <w:rStyle w:val="FootnoteReference"/>
        </w:rPr>
        <w:footnoteRef/>
      </w:r>
      <w:r w:rsidRPr="00FF6E12">
        <w:t xml:space="preserve"> See</w:t>
      </w:r>
      <w:r w:rsidR="0077133E" w:rsidRPr="00FF6E12">
        <w:t xml:space="preserve"> [</w:t>
      </w:r>
      <w:r w:rsidR="003E7CFF" w:rsidRPr="00FF6E12">
        <w:rPr>
          <w:highlight w:val="yellow"/>
        </w:rPr>
        <w:fldChar w:fldCharType="begin"/>
      </w:r>
      <w:r w:rsidR="003E7CFF" w:rsidRPr="00FF6E12">
        <w:instrText xml:space="preserve"> REF _Ref217995348 \r \h </w:instrText>
      </w:r>
      <w:r w:rsidR="003E7CFF" w:rsidRPr="00FF6E12">
        <w:rPr>
          <w:highlight w:val="yellow"/>
        </w:rPr>
      </w:r>
      <w:r w:rsidR="003E7CFF" w:rsidRPr="00FF6E12">
        <w:rPr>
          <w:highlight w:val="yellow"/>
        </w:rPr>
        <w:fldChar w:fldCharType="separate"/>
      </w:r>
      <w:r w:rsidR="007D7830">
        <w:t>7.5.11</w:t>
      </w:r>
      <w:r w:rsidR="003E7CFF" w:rsidRPr="00FF6E12">
        <w:rPr>
          <w:highlight w:val="yellow"/>
        </w:rPr>
        <w:fldChar w:fldCharType="end"/>
      </w:r>
      <w:r w:rsidR="0077133E" w:rsidRPr="00FF6E12">
        <w:t>]</w:t>
      </w:r>
      <w:r w:rsidR="00433B99" w:rsidRPr="00FF6E12">
        <w:t>.</w:t>
      </w:r>
    </w:p>
  </w:footnote>
  <w:footnote w:id="741">
    <w:p w14:paraId="65BBB618" w14:textId="38432F1E" w:rsidR="0054033D" w:rsidRPr="00FF6E12" w:rsidRDefault="0054033D" w:rsidP="00A920EC">
      <w:pPr>
        <w:pStyle w:val="FootnoteText"/>
      </w:pPr>
      <w:r w:rsidRPr="00FF6E12">
        <w:rPr>
          <w:rStyle w:val="FootnoteReference"/>
        </w:rPr>
        <w:footnoteRef/>
      </w:r>
      <w:r w:rsidRPr="00FF6E12">
        <w:t xml:space="preserve"> See </w:t>
      </w:r>
      <w:r w:rsidR="00090F16" w:rsidRPr="00FF6E12">
        <w:t>Appendix</w:t>
      </w:r>
      <w:r w:rsidRPr="00FF6E12">
        <w:t xml:space="preserve"> </w:t>
      </w:r>
      <w:r w:rsidR="0056498E" w:rsidRPr="00FF6E12">
        <w:t>I</w:t>
      </w:r>
      <w:r w:rsidRPr="00FF6E12">
        <w:t>.</w:t>
      </w:r>
    </w:p>
  </w:footnote>
  <w:footnote w:id="742">
    <w:p w14:paraId="06F3F96E" w14:textId="5783AB2A" w:rsidR="00025D99" w:rsidRPr="00FF6E12" w:rsidRDefault="00025D99">
      <w:pPr>
        <w:pStyle w:val="FootnoteText"/>
      </w:pPr>
      <w:r w:rsidRPr="00FF6E12">
        <w:rPr>
          <w:rStyle w:val="FootnoteReference"/>
        </w:rPr>
        <w:footnoteRef/>
      </w:r>
      <w:r w:rsidRPr="00FF6E12">
        <w:t xml:space="preserve"> See Appendix </w:t>
      </w:r>
      <w:r w:rsidR="0056498E" w:rsidRPr="00FF6E12">
        <w:t>I</w:t>
      </w:r>
      <w:r w:rsidRPr="00FF6E12">
        <w:t>.</w:t>
      </w:r>
    </w:p>
  </w:footnote>
  <w:footnote w:id="743">
    <w:p w14:paraId="42797DB3" w14:textId="49907FD7" w:rsidR="0054033D" w:rsidRPr="00FF6E12" w:rsidRDefault="0054033D">
      <w:pPr>
        <w:pStyle w:val="FootnoteText"/>
      </w:pPr>
      <w:r w:rsidRPr="00FF6E12">
        <w:rPr>
          <w:rStyle w:val="FootnoteReference"/>
        </w:rPr>
        <w:footnoteRef/>
      </w:r>
      <w:r w:rsidRPr="00FF6E12">
        <w:t xml:space="preserve"> See Appendix </w:t>
      </w:r>
      <w:r w:rsidR="0056498E" w:rsidRPr="00FF6E12">
        <w:t>I</w:t>
      </w:r>
      <w:r w:rsidRPr="00FF6E12">
        <w:t>.</w:t>
      </w:r>
    </w:p>
  </w:footnote>
  <w:footnote w:id="744">
    <w:p w14:paraId="18E7FE4B" w14:textId="5BC2FFCB" w:rsidR="0054033D" w:rsidRPr="00FF6E12" w:rsidRDefault="0054033D">
      <w:pPr>
        <w:pStyle w:val="FootnoteText"/>
      </w:pPr>
      <w:r w:rsidRPr="00FF6E12">
        <w:rPr>
          <w:rStyle w:val="FootnoteReference"/>
        </w:rPr>
        <w:footnoteRef/>
      </w:r>
      <w:r w:rsidRPr="00FF6E12">
        <w:t xml:space="preserve"> See Appendix </w:t>
      </w:r>
      <w:r w:rsidR="0056498E" w:rsidRPr="00FF6E12">
        <w:t>I</w:t>
      </w:r>
      <w:r w:rsidRPr="00FF6E12">
        <w:t>.</w:t>
      </w:r>
    </w:p>
  </w:footnote>
  <w:footnote w:id="745">
    <w:p w14:paraId="629F18F8" w14:textId="2A4B4A98" w:rsidR="00E22904" w:rsidRPr="00FF6E12" w:rsidRDefault="00E22904">
      <w:pPr>
        <w:pStyle w:val="FootnoteText"/>
      </w:pPr>
      <w:r w:rsidRPr="00FF6E12">
        <w:rPr>
          <w:rStyle w:val="FootnoteReference"/>
        </w:rPr>
        <w:footnoteRef/>
      </w:r>
      <w:r w:rsidRPr="00FF6E12">
        <w:t xml:space="preserve"> See Appendix </w:t>
      </w:r>
      <w:r w:rsidR="0056498E" w:rsidRPr="00FF6E12">
        <w:t>I</w:t>
      </w:r>
      <w:r w:rsidRPr="00FF6E12">
        <w:t>.</w:t>
      </w:r>
    </w:p>
  </w:footnote>
  <w:footnote w:id="746">
    <w:p w14:paraId="1B1E3B64" w14:textId="49689222" w:rsidR="003355E5" w:rsidRPr="00FF6E12" w:rsidRDefault="003355E5">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005D0E96" w:rsidRPr="00FF6E12">
        <w:t>662.</w:t>
      </w:r>
    </w:p>
  </w:footnote>
  <w:footnote w:id="747">
    <w:p w14:paraId="413FD8F2" w14:textId="5D7865EE" w:rsidR="00175B37" w:rsidRPr="00FF6E12" w:rsidRDefault="00175B37">
      <w:pPr>
        <w:pStyle w:val="FootnoteText"/>
      </w:pPr>
      <w:r w:rsidRPr="00FF6E12">
        <w:rPr>
          <w:rStyle w:val="FootnoteReference"/>
        </w:rPr>
        <w:footnoteRef/>
      </w:r>
      <w:r w:rsidRPr="00FF6E12">
        <w:t xml:space="preserve"> </w:t>
      </w:r>
      <w:r w:rsidR="001332C7" w:rsidRPr="00FF6E12">
        <w:t>Ibid</w:t>
      </w:r>
      <w:r w:rsidRPr="00FF6E12">
        <w:t xml:space="preserve"> </w:t>
      </w:r>
      <w:r w:rsidR="00152F9B" w:rsidRPr="00FF6E12">
        <w:t>661.</w:t>
      </w:r>
    </w:p>
  </w:footnote>
  <w:footnote w:id="748">
    <w:p w14:paraId="7E76109F" w14:textId="6EEB4CAD" w:rsidR="000C6716" w:rsidRPr="00FF6E12" w:rsidRDefault="000C6716">
      <w:pPr>
        <w:pStyle w:val="FootnoteText"/>
        <w:rPr>
          <w:highlight w:val="yellow"/>
        </w:rPr>
      </w:pPr>
      <w:r w:rsidRPr="00FF6E12">
        <w:rPr>
          <w:rStyle w:val="FootnoteReference"/>
        </w:rPr>
        <w:footnoteRef/>
      </w:r>
      <w:r w:rsidRPr="00FF6E12">
        <w:t xml:space="preserve"> </w:t>
      </w:r>
      <w:r w:rsidR="00802DCB" w:rsidRPr="00FF6E12">
        <w:t xml:space="preserve">See </w:t>
      </w:r>
      <w:r w:rsidR="00BC4CF3" w:rsidRPr="00FF6E12">
        <w:t>Women’s Safety and Justice Taskforce</w:t>
      </w:r>
      <w:r w:rsidR="00031BC8" w:rsidRPr="00FF6E12">
        <w:t xml:space="preserve"> (Q</w:t>
      </w:r>
      <w:r w:rsidR="00CB0EA1" w:rsidRPr="00FF6E12">
        <w:t>ueens</w:t>
      </w:r>
      <w:r w:rsidR="00031BC8" w:rsidRPr="00FF6E12">
        <w:t>l</w:t>
      </w:r>
      <w:r w:rsidR="00CB0EA1" w:rsidRPr="00FF6E12">
        <w:t>an</w:t>
      </w:r>
      <w:r w:rsidR="00031BC8" w:rsidRPr="00FF6E12">
        <w:t>d)</w:t>
      </w:r>
      <w:r w:rsidR="00BC4CF3" w:rsidRPr="00FF6E12">
        <w:t xml:space="preserve">, </w:t>
      </w:r>
      <w:r w:rsidR="00BC4CF3" w:rsidRPr="00FF6E12">
        <w:rPr>
          <w:i/>
          <w:iCs/>
        </w:rPr>
        <w:t>Hear Her Voice: Report Two</w:t>
      </w:r>
      <w:r w:rsidR="00BC4CF3" w:rsidRPr="00FF6E12">
        <w:t xml:space="preserve"> (vol 1, 2022) </w:t>
      </w:r>
      <w:r w:rsidR="00CB0EA1" w:rsidRPr="00FF6E12">
        <w:t xml:space="preserve">ch </w:t>
      </w:r>
      <w:r w:rsidR="001200BF" w:rsidRPr="00FF6E12">
        <w:t>2.15.</w:t>
      </w:r>
    </w:p>
  </w:footnote>
  <w:footnote w:id="749">
    <w:p w14:paraId="5867E3EE" w14:textId="51E7ED1C" w:rsidR="004E06F2" w:rsidRPr="00FF6E12" w:rsidRDefault="004E06F2" w:rsidP="00A920EC">
      <w:pPr>
        <w:pStyle w:val="FootnoteText"/>
        <w:jc w:val="left"/>
      </w:pPr>
      <w:r w:rsidRPr="00FF6E12">
        <w:rPr>
          <w:rStyle w:val="FootnoteReference"/>
        </w:rPr>
        <w:footnoteRef/>
      </w:r>
      <w:r w:rsidRPr="00FF6E12">
        <w:t xml:space="preserve"> </w:t>
      </w:r>
      <w:r w:rsidR="00620C85" w:rsidRPr="00FF6E12">
        <w:t>Parliamentary</w:t>
      </w:r>
      <w:r w:rsidR="000A2F26" w:rsidRPr="00FF6E12">
        <w:t xml:space="preserve"> </w:t>
      </w:r>
      <w:r w:rsidR="0086156C" w:rsidRPr="00FF6E12">
        <w:t xml:space="preserve">Joint </w:t>
      </w:r>
      <w:r w:rsidR="00950ECA" w:rsidRPr="00FF6E12">
        <w:t>C</w:t>
      </w:r>
      <w:r w:rsidR="000A2F26" w:rsidRPr="00FF6E12">
        <w:t>ommittee</w:t>
      </w:r>
      <w:r w:rsidR="0086156C" w:rsidRPr="00FF6E12">
        <w:t xml:space="preserve"> on Law </w:t>
      </w:r>
      <w:r w:rsidR="00663F71" w:rsidRPr="00FF6E12">
        <w:t>Enforcement (Cth)</w:t>
      </w:r>
      <w:r w:rsidR="0086156C" w:rsidRPr="00FF6E12">
        <w:t xml:space="preserve">, </w:t>
      </w:r>
      <w:r w:rsidR="0086156C" w:rsidRPr="00FF6E12">
        <w:rPr>
          <w:i/>
          <w:iCs/>
        </w:rPr>
        <w:t xml:space="preserve">Law </w:t>
      </w:r>
      <w:r w:rsidR="00663F71" w:rsidRPr="00FF6E12">
        <w:rPr>
          <w:i/>
          <w:iCs/>
        </w:rPr>
        <w:t>Enforcement</w:t>
      </w:r>
      <w:r w:rsidR="0086156C" w:rsidRPr="00FF6E12">
        <w:rPr>
          <w:i/>
          <w:iCs/>
        </w:rPr>
        <w:t xml:space="preserve"> Capabilities in </w:t>
      </w:r>
      <w:r w:rsidR="00663F71" w:rsidRPr="00FF6E12">
        <w:rPr>
          <w:i/>
          <w:iCs/>
        </w:rPr>
        <w:t>Relation</w:t>
      </w:r>
      <w:r w:rsidR="0086156C" w:rsidRPr="00FF6E12">
        <w:rPr>
          <w:i/>
          <w:iCs/>
        </w:rPr>
        <w:t xml:space="preserve"> to Child </w:t>
      </w:r>
      <w:r w:rsidR="00663F71" w:rsidRPr="00FF6E12">
        <w:rPr>
          <w:i/>
          <w:iCs/>
        </w:rPr>
        <w:t xml:space="preserve">Exploitation </w:t>
      </w:r>
      <w:r w:rsidR="00663F71" w:rsidRPr="00FF6E12">
        <w:t>(</w:t>
      </w:r>
      <w:r w:rsidR="00CB0EA1" w:rsidRPr="00FF6E12">
        <w:t xml:space="preserve">Report, </w:t>
      </w:r>
      <w:r w:rsidR="00663F71" w:rsidRPr="00FF6E12">
        <w:t>2023)</w:t>
      </w:r>
      <w:r w:rsidR="000A2F26" w:rsidRPr="00FF6E12">
        <w:t xml:space="preserve"> </w:t>
      </w:r>
      <w:r w:rsidR="00CB0EA1" w:rsidRPr="00FF6E12">
        <w:t>&lt;</w:t>
      </w:r>
      <w:r w:rsidR="00CB0EA1" w:rsidRPr="00A920EC">
        <w:t>https://parlinfo.aph.gov.au/parlInfo/download/committees/reportjnt/RB000046/toc_pdf/Lawenforcementcapabilitiesinrelationtochildexploitation.pdf</w:t>
      </w:r>
      <w:r w:rsidR="00CB0EA1" w:rsidRPr="00FF6E12">
        <w:t>&gt;</w:t>
      </w:r>
      <w:r w:rsidR="00620C85" w:rsidRPr="00FF6E12">
        <w:t xml:space="preserve"> </w:t>
      </w:r>
      <w:r w:rsidR="000A2F26" w:rsidRPr="00FF6E12">
        <w:t>[3.47].</w:t>
      </w:r>
    </w:p>
  </w:footnote>
  <w:footnote w:id="750">
    <w:p w14:paraId="06433BE8" w14:textId="37A6ABB2" w:rsidR="000A2F26" w:rsidRPr="00FF6E12" w:rsidRDefault="000A2F26">
      <w:pPr>
        <w:pStyle w:val="FootnoteText"/>
      </w:pPr>
      <w:r w:rsidRPr="00FF6E12">
        <w:rPr>
          <w:rStyle w:val="FootnoteReference"/>
        </w:rPr>
        <w:footnoteRef/>
      </w:r>
      <w:r w:rsidRPr="00FF6E12">
        <w:t xml:space="preserve"> </w:t>
      </w:r>
      <w:r w:rsidR="004052F6" w:rsidRPr="00FF6E12">
        <w:t xml:space="preserve">Childrens Court of Queensland, </w:t>
      </w:r>
      <w:r w:rsidR="00620C85" w:rsidRPr="00FF6E12">
        <w:rPr>
          <w:i/>
          <w:iCs/>
        </w:rPr>
        <w:t xml:space="preserve">Annual </w:t>
      </w:r>
      <w:r w:rsidR="004052F6" w:rsidRPr="00FF6E12">
        <w:rPr>
          <w:i/>
          <w:iCs/>
        </w:rPr>
        <w:t>R</w:t>
      </w:r>
      <w:r w:rsidR="00620C85" w:rsidRPr="00FF6E12">
        <w:rPr>
          <w:i/>
          <w:iCs/>
        </w:rPr>
        <w:t xml:space="preserve">eport </w:t>
      </w:r>
      <w:r w:rsidR="004052F6" w:rsidRPr="00FF6E12">
        <w:rPr>
          <w:i/>
          <w:iCs/>
        </w:rPr>
        <w:t>2023</w:t>
      </w:r>
      <w:r w:rsidR="00CB0EA1" w:rsidRPr="00A920EC">
        <w:rPr>
          <w:i/>
          <w:iCs/>
        </w:rPr>
        <w:t>–</w:t>
      </w:r>
      <w:r w:rsidR="004052F6" w:rsidRPr="00A920EC">
        <w:rPr>
          <w:i/>
          <w:iCs/>
        </w:rPr>
        <w:t>24</w:t>
      </w:r>
      <w:r w:rsidR="004052F6" w:rsidRPr="00FF6E12">
        <w:t xml:space="preserve"> </w:t>
      </w:r>
      <w:r w:rsidR="00FB11F6" w:rsidRPr="00FF6E12">
        <w:t>&lt;</w:t>
      </w:r>
      <w:r w:rsidR="00541C09" w:rsidRPr="00A920EC">
        <w:t>https://www.courts.qld.gov.au/about/publications</w:t>
      </w:r>
      <w:r w:rsidR="00FB11F6" w:rsidRPr="00FF6E12">
        <w:t xml:space="preserve">&gt; </w:t>
      </w:r>
      <w:r w:rsidRPr="00FF6E12">
        <w:t>28.</w:t>
      </w:r>
    </w:p>
  </w:footnote>
  <w:footnote w:id="751">
    <w:p w14:paraId="6C03BE0D" w14:textId="7C64226A" w:rsidR="003C0930" w:rsidRPr="00FF6E12" w:rsidRDefault="003C0930">
      <w:pPr>
        <w:pStyle w:val="FootnoteText"/>
      </w:pPr>
      <w:r w:rsidRPr="00FF6E12">
        <w:rPr>
          <w:rStyle w:val="FootnoteReference"/>
        </w:rPr>
        <w:footnoteRef/>
      </w:r>
      <w:r w:rsidRPr="00FF6E12">
        <w:t xml:space="preserve"> </w:t>
      </w:r>
      <w:r w:rsidR="00CB0EA1" w:rsidRPr="00FF6E12">
        <w:t xml:space="preserve">Ibid </w:t>
      </w:r>
      <w:r w:rsidRPr="00FF6E12">
        <w:t>29.</w:t>
      </w:r>
    </w:p>
  </w:footnote>
  <w:footnote w:id="752">
    <w:p w14:paraId="1B0D5675" w14:textId="06AAEB9C" w:rsidR="000C1496" w:rsidRPr="00FF6E12" w:rsidRDefault="000C1496">
      <w:pPr>
        <w:pStyle w:val="FootnoteText"/>
      </w:pPr>
      <w:r w:rsidRPr="00FF6E12">
        <w:rPr>
          <w:rStyle w:val="FootnoteReference"/>
        </w:rPr>
        <w:footnoteRef/>
      </w:r>
      <w:r w:rsidRPr="00FF6E12">
        <w:t xml:space="preserve"> </w:t>
      </w:r>
      <w:r w:rsidR="00CB0EA1" w:rsidRPr="00FF6E12">
        <w:t>Ibid</w:t>
      </w:r>
      <w:r w:rsidR="00FB11F6" w:rsidRPr="00FF6E12">
        <w:t xml:space="preserve"> </w:t>
      </w:r>
      <w:r w:rsidRPr="00FF6E12">
        <w:t>31.</w:t>
      </w:r>
    </w:p>
  </w:footnote>
  <w:footnote w:id="753">
    <w:p w14:paraId="5EC28977" w14:textId="7E1AD140" w:rsidR="00A34E8A" w:rsidRPr="00FF6E12" w:rsidRDefault="00A34E8A">
      <w:pPr>
        <w:pStyle w:val="FootnoteText"/>
      </w:pPr>
      <w:r w:rsidRPr="00FF6E12">
        <w:rPr>
          <w:rStyle w:val="FootnoteReference"/>
        </w:rPr>
        <w:footnoteRef/>
      </w:r>
      <w:r w:rsidRPr="00FF6E12">
        <w:t xml:space="preserve"> See </w:t>
      </w:r>
      <w:r w:rsidR="00BF3603" w:rsidRPr="00FF6E12">
        <w:t>Appendix I</w:t>
      </w:r>
      <w:r w:rsidRPr="00FF6E12">
        <w:t>.</w:t>
      </w:r>
    </w:p>
  </w:footnote>
  <w:footnote w:id="754">
    <w:p w14:paraId="3CAA620A" w14:textId="5A118AFA" w:rsidR="006774B7" w:rsidRPr="00FF6E12" w:rsidRDefault="006774B7">
      <w:pPr>
        <w:pStyle w:val="FootnoteText"/>
      </w:pPr>
      <w:r w:rsidRPr="00FF6E12">
        <w:rPr>
          <w:rStyle w:val="FootnoteReference"/>
        </w:rPr>
        <w:footnoteRef/>
      </w:r>
      <w:r w:rsidRPr="00FF6E12">
        <w:t xml:space="preserve"> </w:t>
      </w:r>
      <w:r w:rsidRPr="008B1020">
        <w:t>M</w:t>
      </w:r>
      <w:r w:rsidR="003B0C4E" w:rsidRPr="008B1020">
        <w:t>olly</w:t>
      </w:r>
      <w:r w:rsidRPr="008B1020">
        <w:t xml:space="preserve"> McCarthy et al, </w:t>
      </w:r>
      <w:r w:rsidR="00457425" w:rsidRPr="008B1020">
        <w:t>‘Examining the Role of Police-Led Di</w:t>
      </w:r>
      <w:r w:rsidR="002E165B" w:rsidRPr="008B1020">
        <w:t>vers</w:t>
      </w:r>
      <w:r w:rsidR="00457425" w:rsidRPr="008B1020">
        <w:t>i</w:t>
      </w:r>
      <w:r w:rsidR="002E165B" w:rsidRPr="008B1020">
        <w:t>o</w:t>
      </w:r>
      <w:r w:rsidR="00457425" w:rsidRPr="008B1020">
        <w:t xml:space="preserve">n in the Youth Criminal </w:t>
      </w:r>
      <w:r w:rsidR="00A47C09" w:rsidRPr="008B1020">
        <w:t xml:space="preserve">Decline in </w:t>
      </w:r>
      <w:r w:rsidR="002E165B" w:rsidRPr="008B1020">
        <w:t>Australia</w:t>
      </w:r>
      <w:r w:rsidR="00A47C09" w:rsidRPr="008B1020">
        <w:t>’</w:t>
      </w:r>
      <w:r w:rsidR="002E165B" w:rsidRPr="008B1020">
        <w:t xml:space="preserve"> (2025)</w:t>
      </w:r>
      <w:r w:rsidR="007E3277" w:rsidRPr="008B1020">
        <w:t xml:space="preserve"> </w:t>
      </w:r>
      <w:r w:rsidR="007F58FF" w:rsidRPr="008B1020">
        <w:rPr>
          <w:i/>
          <w:iCs/>
        </w:rPr>
        <w:t>Victims</w:t>
      </w:r>
      <w:r w:rsidR="007E3277" w:rsidRPr="008B1020">
        <w:rPr>
          <w:i/>
          <w:iCs/>
        </w:rPr>
        <w:t xml:space="preserve"> and Offenders</w:t>
      </w:r>
      <w:r w:rsidR="008B1020" w:rsidRPr="008B1020">
        <w:t>,</w:t>
      </w:r>
      <w:r w:rsidR="00A47C09" w:rsidRPr="008B1020">
        <w:t xml:space="preserve"> </w:t>
      </w:r>
      <w:r w:rsidR="00FB6384" w:rsidRPr="008B1020">
        <w:t>https://doi.org/10.1080/15564886.2025.2536313</w:t>
      </w:r>
      <w:r w:rsidR="008B1020" w:rsidRPr="008B1020">
        <w:t xml:space="preserve">, </w:t>
      </w:r>
      <w:r w:rsidRPr="008B1020">
        <w:t xml:space="preserve">2, 19; </w:t>
      </w:r>
      <w:r w:rsidR="000B5018" w:rsidRPr="008B1020">
        <w:t xml:space="preserve">Caroline </w:t>
      </w:r>
      <w:r w:rsidRPr="008B1020">
        <w:t xml:space="preserve">Harmon-Darrow et al, </w:t>
      </w:r>
      <w:r w:rsidR="004A04BC" w:rsidRPr="008B1020">
        <w:t xml:space="preserve">‘Gentrification’s Association with </w:t>
      </w:r>
      <w:r w:rsidR="00757AF6" w:rsidRPr="008B1020">
        <w:t>Police</w:t>
      </w:r>
      <w:r w:rsidR="004A04BC" w:rsidRPr="008B1020">
        <w:t xml:space="preserve"> Violence and the Moderating Effects of </w:t>
      </w:r>
      <w:r w:rsidR="00757AF6" w:rsidRPr="008B1020">
        <w:t>R</w:t>
      </w:r>
      <w:r w:rsidR="004A04BC" w:rsidRPr="008B1020">
        <w:t>ace</w:t>
      </w:r>
      <w:r w:rsidR="00757AF6" w:rsidRPr="008B1020">
        <w:t xml:space="preserve"> (</w:t>
      </w:r>
      <w:r w:rsidRPr="008B1020">
        <w:t>2023</w:t>
      </w:r>
      <w:r w:rsidR="00D4621A" w:rsidRPr="008B1020">
        <w:t xml:space="preserve">) </w:t>
      </w:r>
      <w:r w:rsidR="00C85131" w:rsidRPr="008B1020">
        <w:t xml:space="preserve">13(3) </w:t>
      </w:r>
      <w:r w:rsidR="00C85131" w:rsidRPr="008B1020">
        <w:rPr>
          <w:i/>
          <w:iCs/>
        </w:rPr>
        <w:t xml:space="preserve">Psychology of Violence </w:t>
      </w:r>
      <w:r w:rsidR="00C85131" w:rsidRPr="008B1020">
        <w:t>183</w:t>
      </w:r>
      <w:r w:rsidRPr="008B1020">
        <w:t>; R</w:t>
      </w:r>
      <w:r w:rsidR="00CB0EA1" w:rsidRPr="008B1020">
        <w:t>achael</w:t>
      </w:r>
      <w:r w:rsidRPr="00FF6E12">
        <w:t xml:space="preserve"> Green et al, ‘Police Decision-making with Youth Offenders: Examining Barriers to the Use of Diversion Options’ (2019) 53 </w:t>
      </w:r>
      <w:r w:rsidR="00CB0EA1" w:rsidRPr="00FF6E12">
        <w:rPr>
          <w:i/>
          <w:iCs/>
        </w:rPr>
        <w:t xml:space="preserve">Australia and New Zealand </w:t>
      </w:r>
      <w:r w:rsidRPr="00FF6E12">
        <w:rPr>
          <w:i/>
          <w:iCs/>
        </w:rPr>
        <w:t xml:space="preserve">Journal of Criminology </w:t>
      </w:r>
      <w:r w:rsidRPr="00FF6E12">
        <w:t>137, 139.</w:t>
      </w:r>
    </w:p>
  </w:footnote>
  <w:footnote w:id="755">
    <w:p w14:paraId="6F7FFE1C" w14:textId="61695E73" w:rsidR="006774B7" w:rsidRPr="00FF6E12" w:rsidRDefault="006774B7">
      <w:pPr>
        <w:pStyle w:val="FootnoteText"/>
      </w:pPr>
      <w:r w:rsidRPr="00FF6E12">
        <w:rPr>
          <w:rStyle w:val="FootnoteReference"/>
        </w:rPr>
        <w:footnoteRef/>
      </w:r>
      <w:r w:rsidRPr="00FF6E12">
        <w:t xml:space="preserve"> </w:t>
      </w:r>
      <w:r w:rsidR="00B66B83" w:rsidRPr="00FF6E12">
        <w:t>Green et al</w:t>
      </w:r>
      <w:r w:rsidR="00CB0EA1" w:rsidRPr="00FF6E12">
        <w:t xml:space="preserve"> (n </w:t>
      </w:r>
      <w:r w:rsidR="00CB0EA1" w:rsidRPr="00FF6E12">
        <w:fldChar w:fldCharType="begin"/>
      </w:r>
      <w:r w:rsidR="00CB0EA1" w:rsidRPr="00FF6E12">
        <w:instrText xml:space="preserve"> NOTEREF _Ref217996126 \h </w:instrText>
      </w:r>
      <w:r w:rsidR="00CB0EA1" w:rsidRPr="00FF6E12">
        <w:fldChar w:fldCharType="separate"/>
      </w:r>
      <w:r w:rsidR="007D7830">
        <w:t>753</w:t>
      </w:r>
      <w:r w:rsidR="00CB0EA1" w:rsidRPr="00FF6E12">
        <w:fldChar w:fldCharType="end"/>
      </w:r>
      <w:r w:rsidR="00CB0EA1" w:rsidRPr="00FF6E12">
        <w:t>)</w:t>
      </w:r>
      <w:r w:rsidR="004B51C8">
        <w:t>, 138</w:t>
      </w:r>
      <w:r w:rsidRPr="00FF6E12">
        <w:t>.</w:t>
      </w:r>
    </w:p>
  </w:footnote>
  <w:footnote w:id="756">
    <w:p w14:paraId="1C446844" w14:textId="6AE81376" w:rsidR="006774B7" w:rsidRPr="00FF6E12" w:rsidRDefault="006774B7">
      <w:pPr>
        <w:pStyle w:val="FootnoteText"/>
      </w:pPr>
      <w:r w:rsidRPr="00FF6E12">
        <w:rPr>
          <w:rStyle w:val="FootnoteReference"/>
        </w:rPr>
        <w:footnoteRef/>
      </w:r>
      <w:r w:rsidRPr="00FF6E12">
        <w:t xml:space="preserve"> See </w:t>
      </w:r>
      <w:r w:rsidR="00520BC4" w:rsidRPr="00FF6E12">
        <w:t>Appendix I.</w:t>
      </w:r>
    </w:p>
  </w:footnote>
  <w:footnote w:id="757">
    <w:p w14:paraId="0760C85B" w14:textId="75CDEA81" w:rsidR="006774B7" w:rsidRPr="00FF6E12" w:rsidRDefault="006774B7">
      <w:pPr>
        <w:pStyle w:val="FootnoteText"/>
      </w:pPr>
      <w:r w:rsidRPr="00FF6E12">
        <w:rPr>
          <w:rStyle w:val="FootnoteReference"/>
        </w:rPr>
        <w:footnoteRef/>
      </w:r>
      <w:r w:rsidRPr="00FF6E12">
        <w:t xml:space="preserve"> See Appendix </w:t>
      </w:r>
      <w:r w:rsidR="004C0437" w:rsidRPr="00FF6E12">
        <w:t>I</w:t>
      </w:r>
      <w:r w:rsidRPr="00FF6E12">
        <w:t>.</w:t>
      </w:r>
    </w:p>
  </w:footnote>
  <w:footnote w:id="758">
    <w:p w14:paraId="26F301C2" w14:textId="43A1A23D" w:rsidR="006774B7" w:rsidRPr="00FF6E12" w:rsidRDefault="006774B7">
      <w:pPr>
        <w:pStyle w:val="FootnoteText"/>
      </w:pPr>
      <w:r w:rsidRPr="00FF6E12">
        <w:rPr>
          <w:rStyle w:val="FootnoteReference"/>
        </w:rPr>
        <w:footnoteRef/>
      </w:r>
      <w:r w:rsidRPr="00FF6E12">
        <w:t xml:space="preserve"> See </w:t>
      </w:r>
      <w:r w:rsidR="003F309C" w:rsidRPr="00FF6E12">
        <w:t xml:space="preserve">Siobhan Lawler, Hayley Boxall and Christopher Dowling, </w:t>
      </w:r>
      <w:r w:rsidR="003F309C" w:rsidRPr="00A920EC">
        <w:rPr>
          <w:i/>
          <w:iCs/>
        </w:rPr>
        <w:t>Restorative Justice Conferencing for Domestic and Family Violence and Sexual Violence: Evaluation of Phase Three of the ACT Restorative Justice Scheme</w:t>
      </w:r>
      <w:r w:rsidR="003F309C" w:rsidRPr="00FF6E12">
        <w:t xml:space="preserve"> (Research Report No 33, Australian Institute of Criminology, 14 January 2025) &lt;https://www.aic.gov.au/sites/default/files/2025-01/rr33_restorative_justice_conferencing_for_dfv_and_sv.pdf</w:t>
      </w:r>
      <w:r w:rsidRPr="00FF6E12">
        <w:t>xi</w:t>
      </w:r>
      <w:r w:rsidR="003F309C" w:rsidRPr="00FF6E12">
        <w:t>&gt;</w:t>
      </w:r>
      <w:r w:rsidRPr="00FF6E12">
        <w:t xml:space="preserve"> 1.</w:t>
      </w:r>
    </w:p>
  </w:footnote>
  <w:footnote w:id="759">
    <w:p w14:paraId="539739E1" w14:textId="594D34A6" w:rsidR="006774B7" w:rsidRPr="00FF6E12" w:rsidRDefault="006774B7">
      <w:pPr>
        <w:pStyle w:val="FootnoteText"/>
      </w:pPr>
      <w:r w:rsidRPr="00FF6E12">
        <w:rPr>
          <w:rStyle w:val="FootnoteReference"/>
        </w:rPr>
        <w:footnoteRef/>
      </w:r>
      <w:r w:rsidRPr="00FF6E12">
        <w:t xml:space="preserve"> See Daly</w:t>
      </w:r>
      <w:r w:rsidR="00CB0EA1" w:rsidRPr="00FF6E12">
        <w:t xml:space="preserve"> (n </w:t>
      </w:r>
      <w:r w:rsidR="00CB0EA1" w:rsidRPr="00FF6E12">
        <w:fldChar w:fldCharType="begin"/>
      </w:r>
      <w:r w:rsidR="00CB0EA1" w:rsidRPr="00FF6E12">
        <w:instrText xml:space="preserve"> NOTEREF _Ref217996306 \h </w:instrText>
      </w:r>
      <w:r w:rsidR="00CB0EA1" w:rsidRPr="00FF6E12">
        <w:fldChar w:fldCharType="separate"/>
      </w:r>
      <w:r w:rsidR="007D7830">
        <w:t>735</w:t>
      </w:r>
      <w:r w:rsidR="00CB0EA1" w:rsidRPr="00FF6E12">
        <w:fldChar w:fldCharType="end"/>
      </w:r>
      <w:r w:rsidR="00CB0EA1" w:rsidRPr="00FF6E12">
        <w:t>)</w:t>
      </w:r>
      <w:r w:rsidRPr="00FF6E12">
        <w:t>.</w:t>
      </w:r>
    </w:p>
  </w:footnote>
  <w:footnote w:id="760">
    <w:p w14:paraId="6B9454BD" w14:textId="7C13EFB6" w:rsidR="006774B7" w:rsidRPr="00FF6E12" w:rsidRDefault="006774B7">
      <w:pPr>
        <w:pStyle w:val="FootnoteText"/>
      </w:pPr>
      <w:r w:rsidRPr="00FF6E12">
        <w:rPr>
          <w:rStyle w:val="FootnoteReference"/>
          <w:rFonts w:cs="Times New Roman"/>
        </w:rPr>
        <w:footnoteRef/>
      </w:r>
      <w:r w:rsidRPr="00FF6E12">
        <w:t xml:space="preserve"> </w:t>
      </w:r>
      <w:r w:rsidR="00AE621E" w:rsidRPr="00FF6E12">
        <w:t xml:space="preserve">See Armstrong </w:t>
      </w:r>
      <w:r w:rsidR="00CB0EA1" w:rsidRPr="00FF6E12">
        <w:t xml:space="preserve">(n </w:t>
      </w:r>
      <w:r w:rsidR="00CB0EA1" w:rsidRPr="00FF6E12">
        <w:fldChar w:fldCharType="begin"/>
      </w:r>
      <w:r w:rsidR="00CB0EA1" w:rsidRPr="00FF6E12">
        <w:instrText xml:space="preserve"> NOTEREF _Ref217996306 \h </w:instrText>
      </w:r>
      <w:r w:rsidR="00CB0EA1" w:rsidRPr="00FF6E12">
        <w:fldChar w:fldCharType="separate"/>
      </w:r>
      <w:r w:rsidR="007D7830">
        <w:t>735</w:t>
      </w:r>
      <w:r w:rsidR="00CB0EA1" w:rsidRPr="00FF6E12">
        <w:fldChar w:fldCharType="end"/>
      </w:r>
      <w:r w:rsidR="00CB0EA1" w:rsidRPr="00FF6E12">
        <w:t>)</w:t>
      </w:r>
      <w:r w:rsidRPr="00FF6E12">
        <w:t xml:space="preserve">; Thulane Gxubane, </w:t>
      </w:r>
      <w:r w:rsidR="00CB0EA1" w:rsidRPr="00FF6E12">
        <w:t>‘</w:t>
      </w:r>
      <w:r w:rsidRPr="00FF6E12">
        <w:t>Restorative justice with youth sex offenders: Issues for practice</w:t>
      </w:r>
      <w:r w:rsidR="00CB0EA1" w:rsidRPr="00FF6E12">
        <w:t>’</w:t>
      </w:r>
      <w:r w:rsidRPr="00FF6E12">
        <w:t xml:space="preserve"> (2014) 26(2) </w:t>
      </w:r>
      <w:r w:rsidRPr="00FF6E12">
        <w:rPr>
          <w:i/>
        </w:rPr>
        <w:t>Southern African Journal of Social Work and Social Development</w:t>
      </w:r>
      <w:r w:rsidRPr="00FF6E12">
        <w:t xml:space="preserve"> 241</w:t>
      </w:r>
      <w:r w:rsidR="00CB0EA1" w:rsidRPr="00FF6E12">
        <w:t>–</w:t>
      </w:r>
      <w:r w:rsidRPr="00FF6E12">
        <w:t>259.</w:t>
      </w:r>
    </w:p>
  </w:footnote>
  <w:footnote w:id="761">
    <w:p w14:paraId="3483B4FF" w14:textId="66804FBD" w:rsidR="006774B7" w:rsidRPr="00FF6E12" w:rsidRDefault="006774B7">
      <w:pPr>
        <w:pStyle w:val="FootnoteText"/>
      </w:pPr>
      <w:r w:rsidRPr="00FF6E12">
        <w:rPr>
          <w:rStyle w:val="FootnoteReference"/>
        </w:rPr>
        <w:footnoteRef/>
      </w:r>
      <w:r w:rsidRPr="00FF6E12">
        <w:t xml:space="preserve"> See also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Pr="00FF6E12">
        <w:t>[9.50].</w:t>
      </w:r>
    </w:p>
  </w:footnote>
  <w:footnote w:id="762">
    <w:p w14:paraId="3BC3687D" w14:textId="5A57B264" w:rsidR="006774B7" w:rsidRPr="00FF6E12" w:rsidRDefault="006774B7">
      <w:pPr>
        <w:pStyle w:val="FootnoteText"/>
      </w:pPr>
      <w:r w:rsidRPr="00FF6E12">
        <w:rPr>
          <w:rStyle w:val="FootnoteReference"/>
        </w:rPr>
        <w:footnoteRef/>
      </w:r>
      <w:r w:rsidRPr="00FF6E12">
        <w:t xml:space="preserve"> </w:t>
      </w:r>
      <w:r w:rsidR="00CB0EA1" w:rsidRPr="00FF6E12">
        <w:t>Ibid.</w:t>
      </w:r>
    </w:p>
  </w:footnote>
  <w:footnote w:id="763">
    <w:p w14:paraId="528C52AF" w14:textId="07792A31" w:rsidR="006774B7" w:rsidRPr="00FF6E12" w:rsidRDefault="006774B7">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00F418DE" w:rsidRPr="00FF6E12">
        <w:t>[</w:t>
      </w:r>
      <w:r w:rsidRPr="00FF6E12">
        <w:t>18.1</w:t>
      </w:r>
      <w:r w:rsidR="00F418DE" w:rsidRPr="00FF6E12">
        <w:t>]</w:t>
      </w:r>
      <w:r w:rsidRPr="00FF6E12">
        <w:t>.</w:t>
      </w:r>
      <w:r w:rsidR="00F418DE" w:rsidRPr="00FF6E12">
        <w:t xml:space="preserve"> See also</w:t>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00F418DE" w:rsidRPr="00FF6E12">
        <w:t>R</w:t>
      </w:r>
      <w:r w:rsidRPr="00FF6E12">
        <w:t>ecommendation 58.</w:t>
      </w:r>
    </w:p>
  </w:footnote>
  <w:footnote w:id="764">
    <w:p w14:paraId="6C4CE428" w14:textId="1419C37A" w:rsidR="006774B7" w:rsidRPr="00FF6E12" w:rsidRDefault="006774B7">
      <w:pPr>
        <w:pStyle w:val="FootnoteText"/>
      </w:pPr>
      <w:r w:rsidRPr="00FF6E12">
        <w:rPr>
          <w:rStyle w:val="FootnoteReference"/>
        </w:rPr>
        <w:footnoteRef/>
      </w:r>
      <w:r w:rsidRPr="00FF6E12">
        <w:t xml:space="preserve"> See also Queensland Sentencing Advisory Council, </w:t>
      </w:r>
      <w:r w:rsidRPr="00FF6E12">
        <w:rPr>
          <w:i/>
          <w:iCs/>
        </w:rPr>
        <w:t xml:space="preserve">Sentencing of Sexual Assault and Rape: The Ripple Effect </w:t>
      </w:r>
      <w:r w:rsidRPr="00FF6E12">
        <w:t>(</w:t>
      </w:r>
      <w:r w:rsidR="00CB0EA1" w:rsidRPr="00FF6E12">
        <w:t xml:space="preserve">Final Report, </w:t>
      </w:r>
      <w:r w:rsidRPr="00FF6E12">
        <w:t xml:space="preserve">2024) 16.3; RMIT University, Centre for Innovative Justice, </w:t>
      </w:r>
      <w:r w:rsidRPr="00A920EC">
        <w:rPr>
          <w:i/>
          <w:iCs/>
        </w:rPr>
        <w:t>Restorative Justice Conferencing Pilot Program</w:t>
      </w:r>
      <w:r w:rsidRPr="00FF6E12">
        <w:t>, (</w:t>
      </w:r>
      <w:r w:rsidR="00CB0EA1" w:rsidRPr="00FF6E12">
        <w:t xml:space="preserve">Background Paper, </w:t>
      </w:r>
      <w:r w:rsidRPr="00FF6E12">
        <w:t>2016</w:t>
      </w:r>
      <w:r w:rsidR="00CB0EA1" w:rsidRPr="00FF6E12">
        <w:t>)</w:t>
      </w:r>
      <w:r w:rsidRPr="00FF6E12">
        <w:t xml:space="preserve">; </w:t>
      </w:r>
      <w:r w:rsidR="00674FC2" w:rsidRPr="00FF6E12">
        <w:t xml:space="preserve">KPMG and RMIT University Centre for Innovative Justice (n </w:t>
      </w:r>
      <w:r w:rsidR="00674FC2" w:rsidRPr="00FF6E12">
        <w:fldChar w:fldCharType="begin"/>
      </w:r>
      <w:r w:rsidR="00674FC2" w:rsidRPr="00FF6E12">
        <w:instrText xml:space="preserve"> NOTEREF _Ref217996748 \h </w:instrText>
      </w:r>
      <w:r w:rsidR="00674FC2" w:rsidRPr="00FF6E12">
        <w:fldChar w:fldCharType="separate"/>
      </w:r>
      <w:r w:rsidR="007D7830">
        <w:t>66</w:t>
      </w:r>
      <w:r w:rsidR="00674FC2" w:rsidRPr="00FF6E12">
        <w:fldChar w:fldCharType="end"/>
      </w:r>
      <w:r w:rsidR="00674FC2" w:rsidRPr="00FF6E12">
        <w:t>).</w:t>
      </w:r>
    </w:p>
  </w:footnote>
  <w:footnote w:id="765">
    <w:p w14:paraId="5CD9B18A" w14:textId="580DD739" w:rsidR="006774B7" w:rsidRPr="00FF6E12" w:rsidRDefault="006774B7">
      <w:pPr>
        <w:pStyle w:val="FootnoteText"/>
      </w:pPr>
      <w:r w:rsidRPr="00FF6E12">
        <w:rPr>
          <w:rStyle w:val="FootnoteReference"/>
        </w:rPr>
        <w:footnoteRef/>
      </w:r>
      <w:r w:rsidRPr="00FF6E12">
        <w:t xml:space="preserve"> </w:t>
      </w:r>
      <w:r w:rsidR="001332C7" w:rsidRPr="00FF6E12">
        <w:t xml:space="preserve">ALRC (n </w:t>
      </w:r>
      <w:r w:rsidR="001332C7" w:rsidRPr="00FF6E12">
        <w:fldChar w:fldCharType="begin"/>
      </w:r>
      <w:r w:rsidR="001332C7" w:rsidRPr="00FF6E12">
        <w:instrText xml:space="preserve"> NOTEREF _Ref217913617 \h </w:instrText>
      </w:r>
      <w:r w:rsidR="001332C7" w:rsidRPr="00FF6E12">
        <w:fldChar w:fldCharType="separate"/>
      </w:r>
      <w:r w:rsidR="007D7830">
        <w:t>65</w:t>
      </w:r>
      <w:r w:rsidR="001332C7" w:rsidRPr="00FF6E12">
        <w:fldChar w:fldCharType="end"/>
      </w:r>
      <w:r w:rsidR="001332C7" w:rsidRPr="00FF6E12">
        <w:t xml:space="preserve">) </w:t>
      </w:r>
      <w:r w:rsidRPr="00FF6E12">
        <w:t>[17.8].</w:t>
      </w:r>
    </w:p>
  </w:footnote>
  <w:footnote w:id="766">
    <w:p w14:paraId="267CE143" w14:textId="615DDAC8" w:rsidR="006774B7" w:rsidRPr="00FF6E12" w:rsidRDefault="006774B7">
      <w:pPr>
        <w:pStyle w:val="FootnoteText"/>
      </w:pPr>
      <w:r w:rsidRPr="00FF6E12">
        <w:rPr>
          <w:rStyle w:val="FootnoteReference"/>
        </w:rPr>
        <w:footnoteRef/>
      </w:r>
      <w:r w:rsidRPr="00FF6E12">
        <w:t xml:space="preserve"> </w:t>
      </w:r>
      <w:r w:rsidR="003A40EE" w:rsidRPr="00FF6E12">
        <w:t xml:space="preserve">Ibid </w:t>
      </w:r>
      <w:r w:rsidRPr="00FF6E12">
        <w:t xml:space="preserve">Recommendation 60. See also Appendix </w:t>
      </w:r>
      <w:r w:rsidR="00720311" w:rsidRPr="00FF6E12">
        <w:t>J</w:t>
      </w:r>
      <w:r w:rsidRPr="00FF6E12">
        <w:t xml:space="preserve"> for a summary of the operation of restorative justice processes that reflect the recommendation</w:t>
      </w:r>
      <w:r w:rsidR="003A40EE" w:rsidRPr="00FF6E12">
        <w:t>s</w:t>
      </w:r>
      <w:r w:rsidRPr="00FF6E12">
        <w:t xml:space="preserve"> of the </w:t>
      </w:r>
      <w:r w:rsidR="00223ECD" w:rsidRPr="00FF6E12">
        <w:t>ALRC</w:t>
      </w:r>
      <w:r w:rsidR="003A40EE" w:rsidRPr="00FF6E12">
        <w:t xml:space="preserve"> in ALRC (n </w:t>
      </w:r>
      <w:r w:rsidR="003A40EE" w:rsidRPr="00FF6E12">
        <w:fldChar w:fldCharType="begin"/>
      </w:r>
      <w:r w:rsidR="003A40EE" w:rsidRPr="00FF6E12">
        <w:instrText xml:space="preserve"> NOTEREF _Ref217913617 \h </w:instrText>
      </w:r>
      <w:r w:rsidR="003A40EE" w:rsidRPr="00FF6E12">
        <w:fldChar w:fldCharType="separate"/>
      </w:r>
      <w:r w:rsidR="007D7830">
        <w:t>65</w:t>
      </w:r>
      <w:r w:rsidR="003A40EE" w:rsidRPr="00FF6E12">
        <w:fldChar w:fldCharType="end"/>
      </w:r>
      <w:r w:rsidR="003A40EE" w:rsidRPr="00FF6E12">
        <w:t>)</w:t>
      </w:r>
      <w:r w:rsidRPr="00FF6E12">
        <w:t>.</w:t>
      </w:r>
    </w:p>
  </w:footnote>
  <w:footnote w:id="767">
    <w:p w14:paraId="1FDA90EC" w14:textId="11FDC71E" w:rsidR="006774B7" w:rsidRPr="00FF6E12" w:rsidRDefault="006774B7">
      <w:pPr>
        <w:pStyle w:val="FootnoteText"/>
      </w:pPr>
      <w:r w:rsidRPr="00FF6E12">
        <w:rPr>
          <w:rStyle w:val="FootnoteReference"/>
        </w:rPr>
        <w:footnoteRef/>
      </w:r>
      <w:r w:rsidRPr="00FF6E12">
        <w:t xml:space="preserve"> </w:t>
      </w:r>
      <w:r w:rsidR="003A40EE" w:rsidRPr="00FF6E12">
        <w:t xml:space="preserve">Ibid </w:t>
      </w:r>
      <w:r w:rsidR="00720311" w:rsidRPr="00FF6E12">
        <w:t>[</w:t>
      </w:r>
      <w:r w:rsidRPr="00FF6E12">
        <w:t>17.13].</w:t>
      </w:r>
    </w:p>
  </w:footnote>
  <w:footnote w:id="768">
    <w:p w14:paraId="1EF66F73" w14:textId="3967D7B2" w:rsidR="006774B7" w:rsidRPr="00FF6E12" w:rsidRDefault="006774B7">
      <w:pPr>
        <w:pStyle w:val="FootnoteText"/>
      </w:pPr>
      <w:r w:rsidRPr="00FF6E12">
        <w:rPr>
          <w:rStyle w:val="FootnoteReference"/>
        </w:rPr>
        <w:footnoteRef/>
      </w:r>
      <w:r w:rsidRPr="00FF6E12">
        <w:t xml:space="preserve"> </w:t>
      </w:r>
      <w:r w:rsidR="00F73777" w:rsidRPr="00FF6E12">
        <w:t>Lawler et al</w:t>
      </w:r>
      <w:r w:rsidR="003F309C" w:rsidRPr="00FF6E12">
        <w:t xml:space="preserve"> (n </w:t>
      </w:r>
      <w:r w:rsidR="003F309C" w:rsidRPr="00FF6E12">
        <w:fldChar w:fldCharType="begin"/>
      </w:r>
      <w:r w:rsidR="003F309C" w:rsidRPr="00FF6E12">
        <w:instrText xml:space="preserve"> NOTEREF _Ref218005998 \h </w:instrText>
      </w:r>
      <w:r w:rsidR="003F309C" w:rsidRPr="00FF6E12">
        <w:fldChar w:fldCharType="separate"/>
      </w:r>
      <w:r w:rsidR="007D7830">
        <w:t>757</w:t>
      </w:r>
      <w:r w:rsidR="003F309C" w:rsidRPr="00FF6E12">
        <w:fldChar w:fldCharType="end"/>
      </w:r>
      <w:r w:rsidR="003F309C" w:rsidRPr="00FF6E12">
        <w:t>)</w:t>
      </w:r>
      <w:r w:rsidRPr="00FF6E12">
        <w:t xml:space="preserve"> 6.</w:t>
      </w:r>
    </w:p>
  </w:footnote>
  <w:footnote w:id="769">
    <w:p w14:paraId="6F1E4DB7" w14:textId="324D80D0" w:rsidR="006774B7" w:rsidRPr="00FF6E12" w:rsidRDefault="006774B7">
      <w:pPr>
        <w:pStyle w:val="FootnoteText"/>
      </w:pPr>
      <w:r w:rsidRPr="00FF6E12">
        <w:rPr>
          <w:rStyle w:val="FootnoteReference"/>
        </w:rPr>
        <w:footnoteRef/>
      </w:r>
      <w:r w:rsidRPr="00FF6E12">
        <w:t xml:space="preserve"> </w:t>
      </w:r>
      <w:r w:rsidR="003F309C" w:rsidRPr="00FF6E12">
        <w:t>Ibid</w:t>
      </w:r>
      <w:r w:rsidR="00637421" w:rsidRPr="00FF6E12">
        <w:t>.</w:t>
      </w:r>
    </w:p>
  </w:footnote>
  <w:footnote w:id="770">
    <w:p w14:paraId="7898557F" w14:textId="0E8EAAF7" w:rsidR="006774B7" w:rsidRPr="00FF6E12" w:rsidRDefault="006774B7">
      <w:pPr>
        <w:pStyle w:val="FootnoteText"/>
      </w:pPr>
      <w:r w:rsidRPr="00FF6E12">
        <w:rPr>
          <w:rStyle w:val="FootnoteReference"/>
        </w:rPr>
        <w:footnoteRef/>
      </w:r>
      <w:r w:rsidR="003F309C" w:rsidRPr="00FF6E12">
        <w:t xml:space="preserve"> Ibid</w:t>
      </w:r>
      <w:r w:rsidR="00637421" w:rsidRPr="00FF6E12">
        <w:t xml:space="preserve"> </w:t>
      </w:r>
      <w:r w:rsidRPr="00FF6E12">
        <w:t xml:space="preserve">36. </w:t>
      </w:r>
    </w:p>
  </w:footnote>
  <w:footnote w:id="771">
    <w:p w14:paraId="0714D842" w14:textId="79721CC0" w:rsidR="006774B7" w:rsidRPr="00FF6E12" w:rsidRDefault="006774B7">
      <w:pPr>
        <w:pStyle w:val="FootnoteText"/>
      </w:pPr>
      <w:r w:rsidRPr="00FF6E12">
        <w:rPr>
          <w:rStyle w:val="FootnoteReference"/>
        </w:rPr>
        <w:footnoteRef/>
      </w:r>
      <w:r w:rsidRPr="00FF6E12">
        <w:t xml:space="preserve"> </w:t>
      </w:r>
      <w:r w:rsidR="003A40EE" w:rsidRPr="00FF6E12">
        <w:t xml:space="preserve">ALRC (n </w:t>
      </w:r>
      <w:r w:rsidR="003A40EE" w:rsidRPr="00FF6E12">
        <w:fldChar w:fldCharType="begin"/>
      </w:r>
      <w:r w:rsidR="003A40EE" w:rsidRPr="00FF6E12">
        <w:instrText xml:space="preserve"> NOTEREF _Ref217913617 \h </w:instrText>
      </w:r>
      <w:r w:rsidR="003A40EE" w:rsidRPr="00FF6E12">
        <w:fldChar w:fldCharType="separate"/>
      </w:r>
      <w:r w:rsidR="007D7830">
        <w:t>65</w:t>
      </w:r>
      <w:r w:rsidR="003A40EE" w:rsidRPr="00FF6E12">
        <w:fldChar w:fldCharType="end"/>
      </w:r>
      <w:r w:rsidR="003A40EE" w:rsidRPr="00FF6E12">
        <w:t xml:space="preserve">) </w:t>
      </w:r>
      <w:r w:rsidRPr="00FF6E12">
        <w:t>120.</w:t>
      </w:r>
    </w:p>
  </w:footnote>
  <w:footnote w:id="772">
    <w:p w14:paraId="45B91DD7" w14:textId="298113BB" w:rsidR="006774B7" w:rsidRPr="00FF6E12" w:rsidRDefault="006774B7">
      <w:pPr>
        <w:pStyle w:val="FootnoteText"/>
      </w:pPr>
      <w:r w:rsidRPr="00FF6E12">
        <w:rPr>
          <w:rStyle w:val="FootnoteReference"/>
        </w:rPr>
        <w:footnoteRef/>
      </w:r>
      <w:r w:rsidRPr="00FF6E12">
        <w:t xml:space="preserve">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Pr="00FF6E12">
        <w:t>[8.58].</w:t>
      </w:r>
    </w:p>
  </w:footnote>
  <w:footnote w:id="773">
    <w:p w14:paraId="69BA8DFB" w14:textId="17E41275" w:rsidR="006774B7" w:rsidRPr="00FF6E12" w:rsidRDefault="006774B7">
      <w:pPr>
        <w:pStyle w:val="FootnoteText"/>
      </w:pPr>
      <w:r w:rsidRPr="00FF6E12">
        <w:rPr>
          <w:rStyle w:val="FootnoteReference"/>
        </w:rPr>
        <w:footnoteRef/>
      </w:r>
      <w:r w:rsidRPr="00FF6E12">
        <w:t xml:space="preserve"> </w:t>
      </w:r>
      <w:r w:rsidR="003A40EE" w:rsidRPr="00FF6E12">
        <w:t xml:space="preserve">ALRC (n </w:t>
      </w:r>
      <w:r w:rsidR="003A40EE" w:rsidRPr="00FF6E12">
        <w:fldChar w:fldCharType="begin"/>
      </w:r>
      <w:r w:rsidR="003A40EE" w:rsidRPr="00FF6E12">
        <w:instrText xml:space="preserve"> NOTEREF _Ref217913617 \h </w:instrText>
      </w:r>
      <w:r w:rsidR="003A40EE" w:rsidRPr="00FF6E12">
        <w:fldChar w:fldCharType="separate"/>
      </w:r>
      <w:r w:rsidR="007D7830">
        <w:t>65</w:t>
      </w:r>
      <w:r w:rsidR="003A40EE" w:rsidRPr="00FF6E12">
        <w:fldChar w:fldCharType="end"/>
      </w:r>
      <w:r w:rsidR="003A40EE" w:rsidRPr="00FF6E12">
        <w:t xml:space="preserve">) </w:t>
      </w:r>
      <w:r w:rsidRPr="00FF6E12">
        <w:t>[18.43].</w:t>
      </w:r>
    </w:p>
  </w:footnote>
  <w:footnote w:id="774">
    <w:p w14:paraId="34E5BDF6" w14:textId="79672F1D" w:rsidR="006774B7" w:rsidRPr="00FF6E12" w:rsidRDefault="006774B7">
      <w:pPr>
        <w:pStyle w:val="FootnoteText"/>
      </w:pPr>
      <w:r w:rsidRPr="00FF6E12">
        <w:rPr>
          <w:rStyle w:val="FootnoteReference"/>
        </w:rPr>
        <w:footnoteRef/>
      </w:r>
      <w:r w:rsidRPr="00FF6E12">
        <w:t xml:space="preserve"> </w:t>
      </w:r>
      <w:r w:rsidR="003A40EE" w:rsidRPr="00FF6E12">
        <w:t>Ibid</w:t>
      </w:r>
      <w:r w:rsidRPr="00FF6E12">
        <w:t xml:space="preserve"> [17</w:t>
      </w:r>
      <w:r w:rsidR="003A40EE" w:rsidRPr="00FF6E12">
        <w:t>.</w:t>
      </w:r>
      <w:r w:rsidRPr="00FF6E12">
        <w:t>19].</w:t>
      </w:r>
    </w:p>
  </w:footnote>
  <w:footnote w:id="775">
    <w:p w14:paraId="6CB54FCB" w14:textId="073732B9" w:rsidR="006774B7" w:rsidRPr="00FF6E12" w:rsidRDefault="006774B7">
      <w:pPr>
        <w:pStyle w:val="FootnoteText"/>
      </w:pPr>
      <w:r w:rsidRPr="00FF6E12">
        <w:rPr>
          <w:rStyle w:val="FootnoteReference"/>
        </w:rPr>
        <w:footnoteRef/>
      </w:r>
      <w:r w:rsidRPr="00FF6E12">
        <w:t xml:space="preserve"> </w:t>
      </w:r>
      <w:r w:rsidR="003F309C" w:rsidRPr="00FF6E12">
        <w:t xml:space="preserve">Lawler et al (n </w:t>
      </w:r>
      <w:r w:rsidR="003F309C" w:rsidRPr="00FF6E12">
        <w:fldChar w:fldCharType="begin"/>
      </w:r>
      <w:r w:rsidR="003F309C" w:rsidRPr="00FF6E12">
        <w:instrText xml:space="preserve"> NOTEREF _Ref218005998 \h </w:instrText>
      </w:r>
      <w:r w:rsidR="003F309C" w:rsidRPr="00FF6E12">
        <w:fldChar w:fldCharType="separate"/>
      </w:r>
      <w:r w:rsidR="007D7830">
        <w:t>757</w:t>
      </w:r>
      <w:r w:rsidR="003F309C" w:rsidRPr="00FF6E12">
        <w:fldChar w:fldCharType="end"/>
      </w:r>
      <w:r w:rsidR="003F309C" w:rsidRPr="00FF6E12">
        <w:t xml:space="preserve">) </w:t>
      </w:r>
      <w:r w:rsidRPr="00FF6E12">
        <w:t>6.</w:t>
      </w:r>
    </w:p>
  </w:footnote>
  <w:footnote w:id="776">
    <w:p w14:paraId="02C31F41" w14:textId="3E383392" w:rsidR="006774B7" w:rsidRPr="00FF6E12" w:rsidRDefault="006774B7">
      <w:pPr>
        <w:pStyle w:val="FootnoteText"/>
      </w:pPr>
      <w:r w:rsidRPr="00FF6E12">
        <w:rPr>
          <w:rStyle w:val="FootnoteReference"/>
        </w:rPr>
        <w:footnoteRef/>
      </w:r>
      <w:r w:rsidR="003F309C" w:rsidRPr="00FF6E12">
        <w:t xml:space="preserve"> Ibid</w:t>
      </w:r>
      <w:r w:rsidR="00A343A6" w:rsidRPr="00FF6E12">
        <w:t xml:space="preserve"> </w:t>
      </w:r>
      <w:r w:rsidRPr="00FF6E12">
        <w:t xml:space="preserve">36. </w:t>
      </w:r>
    </w:p>
  </w:footnote>
  <w:footnote w:id="777">
    <w:p w14:paraId="1292A183" w14:textId="33FB8845" w:rsidR="006774B7" w:rsidRPr="00FF6E12" w:rsidRDefault="006774B7">
      <w:pPr>
        <w:pStyle w:val="FootnoteText"/>
      </w:pPr>
      <w:r w:rsidRPr="00FF6E12">
        <w:rPr>
          <w:rStyle w:val="FootnoteReference"/>
        </w:rPr>
        <w:footnoteRef/>
      </w:r>
      <w:r w:rsidRPr="00FF6E12">
        <w:t xml:space="preserve"> </w:t>
      </w:r>
      <w:r w:rsidR="003F309C" w:rsidRPr="00FF6E12">
        <w:t xml:space="preserve">Lawler et al (n </w:t>
      </w:r>
      <w:r w:rsidR="003F309C" w:rsidRPr="00FF6E12">
        <w:fldChar w:fldCharType="begin"/>
      </w:r>
      <w:r w:rsidR="003F309C" w:rsidRPr="00FF6E12">
        <w:instrText xml:space="preserve"> NOTEREF _Ref218005998 \h </w:instrText>
      </w:r>
      <w:r w:rsidR="003F309C" w:rsidRPr="00FF6E12">
        <w:fldChar w:fldCharType="separate"/>
      </w:r>
      <w:r w:rsidR="007D7830">
        <w:t>757</w:t>
      </w:r>
      <w:r w:rsidR="003F309C" w:rsidRPr="00FF6E12">
        <w:fldChar w:fldCharType="end"/>
      </w:r>
      <w:r w:rsidR="003F309C" w:rsidRPr="00FF6E12">
        <w:t>).</w:t>
      </w:r>
    </w:p>
  </w:footnote>
  <w:footnote w:id="778">
    <w:p w14:paraId="1E4AC81B" w14:textId="5D51A898" w:rsidR="006774B7" w:rsidRPr="00FF6E12" w:rsidRDefault="006774B7">
      <w:pPr>
        <w:pStyle w:val="FootnoteText"/>
      </w:pPr>
      <w:r w:rsidRPr="00FF6E12">
        <w:rPr>
          <w:rStyle w:val="FootnoteReference"/>
        </w:rPr>
        <w:footnoteRef/>
      </w:r>
      <w:r w:rsidRPr="00FF6E12">
        <w:t xml:space="preserve"> </w:t>
      </w:r>
      <w:r w:rsidR="003A40EE" w:rsidRPr="00FF6E12">
        <w:t xml:space="preserve">ALRC (n </w:t>
      </w:r>
      <w:r w:rsidR="003A40EE" w:rsidRPr="00FF6E12">
        <w:fldChar w:fldCharType="begin"/>
      </w:r>
      <w:r w:rsidR="003A40EE" w:rsidRPr="00FF6E12">
        <w:instrText xml:space="preserve"> NOTEREF _Ref217913617 \h </w:instrText>
      </w:r>
      <w:r w:rsidR="003A40EE" w:rsidRPr="00FF6E12">
        <w:fldChar w:fldCharType="separate"/>
      </w:r>
      <w:r w:rsidR="007D7830">
        <w:t>65</w:t>
      </w:r>
      <w:r w:rsidR="003A40EE" w:rsidRPr="00FF6E12">
        <w:fldChar w:fldCharType="end"/>
      </w:r>
      <w:r w:rsidR="003A40EE" w:rsidRPr="00FF6E12">
        <w:t xml:space="preserve">) </w:t>
      </w:r>
      <w:r w:rsidRPr="00FF6E12">
        <w:t>[17.20]</w:t>
      </w:r>
      <w:r w:rsidR="003A40EE" w:rsidRPr="00FF6E12">
        <w:t>–</w:t>
      </w:r>
      <w:r w:rsidRPr="00FF6E12">
        <w:t>[17.22]</w:t>
      </w:r>
      <w:r w:rsidR="003A40EE" w:rsidRPr="00FF6E12">
        <w:t>,</w:t>
      </w:r>
      <w:r w:rsidRPr="00FF6E12">
        <w:t xml:space="preserve"> </w:t>
      </w:r>
      <w:r w:rsidR="003A40EE" w:rsidRPr="00FF6E12">
        <w:t xml:space="preserve">ch </w:t>
      </w:r>
      <w:r w:rsidRPr="00FF6E12">
        <w:t>18.</w:t>
      </w:r>
    </w:p>
  </w:footnote>
  <w:footnote w:id="779">
    <w:p w14:paraId="35EB700D" w14:textId="4A12CC6F" w:rsidR="006774B7" w:rsidRPr="00FF6E12" w:rsidRDefault="006774B7">
      <w:pPr>
        <w:pStyle w:val="FootnoteText"/>
      </w:pPr>
      <w:r w:rsidRPr="00FF6E12">
        <w:rPr>
          <w:rStyle w:val="FootnoteReference"/>
        </w:rPr>
        <w:footnoteRef/>
      </w:r>
      <w:r w:rsidRPr="00FF6E12">
        <w:t xml:space="preserve"> </w:t>
      </w:r>
      <w:r w:rsidR="003A40EE" w:rsidRPr="00FF6E12">
        <w:t xml:space="preserve">Ibid </w:t>
      </w:r>
      <w:r w:rsidR="00640F1F" w:rsidRPr="00FF6E12">
        <w:t>[</w:t>
      </w:r>
      <w:r w:rsidRPr="00FF6E12">
        <w:t>18.21].</w:t>
      </w:r>
    </w:p>
  </w:footnote>
  <w:footnote w:id="780">
    <w:p w14:paraId="24367E10" w14:textId="27B7EE5D" w:rsidR="006774B7" w:rsidRPr="00FF6E12" w:rsidRDefault="006774B7" w:rsidP="00A920EC">
      <w:pPr>
        <w:pStyle w:val="FootnoteText"/>
      </w:pPr>
      <w:r w:rsidRPr="00FF6E12">
        <w:rPr>
          <w:rStyle w:val="FootnoteReference"/>
        </w:rPr>
        <w:footnoteRef/>
      </w:r>
      <w:r w:rsidR="003A40EE" w:rsidRPr="00FF6E12">
        <w:t xml:space="preserve"> Ibid</w:t>
      </w:r>
      <w:r w:rsidRPr="00FF6E12">
        <w:t xml:space="preserve"> [18.46]</w:t>
      </w:r>
      <w:r w:rsidR="00913FC8" w:rsidRPr="00FF6E12">
        <w:t xml:space="preserve">. </w:t>
      </w:r>
      <w:r w:rsidR="00250373" w:rsidRPr="00FF6E12">
        <w:t>S</w:t>
      </w:r>
      <w:r w:rsidR="00913FC8" w:rsidRPr="00FF6E12">
        <w:t xml:space="preserve">ee also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00EC7D95" w:rsidRPr="00FF6E12">
        <w:t>[9.5</w:t>
      </w:r>
      <w:r w:rsidR="00A2188A" w:rsidRPr="00FF6E12">
        <w:t>9]</w:t>
      </w:r>
      <w:r w:rsidR="00431D90" w:rsidRPr="00FF6E12">
        <w:t>–[</w:t>
      </w:r>
      <w:r w:rsidR="00250373" w:rsidRPr="00FF6E12">
        <w:t xml:space="preserve">9.130] </w:t>
      </w:r>
      <w:r w:rsidR="00CE1E1D" w:rsidRPr="00FF6E12">
        <w:t xml:space="preserve">and </w:t>
      </w:r>
      <w:r w:rsidR="00E375FD" w:rsidRPr="00FF6E12">
        <w:t xml:space="preserve">the </w:t>
      </w:r>
      <w:r w:rsidR="003F309C" w:rsidRPr="00FF6E12">
        <w:t xml:space="preserve">Queensland Women’s Safety and Justice Taskforce, </w:t>
      </w:r>
      <w:r w:rsidR="003F309C" w:rsidRPr="00A920EC">
        <w:rPr>
          <w:i/>
          <w:iCs/>
        </w:rPr>
        <w:t>Hear Her Voice – Report Two: Women and Girls’ Experiences Across the Criminal Justice System. Volume One</w:t>
      </w:r>
      <w:r w:rsidR="003F309C" w:rsidRPr="00FF6E12">
        <w:t xml:space="preserve"> (Women’s Safety and Justice Taskforce, Brisbane, 2022) ch </w:t>
      </w:r>
      <w:r w:rsidR="00CE6213" w:rsidRPr="00FF6E12">
        <w:t>2.15</w:t>
      </w:r>
      <w:r w:rsidR="00CC6A06" w:rsidRPr="00FF6E12">
        <w:t xml:space="preserve"> </w:t>
      </w:r>
      <w:r w:rsidR="00250373" w:rsidRPr="00FF6E12">
        <w:t>for a discussion of principles that should inform the use of restorative justice processes for sexual offences</w:t>
      </w:r>
      <w:r w:rsidR="005B7B26" w:rsidRPr="00FF6E12">
        <w:t xml:space="preserve"> to minimise risk</w:t>
      </w:r>
      <w:r w:rsidR="00250373" w:rsidRPr="00FF6E12">
        <w:t>.</w:t>
      </w:r>
      <w:r w:rsidR="000432CB" w:rsidRPr="00FF6E12">
        <w:t xml:space="preserve"> There are also </w:t>
      </w:r>
      <w:r w:rsidR="00682EE6" w:rsidRPr="00FF6E12">
        <w:t>restorative</w:t>
      </w:r>
      <w:r w:rsidR="00F23D20" w:rsidRPr="00FF6E12">
        <w:t xml:space="preserve"> </w:t>
      </w:r>
      <w:r w:rsidR="00682EE6" w:rsidRPr="00FF6E12">
        <w:t>justice</w:t>
      </w:r>
      <w:r w:rsidR="00F23D20" w:rsidRPr="00FF6E12">
        <w:t xml:space="preserve"> guidelines in the </w:t>
      </w:r>
      <w:r w:rsidR="00682EE6" w:rsidRPr="00FF6E12">
        <w:t>Australian</w:t>
      </w:r>
      <w:r w:rsidR="00F23D20" w:rsidRPr="00FF6E12">
        <w:t xml:space="preserve"> Capital Territory (</w:t>
      </w:r>
      <w:r w:rsidR="00D030A3" w:rsidRPr="00A920EC">
        <w:rPr>
          <w:i/>
          <w:iCs/>
        </w:rPr>
        <w:t>Crimes (Restorative Justice) Sexual and Family Violence Offences Guidelines 2018 (ACT)</w:t>
      </w:r>
      <w:r w:rsidR="00D030A3" w:rsidRPr="00FF6E12">
        <w:t>) and New Zealand (</w:t>
      </w:r>
      <w:r w:rsidR="00642902" w:rsidRPr="00A920EC">
        <w:rPr>
          <w:i/>
          <w:iCs/>
        </w:rPr>
        <w:t>Ministry of Justice (NZ), Restorative Justice Standards for Sexual Offending Cases (June 2013</w:t>
      </w:r>
      <w:r w:rsidR="006F044F" w:rsidRPr="00A920EC">
        <w:rPr>
          <w:i/>
          <w:iCs/>
        </w:rPr>
        <w:t>)</w:t>
      </w:r>
      <w:r w:rsidR="00682EE6" w:rsidRPr="00FF6E12">
        <w:t xml:space="preserve">) that </w:t>
      </w:r>
      <w:r w:rsidR="006F044F" w:rsidRPr="00FF6E12">
        <w:t xml:space="preserve">provide models for the safeguards that can be created minimise the risks of restorative </w:t>
      </w:r>
      <w:r w:rsidR="00CE1E1D" w:rsidRPr="00FF6E12">
        <w:t>justice</w:t>
      </w:r>
      <w:r w:rsidR="006F044F" w:rsidRPr="00FF6E12">
        <w:t>.</w:t>
      </w:r>
    </w:p>
  </w:footnote>
  <w:footnote w:id="781">
    <w:p w14:paraId="598EEF66" w14:textId="77350D0E" w:rsidR="006774B7" w:rsidRPr="00FF6E12" w:rsidRDefault="006774B7" w:rsidP="00A920EC">
      <w:pPr>
        <w:pStyle w:val="FootnoteText"/>
      </w:pPr>
      <w:r w:rsidRPr="00FF6E12">
        <w:rPr>
          <w:rStyle w:val="FootnoteReference"/>
        </w:rPr>
        <w:footnoteRef/>
      </w:r>
      <w:r w:rsidRPr="00FF6E12">
        <w:t xml:space="preserve"> </w:t>
      </w:r>
      <w:r w:rsidR="003F309C" w:rsidRPr="00FF6E12">
        <w:t xml:space="preserve">Lawler et al (n </w:t>
      </w:r>
      <w:r w:rsidR="003F309C" w:rsidRPr="00FF6E12">
        <w:fldChar w:fldCharType="begin"/>
      </w:r>
      <w:r w:rsidR="003F309C" w:rsidRPr="00FF6E12">
        <w:instrText xml:space="preserve"> NOTEREF _Ref218005998 \h </w:instrText>
      </w:r>
      <w:r w:rsidR="003F309C" w:rsidRPr="00FF6E12">
        <w:fldChar w:fldCharType="separate"/>
      </w:r>
      <w:r w:rsidR="007D7830">
        <w:t>757</w:t>
      </w:r>
      <w:r w:rsidR="003F309C" w:rsidRPr="00FF6E12">
        <w:fldChar w:fldCharType="end"/>
      </w:r>
      <w:r w:rsidR="003F309C" w:rsidRPr="00FF6E12">
        <w:t xml:space="preserve">) </w:t>
      </w:r>
      <w:r w:rsidRPr="00FF6E12">
        <w:t>135.</w:t>
      </w:r>
    </w:p>
  </w:footnote>
  <w:footnote w:id="782">
    <w:p w14:paraId="5B82EFC0" w14:textId="71BA6A15" w:rsidR="006774B7" w:rsidRPr="00FF6E12" w:rsidRDefault="006774B7">
      <w:pPr>
        <w:pStyle w:val="FootnoteText"/>
      </w:pPr>
      <w:r w:rsidRPr="00FF6E12">
        <w:rPr>
          <w:rStyle w:val="FootnoteReference"/>
        </w:rPr>
        <w:footnoteRef/>
      </w:r>
      <w:r w:rsidRPr="00FF6E12">
        <w:t xml:space="preserve"> </w:t>
      </w:r>
      <w:r w:rsidR="003F309C" w:rsidRPr="00FF6E12">
        <w:t>Ibid</w:t>
      </w:r>
      <w:r w:rsidR="005E1864" w:rsidRPr="00FF6E12">
        <w:t xml:space="preserve"> </w:t>
      </w:r>
      <w:r w:rsidRPr="00FF6E12">
        <w:t>141.</w:t>
      </w:r>
    </w:p>
  </w:footnote>
  <w:footnote w:id="783">
    <w:p w14:paraId="3B86D010" w14:textId="15ABFA8B" w:rsidR="00CF3B60" w:rsidRPr="00FF6E12" w:rsidRDefault="00CF3B60">
      <w:pPr>
        <w:pStyle w:val="FootnoteText"/>
      </w:pPr>
      <w:r w:rsidRPr="00FF6E12">
        <w:rPr>
          <w:rStyle w:val="FootnoteReference"/>
        </w:rPr>
        <w:footnoteRef/>
      </w:r>
      <w:r w:rsidRPr="00FF6E12">
        <w:t xml:space="preserve"> See </w:t>
      </w:r>
      <w:r w:rsidR="00787EBE" w:rsidRPr="00FF6E12">
        <w:t>Part 5</w:t>
      </w:r>
      <w:r w:rsidRPr="00FF6E12">
        <w:t>.</w:t>
      </w:r>
    </w:p>
  </w:footnote>
  <w:footnote w:id="784">
    <w:p w14:paraId="60D5062A" w14:textId="24422A5B" w:rsidR="00AE04B7" w:rsidRPr="00FF6E12" w:rsidRDefault="00AE04B7">
      <w:pPr>
        <w:pStyle w:val="FootnoteText"/>
      </w:pPr>
      <w:r w:rsidRPr="00FF6E12">
        <w:rPr>
          <w:rStyle w:val="FootnoteReference"/>
        </w:rPr>
        <w:footnoteRef/>
      </w:r>
      <w:r w:rsidRPr="00FF6E12">
        <w:t xml:space="preserve"> </w:t>
      </w:r>
      <w:r w:rsidR="001332C7" w:rsidRPr="00FF6E12">
        <w:t xml:space="preserve">Tasmanian Commission of Inquiry (n </w:t>
      </w:r>
      <w:r w:rsidR="001332C7" w:rsidRPr="00FF6E12">
        <w:fldChar w:fldCharType="begin"/>
      </w:r>
      <w:r w:rsidR="001332C7" w:rsidRPr="00FF6E12">
        <w:instrText xml:space="preserve"> NOTEREF _Ref217902008 \h </w:instrText>
      </w:r>
      <w:r w:rsidR="001332C7" w:rsidRPr="00FF6E12">
        <w:fldChar w:fldCharType="separate"/>
      </w:r>
      <w:r w:rsidR="007D7830">
        <w:t>9</w:t>
      </w:r>
      <w:r w:rsidR="001332C7" w:rsidRPr="00FF6E12">
        <w:fldChar w:fldCharType="end"/>
      </w:r>
      <w:r w:rsidR="001332C7" w:rsidRPr="00FF6E12">
        <w:t xml:space="preserve">) </w:t>
      </w:r>
      <w:r w:rsidRPr="00FF6E12">
        <w:t>Recommendation 12.13.</w:t>
      </w:r>
    </w:p>
  </w:footnote>
  <w:footnote w:id="785">
    <w:p w14:paraId="39F15238" w14:textId="36BC6E60" w:rsidR="00735A66" w:rsidRPr="00FF6E12" w:rsidRDefault="00735A66">
      <w:pPr>
        <w:pStyle w:val="FootnoteText"/>
      </w:pPr>
      <w:r w:rsidRPr="00FF6E12">
        <w:rPr>
          <w:rStyle w:val="FootnoteReference"/>
        </w:rPr>
        <w:footnoteRef/>
      </w:r>
      <w:r w:rsidRPr="00FF6E12">
        <w:t xml:space="preserve"> </w:t>
      </w:r>
      <w:r w:rsidR="001332C7" w:rsidRPr="00FF6E12">
        <w:t>Ibid</w:t>
      </w:r>
      <w:r w:rsidR="00A068EC" w:rsidRPr="00FF6E12">
        <w:t xml:space="preserve"> [5.3.7]</w:t>
      </w:r>
    </w:p>
  </w:footnote>
  <w:footnote w:id="786">
    <w:p w14:paraId="6DF5AFE0" w14:textId="051D9DEB" w:rsidR="00C35547" w:rsidRPr="00FF6E12" w:rsidRDefault="00C35547">
      <w:pPr>
        <w:pStyle w:val="FootnoteText"/>
      </w:pPr>
      <w:r w:rsidRPr="00FF6E12">
        <w:rPr>
          <w:rStyle w:val="FootnoteReference"/>
        </w:rPr>
        <w:footnoteRef/>
      </w:r>
      <w:r w:rsidRPr="00FF6E12">
        <w:t xml:space="preserve"> I</w:t>
      </w:r>
      <w:r w:rsidR="0030155D" w:rsidRPr="00FF6E12">
        <w:t xml:space="preserve">n addition to the question of whether there should be a change to the category of cases that </w:t>
      </w:r>
      <w:r w:rsidR="00ED2C5D" w:rsidRPr="00FF6E12">
        <w:t>are eligible for diversion</w:t>
      </w:r>
      <w:r w:rsidR="0028330F" w:rsidRPr="00FF6E12">
        <w:t xml:space="preserve">, it </w:t>
      </w:r>
      <w:r w:rsidRPr="00FF6E12">
        <w:t xml:space="preserve"> is a policy question a</w:t>
      </w:r>
      <w:r w:rsidR="003D15E7" w:rsidRPr="00FF6E12">
        <w:t>s to</w:t>
      </w:r>
      <w:r w:rsidRPr="00FF6E12">
        <w:t xml:space="preserve"> whether </w:t>
      </w:r>
      <w:r w:rsidR="00ED2C5D" w:rsidRPr="00FF6E12">
        <w:t xml:space="preserve">such </w:t>
      </w:r>
      <w:r w:rsidR="00F1018C" w:rsidRPr="00FF6E12">
        <w:t>cases</w:t>
      </w:r>
      <w:r w:rsidR="00ED2C5D" w:rsidRPr="00FF6E12">
        <w:t xml:space="preserve"> </w:t>
      </w:r>
      <w:r w:rsidR="005D2B50" w:rsidRPr="00FF6E12">
        <w:t xml:space="preserve">should be </w:t>
      </w:r>
      <w:r w:rsidR="00ED2C5D" w:rsidRPr="00FF6E12">
        <w:t xml:space="preserve">matters </w:t>
      </w:r>
      <w:r w:rsidR="00F1018C" w:rsidRPr="00FF6E12">
        <w:t xml:space="preserve"> that must be dealt with in the Supreme Court, and if so, whether they </w:t>
      </w:r>
      <w:r w:rsidR="00904343" w:rsidRPr="00FF6E12">
        <w:t xml:space="preserve">are matters where the Supreme Court can remit to the Youth </w:t>
      </w:r>
      <w:r w:rsidR="003F309C" w:rsidRPr="00FF6E12">
        <w:t xml:space="preserve">Justice </w:t>
      </w:r>
      <w:r w:rsidR="00904343" w:rsidRPr="00FF6E12">
        <w:t>Division</w:t>
      </w:r>
      <w:r w:rsidR="003F309C" w:rsidRPr="00FF6E12">
        <w:t>:</w:t>
      </w:r>
      <w:r w:rsidR="00904343" w:rsidRPr="00FF6E12">
        <w:t xml:space="preserve"> see</w:t>
      </w:r>
      <w:r w:rsidR="005D2B50" w:rsidRPr="00FF6E12">
        <w:t xml:space="preserve"> </w:t>
      </w:r>
      <w:r w:rsidR="003C3392" w:rsidRPr="00FF6E12">
        <w:t>[</w:t>
      </w:r>
      <w:r w:rsidR="003F309C" w:rsidRPr="00FF6E12">
        <w:fldChar w:fldCharType="begin"/>
      </w:r>
      <w:r w:rsidR="003F309C" w:rsidRPr="00FF6E12">
        <w:instrText xml:space="preserve"> REF _Ref218006352 \r \h </w:instrText>
      </w:r>
      <w:r w:rsidR="003F309C" w:rsidRPr="00FF6E12">
        <w:fldChar w:fldCharType="separate"/>
      </w:r>
      <w:r w:rsidR="007D7830">
        <w:t>5.5.7</w:t>
      </w:r>
      <w:r w:rsidR="003F309C" w:rsidRPr="00FF6E12">
        <w:fldChar w:fldCharType="end"/>
      </w:r>
      <w:r w:rsidR="003C3392" w:rsidRPr="00FF6E12">
        <w:t>] for a discussion of the power of the Supreme Court to remit matters.</w:t>
      </w:r>
    </w:p>
  </w:footnote>
  <w:footnote w:id="787">
    <w:p w14:paraId="01808301" w14:textId="5C39BC81" w:rsidR="00EA58D7" w:rsidRPr="00FF6E12" w:rsidRDefault="00EA58D7">
      <w:pPr>
        <w:pStyle w:val="FootnoteText"/>
      </w:pPr>
      <w:r w:rsidRPr="00FF6E12">
        <w:rPr>
          <w:rStyle w:val="FootnoteReference"/>
        </w:rPr>
        <w:footnoteRef/>
      </w:r>
      <w:r w:rsidRPr="00FF6E12">
        <w:t xml:space="preserve"> </w:t>
      </w:r>
      <w:r w:rsidR="00053A3B" w:rsidRPr="00A920EC">
        <w:rPr>
          <w:i/>
          <w:iCs/>
        </w:rPr>
        <w:t>Director of Public Prosecutions</w:t>
      </w:r>
      <w:r w:rsidR="00053A3B" w:rsidRPr="00FF6E12">
        <w:t xml:space="preserve"> </w:t>
      </w:r>
      <w:r w:rsidR="00DF2D07" w:rsidRPr="00FF6E12">
        <w:rPr>
          <w:i/>
        </w:rPr>
        <w:t xml:space="preserve">v NOP </w:t>
      </w:r>
      <w:r w:rsidRPr="00FF6E12">
        <w:t xml:space="preserve">[2011] TASCCA </w:t>
      </w:r>
      <w:r w:rsidR="005E77FF" w:rsidRPr="00FF6E12">
        <w:t>15.</w:t>
      </w:r>
    </w:p>
  </w:footnote>
  <w:footnote w:id="788">
    <w:p w14:paraId="24EF5E2A" w14:textId="53A55BFB" w:rsidR="001C4B12" w:rsidRPr="00FF6E12" w:rsidRDefault="001C4B12">
      <w:pPr>
        <w:pStyle w:val="FootnoteText"/>
      </w:pPr>
      <w:r w:rsidRPr="00FF6E12">
        <w:rPr>
          <w:rStyle w:val="FootnoteReference"/>
        </w:rPr>
        <w:footnoteRef/>
      </w:r>
      <w:r w:rsidRPr="00FF6E12">
        <w:t xml:space="preserve"> </w:t>
      </w:r>
      <w:r w:rsidR="00053A3B" w:rsidRPr="00A920EC">
        <w:rPr>
          <w:i/>
          <w:iCs/>
        </w:rPr>
        <w:t>Director of Public Prosecutions</w:t>
      </w:r>
      <w:r w:rsidR="00053A3B" w:rsidRPr="00FF6E12">
        <w:t xml:space="preserve"> </w:t>
      </w:r>
      <w:r w:rsidR="00CC6C16" w:rsidRPr="00FF6E12">
        <w:rPr>
          <w:i/>
        </w:rPr>
        <w:t xml:space="preserve">v NOP </w:t>
      </w:r>
      <w:r w:rsidR="00F24D14" w:rsidRPr="00FF6E12">
        <w:t>[</w:t>
      </w:r>
      <w:r w:rsidR="005E77FF" w:rsidRPr="00FF6E12">
        <w:t>2011] TASCCA 15</w:t>
      </w:r>
      <w:r w:rsidR="00F24D14" w:rsidRPr="00FF6E12">
        <w:t xml:space="preserve">, </w:t>
      </w:r>
      <w:r w:rsidRPr="00FF6E12">
        <w:t xml:space="preserve">[42] </w:t>
      </w:r>
      <w:r w:rsidR="00CF2D22">
        <w:t>(</w:t>
      </w:r>
      <w:r w:rsidRPr="00FF6E12">
        <w:t>Evans J</w:t>
      </w:r>
      <w:r w:rsidR="00CF2D22">
        <w:t>)</w:t>
      </w:r>
      <w:r w:rsidRPr="00FF6E12">
        <w:t>.</w:t>
      </w:r>
    </w:p>
  </w:footnote>
  <w:footnote w:id="789">
    <w:p w14:paraId="728417DB" w14:textId="5DE39220" w:rsidR="006070C4" w:rsidRPr="00FF6E12" w:rsidRDefault="006070C4" w:rsidP="00A920EC">
      <w:pPr>
        <w:pStyle w:val="FootnoteText"/>
      </w:pPr>
      <w:r w:rsidRPr="00FF6E12">
        <w:rPr>
          <w:rStyle w:val="FootnoteReference"/>
        </w:rPr>
        <w:footnoteRef/>
      </w:r>
      <w:r w:rsidRPr="00FF6E12">
        <w:t xml:space="preserve"> </w:t>
      </w:r>
      <w:r w:rsidR="00C826BD" w:rsidRPr="00FF6E12">
        <w:t xml:space="preserve">By way of example, </w:t>
      </w:r>
      <w:r w:rsidR="00140214" w:rsidRPr="00FF6E12">
        <w:t xml:space="preserve">it is worth noting </w:t>
      </w:r>
      <w:r w:rsidR="00CB6F1C" w:rsidRPr="00FF6E12">
        <w:t xml:space="preserve">that </w:t>
      </w:r>
      <w:r w:rsidR="00876D61" w:rsidRPr="00FF6E12">
        <w:t xml:space="preserve">some cases of indecent </w:t>
      </w:r>
      <w:r w:rsidR="007836CB" w:rsidRPr="00FF6E12">
        <w:t xml:space="preserve">sexual </w:t>
      </w:r>
      <w:r w:rsidR="00876D61" w:rsidRPr="00FF6E12">
        <w:t xml:space="preserve">assault involve very serious </w:t>
      </w:r>
      <w:r w:rsidR="00560DB7" w:rsidRPr="00FF6E12">
        <w:t>co</w:t>
      </w:r>
      <w:r w:rsidR="00984FD4" w:rsidRPr="00FF6E12">
        <w:t>nduct</w:t>
      </w:r>
      <w:r w:rsidR="00EA6363" w:rsidRPr="00FF6E12">
        <w:t>. Recent prosecutions of adults</w:t>
      </w:r>
      <w:r w:rsidR="00D47E77" w:rsidRPr="00FF6E12">
        <w:t xml:space="preserve"> that illustrate this point are</w:t>
      </w:r>
      <w:r w:rsidR="005263AB" w:rsidRPr="00FF6E12">
        <w:t>:</w:t>
      </w:r>
      <w:r w:rsidR="00984FD4" w:rsidRPr="00FF6E12">
        <w:t xml:space="preserve"> </w:t>
      </w:r>
      <w:r w:rsidR="00E00F4E" w:rsidRPr="00514B80">
        <w:rPr>
          <w:i/>
        </w:rPr>
        <w:t>Tasmania v GD</w:t>
      </w:r>
      <w:r w:rsidR="00BF223B" w:rsidRPr="00514B80">
        <w:rPr>
          <w:i/>
        </w:rPr>
        <w:t xml:space="preserve"> </w:t>
      </w:r>
      <w:r w:rsidR="00BF223B" w:rsidRPr="00514B80">
        <w:t>(7 August 2025, Wood J</w:t>
      </w:r>
      <w:r w:rsidR="00824828" w:rsidRPr="00514B80">
        <w:t xml:space="preserve">); </w:t>
      </w:r>
      <w:r w:rsidR="00BD7187" w:rsidRPr="00514B80">
        <w:rPr>
          <w:i/>
        </w:rPr>
        <w:t xml:space="preserve">Tasmania v DJS </w:t>
      </w:r>
      <w:r w:rsidR="00BD7187" w:rsidRPr="00514B80">
        <w:t>(28 August 202</w:t>
      </w:r>
      <w:r w:rsidR="00E00F4E" w:rsidRPr="00514B80">
        <w:t>4</w:t>
      </w:r>
      <w:r w:rsidR="00BD7187" w:rsidRPr="00514B80">
        <w:t xml:space="preserve">, Wood J); </w:t>
      </w:r>
      <w:r w:rsidR="006828DE" w:rsidRPr="00514B80">
        <w:rPr>
          <w:i/>
        </w:rPr>
        <w:t xml:space="preserve">Tasmania v Eastley </w:t>
      </w:r>
      <w:r w:rsidR="006828DE" w:rsidRPr="00514B80">
        <w:t>(8 February 2023, Brett J);</w:t>
      </w:r>
      <w:r w:rsidR="004C2082" w:rsidRPr="00514B80">
        <w:t xml:space="preserve"> </w:t>
      </w:r>
      <w:r w:rsidR="004C2082" w:rsidRPr="00514B80">
        <w:rPr>
          <w:i/>
        </w:rPr>
        <w:t>Tasmania v MLSC</w:t>
      </w:r>
      <w:r w:rsidR="007B310B" w:rsidRPr="00514B80">
        <w:rPr>
          <w:i/>
        </w:rPr>
        <w:t xml:space="preserve"> </w:t>
      </w:r>
      <w:r w:rsidR="007B310B" w:rsidRPr="00514B80">
        <w:t xml:space="preserve">(29 </w:t>
      </w:r>
      <w:r w:rsidR="00D00662" w:rsidRPr="00514B80">
        <w:t>September</w:t>
      </w:r>
      <w:r w:rsidR="007B310B" w:rsidRPr="00514B80">
        <w:t xml:space="preserve"> 2023</w:t>
      </w:r>
      <w:r w:rsidR="00D00662" w:rsidRPr="00514B80">
        <w:t>, Pearce J).</w:t>
      </w:r>
      <w:r w:rsidR="006828DE" w:rsidRPr="00FF6E12">
        <w:t xml:space="preserve"> </w:t>
      </w:r>
    </w:p>
  </w:footnote>
  <w:footnote w:id="790">
    <w:p w14:paraId="2A735B75" w14:textId="5E5AF633" w:rsidR="00CB46B7" w:rsidRPr="00FF6E12" w:rsidRDefault="00CB46B7">
      <w:pPr>
        <w:pStyle w:val="FootnoteText"/>
      </w:pPr>
      <w:r w:rsidRPr="00FF6E12">
        <w:rPr>
          <w:rStyle w:val="FootnoteReference"/>
        </w:rPr>
        <w:footnoteRef/>
      </w:r>
      <w:r w:rsidR="0074264D" w:rsidRPr="00FF6E12">
        <w:t xml:space="preserve"> </w:t>
      </w:r>
      <w:r w:rsidR="00083317" w:rsidRPr="00FF6E12">
        <w:t xml:space="preserve">A question is whether </w:t>
      </w:r>
      <w:r w:rsidR="0074264D" w:rsidRPr="00FF6E12">
        <w:t xml:space="preserve">there </w:t>
      </w:r>
      <w:r w:rsidR="00083317" w:rsidRPr="00FF6E12">
        <w:t xml:space="preserve">should be </w:t>
      </w:r>
      <w:r w:rsidR="00F00390" w:rsidRPr="00FF6E12">
        <w:t>legislative</w:t>
      </w:r>
      <w:r w:rsidR="006F660B" w:rsidRPr="00FF6E12">
        <w:t xml:space="preserve"> guidance as to the matters</w:t>
      </w:r>
      <w:r w:rsidR="00083317" w:rsidRPr="00FF6E12">
        <w:t xml:space="preserve"> </w:t>
      </w:r>
      <w:r w:rsidR="00845E7F" w:rsidRPr="00FF6E12">
        <w:t xml:space="preserve">that </w:t>
      </w:r>
      <w:r w:rsidR="002F4B86" w:rsidRPr="00FF6E12">
        <w:t xml:space="preserve">are </w:t>
      </w:r>
      <w:r w:rsidR="00F00390" w:rsidRPr="00FF6E12">
        <w:t>relevant to determining the applicability of the diversionary process. It is noted that</w:t>
      </w:r>
      <w:r w:rsidR="00157075" w:rsidRPr="00FF6E12">
        <w:t>,</w:t>
      </w:r>
      <w:r w:rsidR="00F00390" w:rsidRPr="00FF6E12">
        <w:t xml:space="preserve"> b</w:t>
      </w:r>
      <w:r w:rsidRPr="00FF6E12">
        <w:t>eyond the off</w:t>
      </w:r>
      <w:r w:rsidR="000E4527" w:rsidRPr="00FF6E12">
        <w:t>ence itself,</w:t>
      </w:r>
      <w:r w:rsidR="00B86455" w:rsidRPr="00FF6E12">
        <w:t xml:space="preserve"> a very wide variety of circumstances </w:t>
      </w:r>
      <w:r w:rsidR="00C92DDD" w:rsidRPr="00FF6E12">
        <w:t>may be relevant</w:t>
      </w:r>
      <w:r w:rsidR="00E341DE" w:rsidRPr="00FF6E12">
        <w:t xml:space="preserve"> at this juncture</w:t>
      </w:r>
      <w:r w:rsidR="00043768" w:rsidRPr="00FF6E12">
        <w:t>, including the ages of the offender and the victim-survivor</w:t>
      </w:r>
      <w:r w:rsidR="0079242A" w:rsidRPr="00FF6E12">
        <w:t>,</w:t>
      </w:r>
      <w:r w:rsidR="000E4527" w:rsidRPr="00FF6E12">
        <w:t xml:space="preserve"> </w:t>
      </w:r>
      <w:r w:rsidR="00645B1D" w:rsidRPr="00FF6E12">
        <w:t>any attempts by the offender to silence the</w:t>
      </w:r>
      <w:r w:rsidR="00F1361D" w:rsidRPr="00FF6E12">
        <w:t xml:space="preserve"> victim-survivor, </w:t>
      </w:r>
      <w:r w:rsidR="004868D1" w:rsidRPr="00FF6E12">
        <w:t xml:space="preserve">whether </w:t>
      </w:r>
      <w:r w:rsidR="00157075" w:rsidRPr="00FF6E12">
        <w:t xml:space="preserve">any </w:t>
      </w:r>
      <w:r w:rsidR="0065251F" w:rsidRPr="00FF6E12">
        <w:t>p</w:t>
      </w:r>
      <w:r w:rsidR="006E6C3D" w:rsidRPr="00FF6E12">
        <w:t>rior offending history</w:t>
      </w:r>
      <w:r w:rsidR="00645B1D" w:rsidRPr="00FF6E12">
        <w:t xml:space="preserve"> </w:t>
      </w:r>
      <w:r w:rsidR="004868D1" w:rsidRPr="00FF6E12">
        <w:t xml:space="preserve">indicates that </w:t>
      </w:r>
      <w:r w:rsidR="002C1FBD" w:rsidRPr="00FF6E12">
        <w:t xml:space="preserve">the offence </w:t>
      </w:r>
      <w:r w:rsidR="00157075" w:rsidRPr="00FF6E12">
        <w:t xml:space="preserve">is part of </w:t>
      </w:r>
      <w:r w:rsidR="007706F5" w:rsidRPr="00FF6E12">
        <w:t>a pattern of behaviour (possibly escala</w:t>
      </w:r>
      <w:r w:rsidR="00044BB4" w:rsidRPr="00FF6E12">
        <w:t>ting in seriousness)</w:t>
      </w:r>
      <w:r w:rsidR="00EF60EA" w:rsidRPr="00FF6E12">
        <w:t xml:space="preserve">, and so forth. </w:t>
      </w:r>
    </w:p>
  </w:footnote>
  <w:footnote w:id="791">
    <w:p w14:paraId="142B739D" w14:textId="2E751841" w:rsidR="00317F9D" w:rsidRPr="00FF6E12" w:rsidRDefault="00317F9D">
      <w:pPr>
        <w:pStyle w:val="FootnoteText"/>
      </w:pPr>
      <w:r w:rsidRPr="00FF6E12">
        <w:rPr>
          <w:rStyle w:val="FootnoteReference"/>
        </w:rPr>
        <w:footnoteRef/>
      </w:r>
      <w:r w:rsidRPr="00FF6E12">
        <w:t xml:space="preserve"> </w:t>
      </w:r>
      <w:r w:rsidR="00BF4B61" w:rsidRPr="00FF6E12">
        <w:rPr>
          <w:i/>
          <w:iCs/>
        </w:rPr>
        <w:t xml:space="preserve">Young Offender Act 1993 </w:t>
      </w:r>
      <w:r w:rsidR="00BF4B61" w:rsidRPr="00FF6E12">
        <w:t>(SA) s</w:t>
      </w:r>
      <w:r w:rsidR="00EE0FA3" w:rsidRPr="00FF6E12">
        <w:t>s</w:t>
      </w:r>
      <w:r w:rsidR="00BF4B61" w:rsidRPr="00FF6E12">
        <w:t xml:space="preserve"> 3, 6, 7</w:t>
      </w:r>
      <w:r w:rsidR="00EE0FA3" w:rsidRPr="00FF6E12">
        <w:t xml:space="preserve">. See Appendix </w:t>
      </w:r>
      <w:r w:rsidR="00A13B39" w:rsidRPr="00FF6E12">
        <w:t>I</w:t>
      </w:r>
      <w:r w:rsidR="00EE0FA3" w:rsidRPr="00FF6E12">
        <w:t>.</w:t>
      </w:r>
    </w:p>
  </w:footnote>
  <w:footnote w:id="792">
    <w:p w14:paraId="0987369A" w14:textId="62A3EFC5" w:rsidR="002A1ACB" w:rsidRPr="00FF6E12" w:rsidRDefault="002A1ACB">
      <w:pPr>
        <w:pStyle w:val="FootnoteText"/>
      </w:pPr>
      <w:r w:rsidRPr="00FF6E12">
        <w:rPr>
          <w:rStyle w:val="FootnoteReference"/>
        </w:rPr>
        <w:footnoteRef/>
      </w:r>
      <w:r w:rsidRPr="00FF6E12">
        <w:t xml:space="preserve"> A major indicatable offence is an offence with a </w:t>
      </w:r>
      <w:r w:rsidR="00586D96" w:rsidRPr="00FF6E12">
        <w:t>maximum</w:t>
      </w:r>
      <w:r w:rsidRPr="00FF6E12">
        <w:t xml:space="preserve"> term </w:t>
      </w:r>
      <w:r w:rsidR="00586D96" w:rsidRPr="00FF6E12">
        <w:t>of</w:t>
      </w:r>
      <w:r w:rsidRPr="00FF6E12">
        <w:t xml:space="preserve"> </w:t>
      </w:r>
      <w:r w:rsidR="00586D96" w:rsidRPr="00FF6E12">
        <w:t>imprisonment</w:t>
      </w:r>
      <w:r w:rsidRPr="00FF6E12">
        <w:t xml:space="preserve"> of 5 years or more</w:t>
      </w:r>
      <w:r w:rsidR="00157075" w:rsidRPr="00FF6E12">
        <w:t>:</w:t>
      </w:r>
      <w:r w:rsidRPr="00FF6E12">
        <w:t xml:space="preserve"> see </w:t>
      </w:r>
      <w:r w:rsidR="00586D96" w:rsidRPr="00FF6E12">
        <w:t xml:space="preserve">Appendix </w:t>
      </w:r>
      <w:r w:rsidR="00F24D14" w:rsidRPr="00FF6E12">
        <w:t>I</w:t>
      </w:r>
      <w:r w:rsidR="00764A21" w:rsidRPr="00FF6E12">
        <w:t>.</w:t>
      </w:r>
    </w:p>
  </w:footnote>
  <w:footnote w:id="793">
    <w:p w14:paraId="41F44B19" w14:textId="4E9D14D0" w:rsidR="0038644F" w:rsidRPr="00FF6E12" w:rsidRDefault="0038644F">
      <w:pPr>
        <w:pStyle w:val="FootnoteText"/>
      </w:pPr>
      <w:r w:rsidRPr="00FF6E12">
        <w:rPr>
          <w:rStyle w:val="FootnoteReference"/>
        </w:rPr>
        <w:footnoteRef/>
      </w:r>
      <w:r w:rsidRPr="00FF6E12">
        <w:t xml:space="preserve"> </w:t>
      </w:r>
      <w:r w:rsidR="00FE047B" w:rsidRPr="00FF6E12">
        <w:rPr>
          <w:i/>
          <w:iCs/>
        </w:rPr>
        <w:t xml:space="preserve">Young Offender Act 1993 </w:t>
      </w:r>
      <w:r w:rsidR="00FE047B" w:rsidRPr="00FF6E12">
        <w:t>(SA) s</w:t>
      </w:r>
      <w:r w:rsidR="00157075" w:rsidRPr="00FF6E12">
        <w:t>s</w:t>
      </w:r>
      <w:r w:rsidR="00FE047B" w:rsidRPr="00FF6E12">
        <w:t xml:space="preserve"> </w:t>
      </w:r>
      <w:r w:rsidR="00586D96" w:rsidRPr="00FF6E12">
        <w:t xml:space="preserve">17, 17A. See </w:t>
      </w:r>
      <w:r w:rsidR="00764A21" w:rsidRPr="00FF6E12">
        <w:t>Appendix</w:t>
      </w:r>
      <w:r w:rsidR="00586D96" w:rsidRPr="00FF6E12">
        <w:t xml:space="preserve"> </w:t>
      </w:r>
      <w:r w:rsidR="00A13B39" w:rsidRPr="00FF6E12">
        <w:t>I</w:t>
      </w:r>
      <w:r w:rsidR="00586D96" w:rsidRPr="00FF6E12">
        <w:t>.</w:t>
      </w:r>
    </w:p>
  </w:footnote>
  <w:footnote w:id="794">
    <w:p w14:paraId="258FFEBD" w14:textId="1C996F2C" w:rsidR="007A7AD3" w:rsidRPr="00FF6E12" w:rsidRDefault="007A7AD3">
      <w:pPr>
        <w:pStyle w:val="FootnoteText"/>
      </w:pPr>
      <w:r w:rsidRPr="00FF6E12">
        <w:rPr>
          <w:rStyle w:val="FootnoteReference"/>
        </w:rPr>
        <w:footnoteRef/>
      </w:r>
      <w:r w:rsidRPr="00FF6E12">
        <w:t xml:space="preserve"> </w:t>
      </w:r>
      <w:r w:rsidRPr="00A920EC">
        <w:rPr>
          <w:i/>
          <w:iCs/>
        </w:rPr>
        <w:t xml:space="preserve">Youth </w:t>
      </w:r>
      <w:r w:rsidR="00441BCF" w:rsidRPr="00A920EC">
        <w:rPr>
          <w:i/>
          <w:iCs/>
        </w:rPr>
        <w:t>Offender</w:t>
      </w:r>
      <w:r w:rsidRPr="00A920EC">
        <w:rPr>
          <w:i/>
          <w:iCs/>
        </w:rPr>
        <w:t xml:space="preserve"> Act</w:t>
      </w:r>
      <w:r w:rsidR="00441BCF" w:rsidRPr="00A920EC">
        <w:rPr>
          <w:i/>
          <w:iCs/>
        </w:rPr>
        <w:t xml:space="preserve"> 1993</w:t>
      </w:r>
      <w:r w:rsidR="00441BCF" w:rsidRPr="00FF6E12">
        <w:t xml:space="preserve"> (SA) s </w:t>
      </w:r>
      <w:r w:rsidRPr="00FF6E12">
        <w:t>17(2)</w:t>
      </w:r>
      <w:r w:rsidR="00441BCF" w:rsidRPr="00FF6E12">
        <w:t>.</w:t>
      </w:r>
    </w:p>
  </w:footnote>
  <w:footnote w:id="795">
    <w:p w14:paraId="5F2DAEFA" w14:textId="35CB6B5C" w:rsidR="00200976" w:rsidRPr="00FF6E12" w:rsidRDefault="00200976">
      <w:pPr>
        <w:pStyle w:val="FootnoteText"/>
      </w:pPr>
      <w:r w:rsidRPr="00FF6E12">
        <w:rPr>
          <w:rStyle w:val="FootnoteReference"/>
        </w:rPr>
        <w:footnoteRef/>
      </w:r>
      <w:r w:rsidRPr="00FF6E12">
        <w:t xml:space="preserve"> See discussion in [8.8.11].</w:t>
      </w:r>
      <w:r w:rsidR="00671841">
        <w:t xml:space="preserve"> </w:t>
      </w:r>
      <w:r w:rsidR="00671841" w:rsidRPr="00671841">
        <w:t>Note, in Victoria, recent reforms will automatically uplift a range of violence offences to the County Court from the Children's Court, for offenders aged 14–17. Note, none of the prescribed offences are sexual offences</w:t>
      </w:r>
      <w:r w:rsidR="00671841">
        <w:t>.</w:t>
      </w:r>
    </w:p>
  </w:footnote>
  <w:footnote w:id="796">
    <w:p w14:paraId="2C6EEEB4" w14:textId="78ABBC3C" w:rsidR="00895D44" w:rsidRPr="00FF6E12" w:rsidRDefault="00895D44">
      <w:pPr>
        <w:pStyle w:val="FootnoteText"/>
      </w:pPr>
      <w:r w:rsidRPr="00FF6E12">
        <w:rPr>
          <w:rStyle w:val="FootnoteReference"/>
        </w:rPr>
        <w:footnoteRef/>
      </w:r>
      <w:r w:rsidRPr="00FF6E12">
        <w:t xml:space="preserve"> See Appendix </w:t>
      </w:r>
      <w:r w:rsidR="00A13B39" w:rsidRPr="00FF6E12">
        <w:t>I</w:t>
      </w:r>
      <w:r w:rsidRPr="00FF6E12">
        <w:t>.</w:t>
      </w:r>
    </w:p>
  </w:footnote>
  <w:footnote w:id="797">
    <w:p w14:paraId="60685B73" w14:textId="1B248CE5" w:rsidR="00716E2A" w:rsidRPr="00FF6E12" w:rsidRDefault="00716E2A">
      <w:pPr>
        <w:pStyle w:val="FootnoteText"/>
      </w:pPr>
      <w:r w:rsidRPr="00FF6E12">
        <w:rPr>
          <w:rStyle w:val="FootnoteReference"/>
        </w:rPr>
        <w:footnoteRef/>
      </w:r>
      <w:r w:rsidRPr="00FF6E12">
        <w:t xml:space="preserve"> See </w:t>
      </w:r>
      <w:r w:rsidR="00BB2960" w:rsidRPr="00FF6E12">
        <w:t>[</w:t>
      </w:r>
      <w:r w:rsidR="00157075" w:rsidRPr="00FF6E12">
        <w:fldChar w:fldCharType="begin"/>
      </w:r>
      <w:r w:rsidR="00157075" w:rsidRPr="00FF6E12">
        <w:instrText xml:space="preserve"> REF _Ref218006615 \r \h </w:instrText>
      </w:r>
      <w:r w:rsidR="00157075" w:rsidRPr="00FF6E12">
        <w:fldChar w:fldCharType="separate"/>
      </w:r>
      <w:r w:rsidR="007D7830">
        <w:t>8.8</w:t>
      </w:r>
      <w:r w:rsidR="00157075" w:rsidRPr="00FF6E12">
        <w:fldChar w:fldCharType="end"/>
      </w:r>
      <w:r w:rsidR="00BB2960" w:rsidRPr="00FF6E12">
        <w:t xml:space="preserve">] for a discussion of </w:t>
      </w:r>
      <w:r w:rsidR="009C7147" w:rsidRPr="00FF6E12">
        <w:t xml:space="preserve">the TLRI’s views and recommendation about diversion </w:t>
      </w:r>
      <w:r w:rsidR="00FC5C22" w:rsidRPr="00FF6E12">
        <w:t>by the court.</w:t>
      </w:r>
    </w:p>
  </w:footnote>
  <w:footnote w:id="798">
    <w:p w14:paraId="671BE0F4" w14:textId="39503EB6" w:rsidR="00D82E73" w:rsidRPr="00FF6E12" w:rsidRDefault="00D82E73">
      <w:pPr>
        <w:pStyle w:val="FootnoteText"/>
      </w:pPr>
      <w:r w:rsidRPr="00FF6E12">
        <w:rPr>
          <w:rStyle w:val="FootnoteReference"/>
        </w:rPr>
        <w:footnoteRef/>
      </w:r>
      <w:r w:rsidRPr="00FF6E12">
        <w:t xml:space="preserve"> See </w:t>
      </w:r>
      <w:r w:rsidR="00644EA3" w:rsidRPr="00FF6E12">
        <w:t>[</w:t>
      </w:r>
      <w:r w:rsidR="00157075" w:rsidRPr="00FF6E12">
        <w:fldChar w:fldCharType="begin"/>
      </w:r>
      <w:r w:rsidR="00157075" w:rsidRPr="00FF6E12">
        <w:instrText xml:space="preserve"> REF _Ref218006621 \r \h </w:instrText>
      </w:r>
      <w:r w:rsidR="00157075" w:rsidRPr="00FF6E12">
        <w:fldChar w:fldCharType="separate"/>
      </w:r>
      <w:r w:rsidR="007D7830">
        <w:t>8.8</w:t>
      </w:r>
      <w:r w:rsidR="00157075" w:rsidRPr="00FF6E12">
        <w:fldChar w:fldCharType="end"/>
      </w:r>
      <w:r w:rsidR="00644EA3" w:rsidRPr="00FF6E12">
        <w:t>].</w:t>
      </w:r>
    </w:p>
  </w:footnote>
  <w:footnote w:id="799">
    <w:p w14:paraId="4B0939CB" w14:textId="27391DF4" w:rsidR="00370BDE" w:rsidRPr="00FF6E12" w:rsidRDefault="00370BDE" w:rsidP="00A920EC">
      <w:pPr>
        <w:pStyle w:val="FootnoteText"/>
        <w:jc w:val="left"/>
      </w:pPr>
      <w:r w:rsidRPr="00FF6E12">
        <w:rPr>
          <w:rStyle w:val="FootnoteReference"/>
        </w:rPr>
        <w:footnoteRef/>
      </w:r>
      <w:r w:rsidRPr="00FF6E12">
        <w:t xml:space="preserve"> </w:t>
      </w:r>
      <w:r w:rsidR="007048DF" w:rsidRPr="00FF6E12">
        <w:t>Australian</w:t>
      </w:r>
      <w:r w:rsidR="00945861" w:rsidRPr="00FF6E12">
        <w:t xml:space="preserve"> Human Rights Commission, </w:t>
      </w:r>
      <w:r w:rsidR="00606178" w:rsidRPr="00FF6E12">
        <w:rPr>
          <w:i/>
          <w:iCs/>
        </w:rPr>
        <w:t>Humans Rights Brief No 5: Best Practice principles for the Diversion of Juvenile Offenders</w:t>
      </w:r>
      <w:r w:rsidR="00157075" w:rsidRPr="00FF6E12">
        <w:t xml:space="preserve"> (2001)</w:t>
      </w:r>
      <w:r w:rsidR="00606178" w:rsidRPr="00FF6E12">
        <w:rPr>
          <w:i/>
          <w:iCs/>
        </w:rPr>
        <w:t xml:space="preserve"> </w:t>
      </w:r>
      <w:r w:rsidR="008F4321" w:rsidRPr="00FF6E12">
        <w:t>&lt;https://humanrights.gov.au/sites/default/files/content/human_rights/briefs/hrbrief5.pdf&gt;.</w:t>
      </w:r>
    </w:p>
  </w:footnote>
  <w:footnote w:id="800">
    <w:p w14:paraId="18CBF7D6" w14:textId="553EEE02" w:rsidR="00EB673B" w:rsidRPr="00FF6E12" w:rsidRDefault="00EB673B">
      <w:pPr>
        <w:pStyle w:val="FootnoteText"/>
      </w:pPr>
      <w:r w:rsidRPr="00FF6E12">
        <w:rPr>
          <w:rStyle w:val="FootnoteReference"/>
        </w:rPr>
        <w:footnoteRef/>
      </w:r>
      <w:r w:rsidRPr="00FF6E12">
        <w:t xml:space="preserve"> </w:t>
      </w:r>
      <w:r w:rsidR="00BB4423" w:rsidRPr="00A920EC">
        <w:rPr>
          <w:i/>
          <w:iCs/>
        </w:rPr>
        <w:t>Youth Justice Act 1997</w:t>
      </w:r>
      <w:r w:rsidR="00BB4423" w:rsidRPr="00FF6E12">
        <w:t xml:space="preserve"> (Tas)</w:t>
      </w:r>
      <w:r w:rsidR="003E4736" w:rsidRPr="00FF6E12">
        <w:t xml:space="preserve"> s</w:t>
      </w:r>
      <w:r w:rsidRPr="00FF6E12">
        <w:t xml:space="preserve"> 9(1).</w:t>
      </w:r>
    </w:p>
  </w:footnote>
  <w:footnote w:id="801">
    <w:p w14:paraId="7EBE0D49" w14:textId="6A98F708" w:rsidR="000468BF" w:rsidRPr="00FF6E12" w:rsidRDefault="000468BF">
      <w:pPr>
        <w:pStyle w:val="FootnoteText"/>
        <w:rPr>
          <w:highlight w:val="yellow"/>
        </w:rPr>
      </w:pPr>
      <w:r w:rsidRPr="00FF6E12">
        <w:rPr>
          <w:rStyle w:val="FootnoteReference"/>
        </w:rPr>
        <w:footnoteRef/>
      </w:r>
      <w:r w:rsidRPr="00FF6E12">
        <w:t xml:space="preserve"> Warner </w:t>
      </w:r>
      <w:r w:rsidR="00ED6F1C" w:rsidRPr="00FF6E12">
        <w:t>(</w:t>
      </w:r>
      <w:r w:rsidR="00E24A85" w:rsidRPr="00FF6E12">
        <w:t xml:space="preserve">n </w:t>
      </w:r>
      <w:r w:rsidR="00157075" w:rsidRPr="00FF6E12">
        <w:fldChar w:fldCharType="begin"/>
      </w:r>
      <w:r w:rsidR="00157075" w:rsidRPr="00FF6E12">
        <w:instrText xml:space="preserve"> NOTEREF _Ref217986586 \h </w:instrText>
      </w:r>
      <w:r w:rsidR="00157075" w:rsidRPr="00FF6E12">
        <w:fldChar w:fldCharType="separate"/>
      </w:r>
      <w:r w:rsidR="007D7830">
        <w:t>423</w:t>
      </w:r>
      <w:r w:rsidR="00157075" w:rsidRPr="00FF6E12">
        <w:fldChar w:fldCharType="end"/>
      </w:r>
      <w:r w:rsidR="00E24A85" w:rsidRPr="00FF6E12">
        <w:t>) 142</w:t>
      </w:r>
      <w:r w:rsidR="00157075" w:rsidRPr="00FF6E12">
        <w:t>.</w:t>
      </w:r>
    </w:p>
  </w:footnote>
  <w:footnote w:id="802">
    <w:p w14:paraId="4D8C6283" w14:textId="16E29DB5" w:rsidR="001734BC" w:rsidRPr="00FF6E12" w:rsidRDefault="001734BC">
      <w:pPr>
        <w:pStyle w:val="FootnoteText"/>
      </w:pPr>
      <w:r w:rsidRPr="00FF6E12">
        <w:rPr>
          <w:rStyle w:val="FootnoteReference"/>
        </w:rPr>
        <w:footnoteRef/>
      </w:r>
      <w:r w:rsidRPr="00FF6E12">
        <w:t xml:space="preserve"> </w:t>
      </w:r>
      <w:r w:rsidR="00157075" w:rsidRPr="00FF6E12">
        <w:t xml:space="preserve">John Braithwaite, ‘Thinking Harder About Democratising Social Control’ in Christine Alder and Joy Wundersitz (eds), </w:t>
      </w:r>
      <w:r w:rsidR="00157075" w:rsidRPr="00FF6E12">
        <w:rPr>
          <w:i/>
          <w:iCs/>
        </w:rPr>
        <w:t>Family Conferencing and Juvenile Justice: The Way Forward or Misplaced Optimism?</w:t>
      </w:r>
      <w:r w:rsidR="00157075" w:rsidRPr="00FF6E12">
        <w:t xml:space="preserve"> (Australian Institute of Criminology, 1994) 199, </w:t>
      </w:r>
      <w:r w:rsidR="00D42DB1" w:rsidRPr="00FF6E12">
        <w:t>205</w:t>
      </w:r>
      <w:r w:rsidR="007F51AB" w:rsidRPr="00FF6E12">
        <w:t>.</w:t>
      </w:r>
    </w:p>
  </w:footnote>
  <w:footnote w:id="803">
    <w:p w14:paraId="55E72D1C" w14:textId="70A5C35B" w:rsidR="0014070C" w:rsidRPr="00FF6E12" w:rsidRDefault="0014070C">
      <w:pPr>
        <w:pStyle w:val="FootnoteText"/>
      </w:pPr>
      <w:r w:rsidRPr="00FF6E12">
        <w:rPr>
          <w:rStyle w:val="FootnoteReference"/>
        </w:rPr>
        <w:footnoteRef/>
      </w:r>
      <w:r w:rsidRPr="00FF6E12">
        <w:t xml:space="preserve">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00E9676C" w:rsidRPr="00FF6E12">
        <w:t>[9.70].</w:t>
      </w:r>
    </w:p>
  </w:footnote>
  <w:footnote w:id="804">
    <w:p w14:paraId="347159EF" w14:textId="4E44CC1C" w:rsidR="006D58E9" w:rsidRPr="00FF6E12" w:rsidRDefault="006D58E9">
      <w:pPr>
        <w:pStyle w:val="FootnoteText"/>
      </w:pPr>
      <w:r w:rsidRPr="00FF6E12">
        <w:rPr>
          <w:rStyle w:val="FootnoteReference"/>
        </w:rPr>
        <w:footnoteRef/>
      </w:r>
      <w:r w:rsidRPr="00FF6E12">
        <w:t xml:space="preserve"> See Appendix </w:t>
      </w:r>
      <w:r w:rsidR="003E4736" w:rsidRPr="00FF6E12">
        <w:t>I</w:t>
      </w:r>
      <w:r w:rsidR="008E4D50" w:rsidRPr="00FF6E12">
        <w:t>.</w:t>
      </w:r>
    </w:p>
  </w:footnote>
  <w:footnote w:id="805">
    <w:p w14:paraId="34F05485" w14:textId="62F2745C" w:rsidR="004737A1" w:rsidRPr="00FF6E12" w:rsidRDefault="004737A1">
      <w:pPr>
        <w:pStyle w:val="FootnoteText"/>
      </w:pPr>
      <w:r w:rsidRPr="00FF6E12">
        <w:rPr>
          <w:rStyle w:val="FootnoteReference"/>
        </w:rPr>
        <w:footnoteRef/>
      </w:r>
      <w:r w:rsidRPr="00FF6E12">
        <w:t xml:space="preserve"> See Appendix </w:t>
      </w:r>
      <w:r w:rsidR="003E4736" w:rsidRPr="00FF6E12">
        <w:t>I</w:t>
      </w:r>
      <w:r w:rsidRPr="00FF6E12">
        <w:t>.</w:t>
      </w:r>
    </w:p>
  </w:footnote>
  <w:footnote w:id="806">
    <w:p w14:paraId="56F2AECC" w14:textId="3508310F" w:rsidR="00D82ADD" w:rsidRPr="00FF6E12" w:rsidRDefault="00D82ADD">
      <w:pPr>
        <w:pStyle w:val="FootnoteText"/>
      </w:pPr>
      <w:r w:rsidRPr="00FF6E12">
        <w:rPr>
          <w:rStyle w:val="FootnoteReference"/>
        </w:rPr>
        <w:footnoteRef/>
      </w:r>
      <w:r w:rsidRPr="00FF6E12">
        <w:t xml:space="preserve"> See [</w:t>
      </w:r>
      <w:r w:rsidR="00924EB3" w:rsidRPr="00924EB3">
        <w:fldChar w:fldCharType="begin"/>
      </w:r>
      <w:r w:rsidR="00924EB3" w:rsidRPr="00924EB3">
        <w:instrText xml:space="preserve"> REF _Ref218241706 \r \h </w:instrText>
      </w:r>
      <w:r w:rsidR="00924EB3" w:rsidRPr="00924EB3">
        <w:fldChar w:fldCharType="separate"/>
      </w:r>
      <w:r w:rsidR="007D7830">
        <w:t>7.6</w:t>
      </w:r>
      <w:r w:rsidR="00924EB3" w:rsidRPr="00924EB3">
        <w:fldChar w:fldCharType="end"/>
      </w:r>
      <w:r w:rsidRPr="00FF6E12">
        <w:t>].</w:t>
      </w:r>
    </w:p>
  </w:footnote>
  <w:footnote w:id="807">
    <w:p w14:paraId="4648982E" w14:textId="6C780FF5" w:rsidR="00661A9C" w:rsidRPr="00FF6E12" w:rsidRDefault="00661A9C">
      <w:pPr>
        <w:pStyle w:val="FootnoteText"/>
      </w:pPr>
      <w:r w:rsidRPr="00FF6E12">
        <w:rPr>
          <w:rStyle w:val="FootnoteReference"/>
        </w:rPr>
        <w:footnoteRef/>
      </w:r>
      <w:r w:rsidRPr="00FF6E12">
        <w:t xml:space="preserve"> </w:t>
      </w:r>
      <w:r w:rsidR="00442647" w:rsidRPr="00FF6E12">
        <w:t xml:space="preserve">White (n </w:t>
      </w:r>
      <w:r w:rsidR="00153911" w:rsidRPr="00FF6E12">
        <w:fldChar w:fldCharType="begin"/>
      </w:r>
      <w:r w:rsidR="00153911" w:rsidRPr="00FF6E12">
        <w:instrText xml:space="preserve"> NOTEREF _Ref218007071 \h </w:instrText>
      </w:r>
      <w:r w:rsidR="00153911" w:rsidRPr="00FF6E12">
        <w:fldChar w:fldCharType="separate"/>
      </w:r>
      <w:r w:rsidR="007D7830">
        <w:t>59</w:t>
      </w:r>
      <w:r w:rsidR="00153911" w:rsidRPr="00FF6E12">
        <w:fldChar w:fldCharType="end"/>
      </w:r>
      <w:r w:rsidR="00442647" w:rsidRPr="00FF6E12">
        <w:t xml:space="preserve">) </w:t>
      </w:r>
      <w:r w:rsidR="00331BF2" w:rsidRPr="00FF6E12">
        <w:t>190.</w:t>
      </w:r>
    </w:p>
  </w:footnote>
  <w:footnote w:id="808">
    <w:p w14:paraId="13D1CCA8" w14:textId="58D38563" w:rsidR="008C56D9" w:rsidRPr="00FF6E12" w:rsidRDefault="008C56D9">
      <w:pPr>
        <w:pStyle w:val="FootnoteText"/>
      </w:pPr>
      <w:r w:rsidRPr="00FF6E12">
        <w:rPr>
          <w:rStyle w:val="FootnoteReference"/>
        </w:rPr>
        <w:footnoteRef/>
      </w:r>
      <w:r w:rsidRPr="00FF6E12">
        <w:t xml:space="preserve"> </w:t>
      </w:r>
      <w:r w:rsidR="003A40EE" w:rsidRPr="00FF6E12">
        <w:t xml:space="preserve">ALRC (n </w:t>
      </w:r>
      <w:r w:rsidR="003A40EE" w:rsidRPr="00FF6E12">
        <w:fldChar w:fldCharType="begin"/>
      </w:r>
      <w:r w:rsidR="003A40EE" w:rsidRPr="00FF6E12">
        <w:instrText xml:space="preserve"> NOTEREF _Ref217913617 \h </w:instrText>
      </w:r>
      <w:r w:rsidR="003A40EE" w:rsidRPr="00FF6E12">
        <w:fldChar w:fldCharType="separate"/>
      </w:r>
      <w:r w:rsidR="007D7830">
        <w:t>65</w:t>
      </w:r>
      <w:r w:rsidR="003A40EE" w:rsidRPr="00FF6E12">
        <w:fldChar w:fldCharType="end"/>
      </w:r>
      <w:r w:rsidR="003A40EE" w:rsidRPr="00FF6E12">
        <w:t xml:space="preserve">) </w:t>
      </w:r>
      <w:r w:rsidRPr="00FF6E12">
        <w:t>[18.43].</w:t>
      </w:r>
    </w:p>
  </w:footnote>
  <w:footnote w:id="809">
    <w:p w14:paraId="4FE270A8" w14:textId="3230D3BE" w:rsidR="008C56D9" w:rsidRPr="00FF6E12" w:rsidRDefault="008C56D9">
      <w:pPr>
        <w:pStyle w:val="FootnoteText"/>
      </w:pPr>
      <w:r w:rsidRPr="00FF6E12">
        <w:rPr>
          <w:rStyle w:val="FootnoteReference"/>
        </w:rPr>
        <w:footnoteRef/>
      </w:r>
      <w:r w:rsidRPr="00FF6E12">
        <w:t xml:space="preserve"> See </w:t>
      </w:r>
      <w:r w:rsidRPr="00FC70E6">
        <w:t xml:space="preserve">discussion at </w:t>
      </w:r>
      <w:r w:rsidR="000D3FF9" w:rsidRPr="00FC70E6">
        <w:t>[</w:t>
      </w:r>
      <w:r w:rsidR="00924EB3" w:rsidRPr="00FC70E6">
        <w:fldChar w:fldCharType="begin"/>
      </w:r>
      <w:r w:rsidR="00924EB3" w:rsidRPr="00FC70E6">
        <w:instrText xml:space="preserve"> REF _Ref218241706 \r \h </w:instrText>
      </w:r>
      <w:r w:rsidR="00A12680">
        <w:instrText xml:space="preserve"> \* MERGEFORMAT </w:instrText>
      </w:r>
      <w:r w:rsidR="00924EB3" w:rsidRPr="00FC70E6">
        <w:fldChar w:fldCharType="separate"/>
      </w:r>
      <w:r w:rsidR="007D7830">
        <w:t>7.6</w:t>
      </w:r>
      <w:r w:rsidR="00924EB3" w:rsidRPr="00FC70E6">
        <w:fldChar w:fldCharType="end"/>
      </w:r>
      <w:r w:rsidR="000D3FF9" w:rsidRPr="00FF6E12">
        <w:t>]</w:t>
      </w:r>
      <w:r w:rsidRPr="00FF6E12">
        <w:t>.</w:t>
      </w:r>
    </w:p>
  </w:footnote>
  <w:footnote w:id="810">
    <w:p w14:paraId="2D3F4C24" w14:textId="7A995A8D" w:rsidR="005B598D" w:rsidRPr="00FF6E12" w:rsidRDefault="005B598D">
      <w:pPr>
        <w:pStyle w:val="FootnoteText"/>
      </w:pPr>
      <w:r w:rsidRPr="00FF6E12">
        <w:rPr>
          <w:rStyle w:val="FootnoteReference"/>
        </w:rPr>
        <w:footnoteRef/>
      </w:r>
      <w:r w:rsidRPr="00FF6E12">
        <w:t xml:space="preserve"> See </w:t>
      </w:r>
      <w:r w:rsidR="00F50E10" w:rsidRPr="00FF6E12">
        <w:t>[</w:t>
      </w:r>
      <w:r w:rsidR="00924EB3">
        <w:fldChar w:fldCharType="begin"/>
      </w:r>
      <w:r w:rsidR="00924EB3">
        <w:instrText xml:space="preserve"> REF _Ref218241751 \r \h </w:instrText>
      </w:r>
      <w:r w:rsidR="00924EB3">
        <w:fldChar w:fldCharType="separate"/>
      </w:r>
      <w:r w:rsidR="007D7830">
        <w:t>8.8</w:t>
      </w:r>
      <w:r w:rsidR="00924EB3">
        <w:fldChar w:fldCharType="end"/>
      </w:r>
      <w:r w:rsidR="00F50E10" w:rsidRPr="00FF6E12">
        <w:t>]</w:t>
      </w:r>
      <w:r w:rsidRPr="00FF6E12">
        <w:t xml:space="preserve"> for discussion of witness intermediaries.</w:t>
      </w:r>
    </w:p>
  </w:footnote>
  <w:footnote w:id="811">
    <w:p w14:paraId="017A1353" w14:textId="14BA9B72" w:rsidR="00FD7EFA" w:rsidRPr="00FF6E12" w:rsidRDefault="00FD7EFA">
      <w:pPr>
        <w:pStyle w:val="FootnoteText"/>
      </w:pPr>
      <w:r w:rsidRPr="00FF6E12">
        <w:rPr>
          <w:rStyle w:val="FootnoteReference"/>
        </w:rPr>
        <w:footnoteRef/>
      </w:r>
      <w:r w:rsidRPr="00FF6E12">
        <w:t xml:space="preserve"> See </w:t>
      </w:r>
      <w:r w:rsidR="00CD66D1" w:rsidRPr="00A920EC">
        <w:rPr>
          <w:i/>
          <w:iCs/>
        </w:rPr>
        <w:t>Youth Justice Act 1992</w:t>
      </w:r>
      <w:r w:rsidR="00CD66D1" w:rsidRPr="00FF6E12">
        <w:t xml:space="preserve"> (Qld) </w:t>
      </w:r>
      <w:r w:rsidR="008E4D50" w:rsidRPr="00FF6E12">
        <w:t xml:space="preserve">pt </w:t>
      </w:r>
      <w:r w:rsidR="00476D1E" w:rsidRPr="00FF6E12">
        <w:t>3</w:t>
      </w:r>
      <w:r w:rsidR="008E4D50" w:rsidRPr="00FF6E12">
        <w:t>.</w:t>
      </w:r>
    </w:p>
  </w:footnote>
  <w:footnote w:id="812">
    <w:p w14:paraId="2ECB6A57" w14:textId="55EA1830" w:rsidR="00953E07" w:rsidRPr="00FF6E12" w:rsidRDefault="00953E07">
      <w:pPr>
        <w:pStyle w:val="FootnoteText"/>
      </w:pPr>
      <w:r w:rsidRPr="00FF6E12">
        <w:rPr>
          <w:rStyle w:val="FootnoteReference"/>
        </w:rPr>
        <w:footnoteRef/>
      </w:r>
      <w:r w:rsidRPr="00FF6E12">
        <w:t xml:space="preserve"> </w:t>
      </w:r>
      <w:r w:rsidR="009F3224" w:rsidRPr="00A920EC">
        <w:rPr>
          <w:i/>
          <w:iCs/>
        </w:rPr>
        <w:t>Youth Justice Act 1992</w:t>
      </w:r>
      <w:r w:rsidR="009F3224" w:rsidRPr="00FF6E12">
        <w:t xml:space="preserve"> (Qld) s</w:t>
      </w:r>
      <w:r w:rsidRPr="00FF6E12">
        <w:t xml:space="preserve"> 35.</w:t>
      </w:r>
    </w:p>
  </w:footnote>
  <w:footnote w:id="813">
    <w:p w14:paraId="2A039007" w14:textId="548713DD" w:rsidR="00783D99" w:rsidRPr="00FF6E12" w:rsidRDefault="00783D99">
      <w:pPr>
        <w:pStyle w:val="FootnoteText"/>
      </w:pPr>
      <w:r w:rsidRPr="00FF6E12">
        <w:rPr>
          <w:rStyle w:val="FootnoteReference"/>
        </w:rPr>
        <w:footnoteRef/>
      </w:r>
      <w:r w:rsidRPr="00FF6E12">
        <w:t xml:space="preserve"> </w:t>
      </w:r>
      <w:r w:rsidR="00A35039" w:rsidRPr="00FF6E12">
        <w:t>Queensland Government</w:t>
      </w:r>
      <w:r w:rsidR="00CF4D3D" w:rsidRPr="00FF6E12">
        <w:t xml:space="preserve">, Department of Youth Justice and Victim Support, </w:t>
      </w:r>
      <w:r w:rsidR="00CF4D3D" w:rsidRPr="00FF6E12">
        <w:rPr>
          <w:i/>
          <w:iCs/>
        </w:rPr>
        <w:t xml:space="preserve">All programs </w:t>
      </w:r>
      <w:r w:rsidR="008E4D50" w:rsidRPr="00FF6E12">
        <w:t xml:space="preserve">(Web page, nd) </w:t>
      </w:r>
      <w:r w:rsidR="001B3513" w:rsidRPr="00FF6E12">
        <w:t>&lt;</w:t>
      </w:r>
      <w:r w:rsidR="00B737BF" w:rsidRPr="00A920EC">
        <w:t>https://www.youthjustice.qld.gov.au/programs-initiatives/programs/all</w:t>
      </w:r>
      <w:r w:rsidR="00CF4D3D" w:rsidRPr="00FF6E12">
        <w:t>&gt;</w:t>
      </w:r>
      <w:r w:rsidR="001B3513" w:rsidRPr="00FF6E12">
        <w:t>.</w:t>
      </w:r>
    </w:p>
  </w:footnote>
  <w:footnote w:id="814">
    <w:p w14:paraId="03FE7CB6" w14:textId="77777777" w:rsidR="00EC1083" w:rsidRPr="00FF6E12" w:rsidRDefault="00EC1083" w:rsidP="00A920EC">
      <w:pPr>
        <w:pStyle w:val="FootnoteText"/>
      </w:pPr>
      <w:r w:rsidRPr="00FF6E12">
        <w:rPr>
          <w:rStyle w:val="FootnoteReference"/>
        </w:rPr>
        <w:footnoteRef/>
      </w:r>
      <w:r w:rsidRPr="00FF6E12">
        <w:t xml:space="preserve"> </w:t>
      </w:r>
      <w:r w:rsidRPr="00FF6E12">
        <w:rPr>
          <w:i/>
          <w:iCs/>
        </w:rPr>
        <w:t xml:space="preserve">Youth Justice Act 1997 </w:t>
      </w:r>
      <w:r w:rsidRPr="00FF6E12">
        <w:t>(Tas) s 3 (definition of ‘prescribed offence’).</w:t>
      </w:r>
    </w:p>
  </w:footnote>
  <w:footnote w:id="815">
    <w:p w14:paraId="5502FF4C" w14:textId="4623C202" w:rsidR="00EC1083" w:rsidRPr="00FF6E12" w:rsidRDefault="00EC1083">
      <w:pPr>
        <w:pStyle w:val="FootnoteText"/>
      </w:pPr>
      <w:r w:rsidRPr="00FF6E12">
        <w:rPr>
          <w:rStyle w:val="FootnoteReference"/>
        </w:rPr>
        <w:footnoteRef/>
      </w:r>
      <w:r w:rsidRPr="00FF6E12">
        <w:t xml:space="preserve"> </w:t>
      </w:r>
      <w:r w:rsidR="008E4D50" w:rsidRPr="00FF6E12">
        <w:t>Note</w:t>
      </w:r>
      <w:r w:rsidRPr="00FF6E12">
        <w:t xml:space="preserve"> that there are indictable offences that can be heard in the Magistrates Court, including matters that may be remitted to the Magistrates Court under the </w:t>
      </w:r>
      <w:r w:rsidRPr="00FF6E12">
        <w:rPr>
          <w:i/>
          <w:iCs/>
        </w:rPr>
        <w:t xml:space="preserve">Criminal Code </w:t>
      </w:r>
      <w:r w:rsidRPr="00FF6E12">
        <w:t>(Tas) s 308</w:t>
      </w:r>
      <w:r w:rsidRPr="00FF6E12">
        <w:rPr>
          <w:i/>
          <w:iCs/>
        </w:rPr>
        <w:t xml:space="preserve">. </w:t>
      </w:r>
      <w:r w:rsidRPr="00FF6E12">
        <w:t xml:space="preserve">Charges of sexual intercourse with a young person (now </w:t>
      </w:r>
      <w:r w:rsidR="008E4D50" w:rsidRPr="00FF6E12">
        <w:t>‘</w:t>
      </w:r>
      <w:r w:rsidRPr="00FF6E12">
        <w:t>sexual penetration of a young person</w:t>
      </w:r>
      <w:r w:rsidR="008E4D50" w:rsidRPr="00FF6E12">
        <w:t>’</w:t>
      </w:r>
      <w:r w:rsidRPr="00FF6E12">
        <w:t xml:space="preserve">) contrary to the </w:t>
      </w:r>
      <w:r w:rsidRPr="00FF6E12">
        <w:rPr>
          <w:i/>
          <w:iCs/>
        </w:rPr>
        <w:t xml:space="preserve">Criminal Code </w:t>
      </w:r>
      <w:r w:rsidRPr="00FF6E12">
        <w:t xml:space="preserve">(Tas) s 124 (1) where the accused is 25 year old or younger, and the complainant is at least 15 years old, and indecent assault, contrary to the </w:t>
      </w:r>
      <w:r w:rsidRPr="00FF6E12">
        <w:rPr>
          <w:i/>
          <w:iCs/>
        </w:rPr>
        <w:t xml:space="preserve">Criminal Code </w:t>
      </w:r>
      <w:r w:rsidRPr="00FF6E12">
        <w:t>(Tas) s 127(1) where the alleged assault appears to be relatively minor</w:t>
      </w:r>
      <w:r w:rsidR="008E4D50" w:rsidRPr="00FF6E12">
        <w:t>,</w:t>
      </w:r>
      <w:r w:rsidRPr="00FF6E12">
        <w:t xml:space="preserve"> should be considered for remittal, see</w:t>
      </w:r>
      <w:r w:rsidR="00DE35CE" w:rsidRPr="00FF6E12">
        <w:t>:</w:t>
      </w:r>
      <w:r w:rsidRPr="00FF6E12">
        <w:t xml:space="preserve"> </w:t>
      </w:r>
      <w:r w:rsidR="00DE35CE" w:rsidRPr="00FF6E12">
        <w:t xml:space="preserve">Supreme Court of Tasmania, </w:t>
      </w:r>
      <w:r w:rsidR="00DE35CE" w:rsidRPr="00FF6E12">
        <w:rPr>
          <w:i/>
          <w:iCs/>
        </w:rPr>
        <w:t>Practice Direction No 2 of 2015: Remitting Of Criminal Matters To The Magistrates Court</w:t>
      </w:r>
      <w:r w:rsidR="00DE35CE" w:rsidRPr="00FF6E12">
        <w:t>, 27 October 2015</w:t>
      </w:r>
      <w:r w:rsidRPr="00FF6E12">
        <w:t xml:space="preserve">. In cases where the defendant is </w:t>
      </w:r>
      <w:r w:rsidR="008E4D50" w:rsidRPr="00FF6E12">
        <w:t xml:space="preserve">aged </w:t>
      </w:r>
      <w:r w:rsidRPr="00FF6E12">
        <w:t>under 18, these matters are heard in the Youth Justice Division.</w:t>
      </w:r>
    </w:p>
  </w:footnote>
  <w:footnote w:id="816">
    <w:p w14:paraId="6F08F4C0" w14:textId="6E052C0D" w:rsidR="00EC1083" w:rsidRPr="00FF6E12" w:rsidRDefault="00EC1083">
      <w:pPr>
        <w:pStyle w:val="FootnoteText"/>
      </w:pPr>
      <w:r w:rsidRPr="00FF6E12">
        <w:rPr>
          <w:rStyle w:val="FootnoteReference"/>
        </w:rPr>
        <w:footnoteRef/>
      </w:r>
      <w:r w:rsidRPr="00FF6E12">
        <w:t xml:space="preserve"> For 14</w:t>
      </w:r>
      <w:r w:rsidR="00DE35CE" w:rsidRPr="00FF6E12">
        <w:t>–</w:t>
      </w:r>
      <w:r w:rsidRPr="00FF6E12">
        <w:t>17</w:t>
      </w:r>
      <w:r w:rsidR="00A46B49">
        <w:t>-</w:t>
      </w:r>
      <w:r w:rsidRPr="00FF6E12">
        <w:t>year</w:t>
      </w:r>
      <w:r w:rsidR="00A46B49">
        <w:t>-</w:t>
      </w:r>
      <w:r w:rsidRPr="00FF6E12">
        <w:t>olds, there are some prescribed offences that are summary offences. Summary offences are less serious, contained in a number of different acts</w:t>
      </w:r>
      <w:r w:rsidR="008E4D50" w:rsidRPr="00FF6E12">
        <w:t>,</w:t>
      </w:r>
      <w:r w:rsidRPr="00FF6E12">
        <w:t xml:space="preserve"> and are heard in the Magistrates Court (for adult offenders and for prescribed offences for youth offenders).</w:t>
      </w:r>
    </w:p>
  </w:footnote>
  <w:footnote w:id="817">
    <w:p w14:paraId="3E61AED0" w14:textId="3B2D452A" w:rsidR="006C643C" w:rsidRPr="00FF6E12" w:rsidRDefault="006C643C">
      <w:pPr>
        <w:pStyle w:val="FootnoteText"/>
      </w:pPr>
      <w:r w:rsidRPr="00FF6E12">
        <w:rPr>
          <w:rStyle w:val="FootnoteReference"/>
        </w:rPr>
        <w:footnoteRef/>
      </w:r>
      <w:r w:rsidRPr="00FF6E12">
        <w:t xml:space="preserve"> </w:t>
      </w:r>
      <w:r w:rsidR="00A91636" w:rsidRPr="00FF6E12">
        <w:rPr>
          <w:i/>
          <w:iCs/>
        </w:rPr>
        <w:t xml:space="preserve">Criminal Code </w:t>
      </w:r>
      <w:r w:rsidR="00A91636" w:rsidRPr="00FF6E12">
        <w:t>(Tas)</w:t>
      </w:r>
      <w:r w:rsidR="003D7005" w:rsidRPr="00FF6E12">
        <w:t xml:space="preserve"> s</w:t>
      </w:r>
      <w:r w:rsidR="008E4D50" w:rsidRPr="00FF6E12">
        <w:t>s</w:t>
      </w:r>
      <w:r w:rsidRPr="00FF6E12">
        <w:t xml:space="preserve"> 308(1), </w:t>
      </w:r>
      <w:r w:rsidR="008E4D50" w:rsidRPr="00FF6E12">
        <w:t>308</w:t>
      </w:r>
      <w:r w:rsidRPr="00FF6E12">
        <w:t>(4).</w:t>
      </w:r>
    </w:p>
  </w:footnote>
  <w:footnote w:id="818">
    <w:p w14:paraId="447C2F1D" w14:textId="77777777" w:rsidR="006C643C" w:rsidRPr="00FF6E12" w:rsidRDefault="006C643C">
      <w:pPr>
        <w:pStyle w:val="FootnoteText"/>
      </w:pPr>
      <w:r w:rsidRPr="00FF6E12">
        <w:rPr>
          <w:rStyle w:val="FootnoteReference"/>
        </w:rPr>
        <w:footnoteRef/>
      </w:r>
      <w:r w:rsidRPr="00FF6E12">
        <w:t xml:space="preserve"> </w:t>
      </w:r>
      <w:r w:rsidRPr="00A920EC">
        <w:rPr>
          <w:i/>
          <w:iCs/>
        </w:rPr>
        <w:t>Youth Justice Act 1997</w:t>
      </w:r>
      <w:r w:rsidRPr="00FF6E12">
        <w:t xml:space="preserve"> (Tas) s 160.</w:t>
      </w:r>
    </w:p>
  </w:footnote>
  <w:footnote w:id="819">
    <w:p w14:paraId="52100A1B" w14:textId="5777E7F5" w:rsidR="00201527" w:rsidRPr="00FF6E12" w:rsidRDefault="00201527">
      <w:pPr>
        <w:pStyle w:val="FootnoteText"/>
      </w:pPr>
      <w:r w:rsidRPr="00FF6E12">
        <w:rPr>
          <w:rStyle w:val="FootnoteReference"/>
        </w:rPr>
        <w:footnoteRef/>
      </w:r>
      <w:r w:rsidRPr="00FF6E12">
        <w:t xml:space="preserve"> </w:t>
      </w:r>
      <w:r w:rsidR="00F93943" w:rsidRPr="00FF6E12">
        <w:t xml:space="preserve">ABS, </w:t>
      </w:r>
      <w:r w:rsidR="00C131A6" w:rsidRPr="00FF6E12">
        <w:rPr>
          <w:i/>
          <w:iCs/>
        </w:rPr>
        <w:t xml:space="preserve">Recorded Crime 2024 </w:t>
      </w:r>
      <w:r w:rsidR="00C131A6" w:rsidRPr="00FF6E12">
        <w:t xml:space="preserve">(2025) </w:t>
      </w:r>
      <w:r w:rsidRPr="00FF6E12">
        <w:t>Table 49.</w:t>
      </w:r>
    </w:p>
  </w:footnote>
  <w:footnote w:id="820">
    <w:p w14:paraId="4C607CA2" w14:textId="2E0A77F3" w:rsidR="00201527" w:rsidRPr="00FF6E12" w:rsidRDefault="00201527">
      <w:pPr>
        <w:pStyle w:val="FootnoteText"/>
      </w:pPr>
      <w:r w:rsidRPr="00FF6E12">
        <w:rPr>
          <w:rStyle w:val="FootnoteReference"/>
        </w:rPr>
        <w:footnoteRef/>
      </w:r>
      <w:r w:rsidRPr="00FF6E12">
        <w:t xml:space="preserve"> </w:t>
      </w:r>
      <w:r w:rsidR="00F93943" w:rsidRPr="00FF6E12">
        <w:t xml:space="preserve">ABS, </w:t>
      </w:r>
      <w:r w:rsidR="00C131A6" w:rsidRPr="00FF6E12">
        <w:rPr>
          <w:i/>
          <w:iCs/>
        </w:rPr>
        <w:t xml:space="preserve">Recorded Crime 2024 </w:t>
      </w:r>
      <w:r w:rsidR="00C131A6" w:rsidRPr="00FF6E12">
        <w:t xml:space="preserve">(2025) </w:t>
      </w:r>
      <w:r w:rsidRPr="00FF6E12">
        <w:t>Table 46</w:t>
      </w:r>
    </w:p>
  </w:footnote>
  <w:footnote w:id="821">
    <w:p w14:paraId="3BBCDA71" w14:textId="7EAE1D9E" w:rsidR="00D842B1" w:rsidRPr="00FF6E12" w:rsidRDefault="00D842B1" w:rsidP="00A920EC">
      <w:pPr>
        <w:pStyle w:val="FootnoteText"/>
      </w:pPr>
      <w:r w:rsidRPr="00FF6E12">
        <w:rPr>
          <w:rStyle w:val="FootnoteReference"/>
        </w:rPr>
        <w:footnoteRef/>
      </w:r>
      <w:r w:rsidRPr="00FF6E12">
        <w:t xml:space="preserve"> See </w:t>
      </w:r>
      <w:r w:rsidR="00024B48" w:rsidRPr="00FF6E12">
        <w:t>Figure 8.3</w:t>
      </w:r>
      <w:r w:rsidRPr="00FF6E12">
        <w:t>.</w:t>
      </w:r>
    </w:p>
  </w:footnote>
  <w:footnote w:id="822">
    <w:p w14:paraId="79641226" w14:textId="62A865DD" w:rsidR="006302FA" w:rsidRPr="00FF6E12" w:rsidRDefault="006302FA" w:rsidP="00A920EC">
      <w:pPr>
        <w:pStyle w:val="FootnoteText"/>
      </w:pPr>
      <w:r w:rsidRPr="00FF6E12">
        <w:rPr>
          <w:rStyle w:val="FootnoteReference"/>
        </w:rPr>
        <w:footnoteRef/>
      </w:r>
      <w:r w:rsidRPr="00FF6E12">
        <w:t xml:space="preserve"> </w:t>
      </w:r>
      <w:r w:rsidRPr="00A920EC">
        <w:rPr>
          <w:i/>
          <w:iCs/>
        </w:rPr>
        <w:t>Youth Justice Act 1997</w:t>
      </w:r>
      <w:r w:rsidR="00024B48" w:rsidRPr="00FF6E12">
        <w:t xml:space="preserve"> (Tas)</w:t>
      </w:r>
      <w:r w:rsidRPr="00FF6E12">
        <w:t xml:space="preserve"> s 37.</w:t>
      </w:r>
    </w:p>
  </w:footnote>
  <w:footnote w:id="823">
    <w:p w14:paraId="74387E76" w14:textId="74AA1C46" w:rsidR="006302FA" w:rsidRPr="00FF6E12" w:rsidRDefault="006302FA" w:rsidP="00A920EC">
      <w:pPr>
        <w:pStyle w:val="FootnoteText"/>
      </w:pPr>
      <w:r w:rsidRPr="00FF6E12">
        <w:rPr>
          <w:rStyle w:val="FootnoteReference"/>
        </w:rPr>
        <w:footnoteRef/>
      </w:r>
      <w:r w:rsidRPr="00FF6E12">
        <w:t xml:space="preserve"> </w:t>
      </w:r>
      <w:r w:rsidR="00024B48" w:rsidRPr="00A920EC">
        <w:rPr>
          <w:i/>
          <w:iCs/>
        </w:rPr>
        <w:t>Youth Justice Act 1997</w:t>
      </w:r>
      <w:r w:rsidR="00024B48" w:rsidRPr="00FF6E12">
        <w:t xml:space="preserve"> (Tas) ss</w:t>
      </w:r>
      <w:r w:rsidRPr="00FF6E12">
        <w:t xml:space="preserve"> 47</w:t>
      </w:r>
      <w:r w:rsidR="000C3550" w:rsidRPr="00FF6E12">
        <w:t>,</w:t>
      </w:r>
      <w:r w:rsidRPr="00FF6E12">
        <w:t xml:space="preserve"> 56A</w:t>
      </w:r>
      <w:r w:rsidR="00024B48" w:rsidRPr="00FF6E12">
        <w:t>.</w:t>
      </w:r>
    </w:p>
  </w:footnote>
  <w:footnote w:id="824">
    <w:p w14:paraId="2FC9A06F" w14:textId="5764A2A4" w:rsidR="00F978FF" w:rsidRPr="00FF6E12" w:rsidRDefault="00F978FF" w:rsidP="00A920EC">
      <w:pPr>
        <w:pStyle w:val="FootnoteText"/>
      </w:pPr>
      <w:r w:rsidRPr="00FF6E12">
        <w:rPr>
          <w:rStyle w:val="FootnoteReference"/>
        </w:rPr>
        <w:footnoteRef/>
      </w:r>
      <w:r w:rsidRPr="00FF6E12">
        <w:t xml:space="preserve"> </w:t>
      </w:r>
      <w:r w:rsidRPr="00A920EC">
        <w:rPr>
          <w:i/>
          <w:iCs/>
        </w:rPr>
        <w:t>Youth Justice Act 1997</w:t>
      </w:r>
      <w:r w:rsidRPr="00FF6E12">
        <w:t xml:space="preserve"> (Tas) s 4</w:t>
      </w:r>
      <w:r w:rsidR="00E16D45" w:rsidRPr="00FF6E12">
        <w:t>(e)</w:t>
      </w:r>
      <w:r w:rsidRPr="00FF6E12">
        <w:t>.</w:t>
      </w:r>
    </w:p>
  </w:footnote>
  <w:footnote w:id="825">
    <w:p w14:paraId="20AD80C6" w14:textId="267C782E" w:rsidR="00EE17D2" w:rsidRPr="00FF6E12" w:rsidRDefault="00EE17D2">
      <w:pPr>
        <w:pStyle w:val="FootnoteText"/>
      </w:pPr>
      <w:r w:rsidRPr="00FF6E12">
        <w:rPr>
          <w:rStyle w:val="FootnoteReference"/>
        </w:rPr>
        <w:footnoteRef/>
      </w:r>
      <w:r w:rsidRPr="00FF6E12">
        <w:t xml:space="preserve"> </w:t>
      </w:r>
      <w:r w:rsidR="00024B48" w:rsidRPr="00A920EC">
        <w:rPr>
          <w:i/>
          <w:iCs/>
        </w:rPr>
        <w:t>Youth Justice Act 1997</w:t>
      </w:r>
      <w:r w:rsidR="00024B48" w:rsidRPr="00FF6E12">
        <w:t xml:space="preserve"> (Tas) s </w:t>
      </w:r>
      <w:r w:rsidRPr="00FF6E12">
        <w:t>5(1)(g).</w:t>
      </w:r>
    </w:p>
  </w:footnote>
  <w:footnote w:id="826">
    <w:p w14:paraId="38C843F9" w14:textId="26D87335" w:rsidR="00712FB1" w:rsidRPr="00FF6E12" w:rsidRDefault="00712FB1" w:rsidP="00A920EC">
      <w:pPr>
        <w:pStyle w:val="FootnoteText"/>
      </w:pPr>
      <w:r w:rsidRPr="00FF6E12">
        <w:rPr>
          <w:rStyle w:val="FootnoteReference"/>
        </w:rPr>
        <w:footnoteRef/>
      </w:r>
      <w:r w:rsidRPr="00FF6E12">
        <w:t xml:space="preserve"> </w:t>
      </w:r>
      <w:r w:rsidR="00A94B21" w:rsidRPr="00FF6E12">
        <w:t>See [</w:t>
      </w:r>
      <w:r w:rsidR="00924EB3">
        <w:fldChar w:fldCharType="begin"/>
      </w:r>
      <w:r w:rsidR="00924EB3">
        <w:instrText xml:space="preserve"> REF _Ref218241840 \r \h </w:instrText>
      </w:r>
      <w:r w:rsidR="00924EB3">
        <w:fldChar w:fldCharType="separate"/>
      </w:r>
      <w:r w:rsidR="007D7830">
        <w:t>8.2</w:t>
      </w:r>
      <w:r w:rsidR="00924EB3">
        <w:fldChar w:fldCharType="end"/>
      </w:r>
      <w:r w:rsidR="00A94B21" w:rsidRPr="00FF6E12">
        <w:t>].</w:t>
      </w:r>
    </w:p>
  </w:footnote>
  <w:footnote w:id="827">
    <w:p w14:paraId="0922A62C" w14:textId="42E4F6D0" w:rsidR="001216D1" w:rsidRPr="00FF6E12" w:rsidRDefault="001216D1">
      <w:pPr>
        <w:pStyle w:val="FootnoteText"/>
      </w:pPr>
      <w:r w:rsidRPr="00FF6E12">
        <w:rPr>
          <w:rStyle w:val="FootnoteReference"/>
        </w:rPr>
        <w:footnoteRef/>
      </w:r>
      <w:r w:rsidRPr="00FF6E12">
        <w:t xml:space="preserve"> Data provided to the TLRI by the Department of Justice.</w:t>
      </w:r>
    </w:p>
  </w:footnote>
  <w:footnote w:id="828">
    <w:p w14:paraId="1AB6C39D" w14:textId="01A697A0" w:rsidR="00D55969" w:rsidRPr="00FF6E12" w:rsidRDefault="00D55969" w:rsidP="00A920EC">
      <w:pPr>
        <w:pStyle w:val="FootnoteText"/>
      </w:pPr>
      <w:r w:rsidRPr="00FF6E12">
        <w:rPr>
          <w:rStyle w:val="FootnoteReference"/>
        </w:rPr>
        <w:footnoteRef/>
      </w:r>
      <w:r w:rsidRPr="00FF6E12">
        <w:t xml:space="preserve"> The provisions in relation to court-ordered community conference are contained i</w:t>
      </w:r>
      <w:r w:rsidR="00911D15" w:rsidRPr="00FF6E12">
        <w:t xml:space="preserve">n </w:t>
      </w:r>
      <w:r w:rsidR="00FC477E" w:rsidRPr="00FF6E12">
        <w:rPr>
          <w:i/>
          <w:iCs/>
        </w:rPr>
        <w:t>Youth Justice Act 1997</w:t>
      </w:r>
      <w:r w:rsidR="00FC477E" w:rsidRPr="00FF6E12">
        <w:t xml:space="preserve"> (Tas) p</w:t>
      </w:r>
      <w:r w:rsidR="00911D15" w:rsidRPr="00FF6E12">
        <w:t>t 4</w:t>
      </w:r>
      <w:r w:rsidR="00FC477E" w:rsidRPr="00FF6E12">
        <w:t xml:space="preserve"> div 4</w:t>
      </w:r>
      <w:r w:rsidR="00911D15" w:rsidRPr="00FF6E12">
        <w:t>.</w:t>
      </w:r>
    </w:p>
  </w:footnote>
  <w:footnote w:id="829">
    <w:p w14:paraId="6B56AA30" w14:textId="6F138441" w:rsidR="002341BB" w:rsidRPr="00FF6E12" w:rsidRDefault="002341BB">
      <w:pPr>
        <w:pStyle w:val="FootnoteText"/>
      </w:pPr>
      <w:r w:rsidRPr="00FF6E12">
        <w:rPr>
          <w:rStyle w:val="FootnoteReference"/>
        </w:rPr>
        <w:footnoteRef/>
      </w:r>
      <w:r w:rsidRPr="00FF6E12">
        <w:t xml:space="preserve"> </w:t>
      </w:r>
      <w:r w:rsidR="00A20C6C" w:rsidRPr="00A920EC">
        <w:rPr>
          <w:i/>
          <w:iCs/>
        </w:rPr>
        <w:t>Youth Justice Act 1997</w:t>
      </w:r>
      <w:r w:rsidR="00A20C6C" w:rsidRPr="00FF6E12">
        <w:t xml:space="preserve"> (Tas) ss</w:t>
      </w:r>
      <w:r w:rsidRPr="00FF6E12">
        <w:t xml:space="preserve"> 40A, </w:t>
      </w:r>
      <w:r w:rsidR="00C92D9B" w:rsidRPr="00FF6E12">
        <w:t>41.</w:t>
      </w:r>
    </w:p>
  </w:footnote>
  <w:footnote w:id="830">
    <w:p w14:paraId="0DBDB0B4" w14:textId="5AC5951E" w:rsidR="00412ED6" w:rsidRPr="00FF6E12" w:rsidRDefault="00412ED6">
      <w:pPr>
        <w:pStyle w:val="FootnoteText"/>
      </w:pPr>
      <w:r w:rsidRPr="00FF6E12">
        <w:rPr>
          <w:rStyle w:val="FootnoteReference"/>
        </w:rPr>
        <w:footnoteRef/>
      </w:r>
      <w:r w:rsidRPr="00FF6E12">
        <w:t xml:space="preserve"> </w:t>
      </w:r>
      <w:r w:rsidR="00A20C6C" w:rsidRPr="00A920EC">
        <w:rPr>
          <w:i/>
          <w:iCs/>
        </w:rPr>
        <w:t>Youth Justice Act 1997</w:t>
      </w:r>
      <w:r w:rsidR="00A20C6C" w:rsidRPr="00FF6E12">
        <w:t xml:space="preserve"> (Tas) s </w:t>
      </w:r>
      <w:r w:rsidRPr="00FF6E12">
        <w:t>43</w:t>
      </w:r>
      <w:r w:rsidR="005C116E" w:rsidRPr="00FF6E12">
        <w:t>, 47</w:t>
      </w:r>
      <w:r w:rsidRPr="00FF6E12">
        <w:t>.</w:t>
      </w:r>
    </w:p>
  </w:footnote>
  <w:footnote w:id="831">
    <w:p w14:paraId="74ADA3BE" w14:textId="55A5B6EE" w:rsidR="00BB3139" w:rsidRPr="00FF6E12" w:rsidRDefault="00BB3139">
      <w:pPr>
        <w:pStyle w:val="FootnoteText"/>
      </w:pPr>
      <w:r w:rsidRPr="00FF6E12">
        <w:rPr>
          <w:rStyle w:val="FootnoteReference"/>
        </w:rPr>
        <w:footnoteRef/>
      </w:r>
      <w:r w:rsidRPr="00FF6E12">
        <w:t xml:space="preserve"> </w:t>
      </w:r>
      <w:r w:rsidR="00B563AB" w:rsidRPr="00FF6E12">
        <w:rPr>
          <w:i/>
          <w:iCs/>
        </w:rPr>
        <w:t>Sentencing</w:t>
      </w:r>
      <w:r w:rsidR="00A20C6C" w:rsidRPr="00FF6E12">
        <w:rPr>
          <w:i/>
          <w:iCs/>
        </w:rPr>
        <w:t xml:space="preserve"> Act 1997 </w:t>
      </w:r>
      <w:r w:rsidR="00A20C6C" w:rsidRPr="00FF6E12">
        <w:t>(Tas</w:t>
      </w:r>
      <w:r w:rsidR="00B563AB" w:rsidRPr="00EC6D91">
        <w:t>) ss</w:t>
      </w:r>
      <w:r w:rsidRPr="00EC6D91">
        <w:t xml:space="preserve"> 7(e</w:t>
      </w:r>
      <w:r w:rsidR="005D0FE7" w:rsidRPr="00EC6D91">
        <w:t>b</w:t>
      </w:r>
      <w:r w:rsidRPr="00EC6D91">
        <w:t xml:space="preserve">), </w:t>
      </w:r>
      <w:r w:rsidR="00E13BEA" w:rsidRPr="00EC6D91">
        <w:t>57.</w:t>
      </w:r>
    </w:p>
  </w:footnote>
  <w:footnote w:id="832">
    <w:p w14:paraId="241D1E13" w14:textId="5167B22F" w:rsidR="003D49E2" w:rsidRPr="00FF6E12" w:rsidRDefault="003D49E2">
      <w:pPr>
        <w:pStyle w:val="FootnoteText"/>
      </w:pPr>
      <w:r w:rsidRPr="00FF6E12">
        <w:rPr>
          <w:rStyle w:val="FootnoteReference"/>
        </w:rPr>
        <w:footnoteRef/>
      </w:r>
      <w:r w:rsidRPr="00FF6E12">
        <w:t xml:space="preserve"> </w:t>
      </w:r>
      <w:r w:rsidR="00B563AB" w:rsidRPr="00A920EC">
        <w:rPr>
          <w:i/>
          <w:iCs/>
        </w:rPr>
        <w:t>Sentencing Act 1997</w:t>
      </w:r>
      <w:r w:rsidR="00B563AB" w:rsidRPr="00FF6E12">
        <w:t xml:space="preserve"> (Tas) s</w:t>
      </w:r>
      <w:r w:rsidRPr="00FF6E12">
        <w:t xml:space="preserve"> 24</w:t>
      </w:r>
      <w:r w:rsidR="00B563AB" w:rsidRPr="00FF6E12">
        <w:t>.</w:t>
      </w:r>
    </w:p>
  </w:footnote>
  <w:footnote w:id="833">
    <w:p w14:paraId="29306021" w14:textId="00A8FA18" w:rsidR="00D04771" w:rsidRPr="00FF6E12" w:rsidRDefault="00D04771">
      <w:pPr>
        <w:pStyle w:val="FootnoteText"/>
      </w:pPr>
      <w:r w:rsidRPr="00FF6E12">
        <w:rPr>
          <w:rStyle w:val="FootnoteReference"/>
        </w:rPr>
        <w:footnoteRef/>
      </w:r>
      <w:r w:rsidRPr="00FF6E12">
        <w:t xml:space="preserve"> </w:t>
      </w:r>
      <w:r w:rsidR="00B563AB" w:rsidRPr="00A920EC">
        <w:rPr>
          <w:i/>
          <w:iCs/>
        </w:rPr>
        <w:t>Sentencing Act 1997</w:t>
      </w:r>
      <w:r w:rsidR="00B563AB" w:rsidRPr="00FF6E12">
        <w:t xml:space="preserve"> (Tas) </w:t>
      </w:r>
      <w:r w:rsidR="00FC477E" w:rsidRPr="00FF6E12">
        <w:t>s</w:t>
      </w:r>
      <w:r w:rsidRPr="00FF6E12">
        <w:t xml:space="preserve"> 42AP</w:t>
      </w:r>
      <w:r w:rsidR="00B563AB" w:rsidRPr="00FF6E12">
        <w:t>.</w:t>
      </w:r>
    </w:p>
  </w:footnote>
  <w:footnote w:id="834">
    <w:p w14:paraId="02B4CFED" w14:textId="6D8F24C9" w:rsidR="006019B2" w:rsidRPr="00FF6E12" w:rsidRDefault="006019B2">
      <w:pPr>
        <w:pStyle w:val="FootnoteText"/>
      </w:pPr>
      <w:r w:rsidRPr="00FF6E12">
        <w:rPr>
          <w:rStyle w:val="FootnoteReference"/>
        </w:rPr>
        <w:footnoteRef/>
      </w:r>
      <w:r w:rsidRPr="00FF6E12">
        <w:t xml:space="preserve"> </w:t>
      </w:r>
      <w:r w:rsidR="00B563AB" w:rsidRPr="00A920EC">
        <w:rPr>
          <w:i/>
          <w:iCs/>
        </w:rPr>
        <w:t>Sentencing Act 1997</w:t>
      </w:r>
      <w:r w:rsidR="00B563AB" w:rsidRPr="00FF6E12">
        <w:t xml:space="preserve"> (Tas) s</w:t>
      </w:r>
      <w:r w:rsidRPr="00FF6E12">
        <w:t xml:space="preserve"> 42AD.</w:t>
      </w:r>
    </w:p>
  </w:footnote>
  <w:footnote w:id="835">
    <w:p w14:paraId="51E78078" w14:textId="27832A75" w:rsidR="00D34448" w:rsidRPr="00FF6E12" w:rsidRDefault="00D34448">
      <w:pPr>
        <w:pStyle w:val="FootnoteText"/>
      </w:pPr>
      <w:r w:rsidRPr="00FF6E12">
        <w:rPr>
          <w:rStyle w:val="FootnoteReference"/>
        </w:rPr>
        <w:footnoteRef/>
      </w:r>
      <w:r w:rsidRPr="00FF6E12">
        <w:t xml:space="preserve"> </w:t>
      </w:r>
      <w:r w:rsidRPr="00A920EC">
        <w:rPr>
          <w:i/>
          <w:iCs/>
        </w:rPr>
        <w:t>Youth Justice Act 1997</w:t>
      </w:r>
      <w:r w:rsidRPr="00FF6E12">
        <w:t xml:space="preserve"> (Tas) s 107(2).</w:t>
      </w:r>
    </w:p>
  </w:footnote>
  <w:footnote w:id="836">
    <w:p w14:paraId="393851B0" w14:textId="34874918" w:rsidR="00D34448" w:rsidRPr="00FF6E12" w:rsidRDefault="00D34448">
      <w:pPr>
        <w:pStyle w:val="FootnoteText"/>
      </w:pPr>
      <w:r w:rsidRPr="00FF6E12">
        <w:rPr>
          <w:rStyle w:val="FootnoteReference"/>
        </w:rPr>
        <w:footnoteRef/>
      </w:r>
      <w:r w:rsidRPr="00FF6E12">
        <w:t xml:space="preserve"> See </w:t>
      </w:r>
      <w:r w:rsidR="00C472F8" w:rsidRPr="00FF6E12">
        <w:t>Part 5</w:t>
      </w:r>
      <w:r w:rsidRPr="00FF6E12">
        <w:t xml:space="preserve">. </w:t>
      </w:r>
    </w:p>
  </w:footnote>
  <w:footnote w:id="837">
    <w:p w14:paraId="40A2B277" w14:textId="6E009E0C" w:rsidR="00D34448" w:rsidRPr="00FF6E12" w:rsidRDefault="00D34448">
      <w:pPr>
        <w:pStyle w:val="FootnoteText"/>
      </w:pPr>
      <w:r w:rsidRPr="00FF6E12">
        <w:rPr>
          <w:rStyle w:val="FootnoteReference"/>
        </w:rPr>
        <w:footnoteRef/>
      </w:r>
      <w:r w:rsidRPr="00FF6E12">
        <w:t xml:space="preserve"> </w:t>
      </w:r>
      <w:r w:rsidR="00AD3D48" w:rsidRPr="00A920EC">
        <w:rPr>
          <w:i/>
          <w:iCs/>
        </w:rPr>
        <w:t>Youth Justice Act 1997</w:t>
      </w:r>
      <w:r w:rsidR="00AD3D48" w:rsidRPr="00FF6E12">
        <w:t xml:space="preserve"> (Tas) s</w:t>
      </w:r>
      <w:r w:rsidRPr="00FF6E12">
        <w:t xml:space="preserve"> 81.</w:t>
      </w:r>
    </w:p>
  </w:footnote>
  <w:footnote w:id="838">
    <w:p w14:paraId="2F0BF111" w14:textId="28BC2081" w:rsidR="00D34448" w:rsidRPr="00FF6E12" w:rsidRDefault="00D34448">
      <w:pPr>
        <w:pStyle w:val="FootnoteText"/>
      </w:pPr>
      <w:r w:rsidRPr="00FF6E12">
        <w:rPr>
          <w:rStyle w:val="FootnoteReference"/>
        </w:rPr>
        <w:footnoteRef/>
      </w:r>
      <w:r w:rsidRPr="00FF6E12">
        <w:t xml:space="preserve"> </w:t>
      </w:r>
      <w:r w:rsidR="00E77955" w:rsidRPr="00A920EC">
        <w:rPr>
          <w:i/>
          <w:iCs/>
        </w:rPr>
        <w:t>Sentencing Act 1997</w:t>
      </w:r>
      <w:r w:rsidR="00E77955" w:rsidRPr="00FF6E12">
        <w:t xml:space="preserve"> (Tas) s</w:t>
      </w:r>
      <w:r w:rsidRPr="00FF6E12">
        <w:t xml:space="preserve"> 107(2).</w:t>
      </w:r>
    </w:p>
  </w:footnote>
  <w:footnote w:id="839">
    <w:p w14:paraId="782BD51E" w14:textId="22EF6CF1" w:rsidR="00D34448" w:rsidRPr="00FF6E12" w:rsidRDefault="00D34448">
      <w:pPr>
        <w:pStyle w:val="FootnoteText"/>
      </w:pPr>
      <w:r w:rsidRPr="00FF6E12">
        <w:rPr>
          <w:rStyle w:val="FootnoteReference"/>
        </w:rPr>
        <w:footnoteRef/>
      </w:r>
      <w:r w:rsidRPr="00FF6E12">
        <w:t xml:space="preserve"> </w:t>
      </w:r>
      <w:r w:rsidRPr="00FF6E12">
        <w:rPr>
          <w:i/>
          <w:iCs/>
        </w:rPr>
        <w:t xml:space="preserve">Sentencing Act 1997 </w:t>
      </w:r>
      <w:r w:rsidRPr="00FF6E12">
        <w:t>(Tas) s</w:t>
      </w:r>
      <w:r w:rsidR="0060564E">
        <w:t>s</w:t>
      </w:r>
      <w:r w:rsidRPr="00FF6E12">
        <w:t xml:space="preserve"> 3(c), </w:t>
      </w:r>
      <w:r w:rsidR="005D0FE7" w:rsidRPr="00FF6E12">
        <w:t>3</w:t>
      </w:r>
      <w:r w:rsidRPr="00FF6E12">
        <w:t xml:space="preserve">(e). </w:t>
      </w:r>
    </w:p>
  </w:footnote>
  <w:footnote w:id="840">
    <w:p w14:paraId="4A9EAEFF" w14:textId="7C18A006" w:rsidR="0047330B" w:rsidRPr="00FF6E12" w:rsidRDefault="0047330B" w:rsidP="00A920EC">
      <w:pPr>
        <w:pStyle w:val="FootnoteText"/>
      </w:pPr>
      <w:r w:rsidRPr="00FF6E12">
        <w:rPr>
          <w:rStyle w:val="FootnoteReference"/>
        </w:rPr>
        <w:footnoteRef/>
      </w:r>
      <w:r w:rsidRPr="00FF6E12">
        <w:t xml:space="preserve"> </w:t>
      </w:r>
      <w:r w:rsidR="00E77955" w:rsidRPr="00FF6E12">
        <w:rPr>
          <w:i/>
          <w:iCs/>
        </w:rPr>
        <w:t xml:space="preserve">Sentencing Act 1997 </w:t>
      </w:r>
      <w:r w:rsidR="00E77955" w:rsidRPr="00FF6E12">
        <w:t>(Tas)</w:t>
      </w:r>
      <w:r w:rsidR="005D0FE7" w:rsidRPr="00FF6E12">
        <w:t xml:space="preserve"> s</w:t>
      </w:r>
      <w:r w:rsidR="00E77955" w:rsidRPr="00FF6E12">
        <w:t>s</w:t>
      </w:r>
      <w:r w:rsidRPr="00FF6E12">
        <w:t xml:space="preserve"> 11A(1), </w:t>
      </w:r>
      <w:r w:rsidR="005D0FE7" w:rsidRPr="00FF6E12">
        <w:t>11</w:t>
      </w:r>
      <w:r w:rsidRPr="00FF6E12">
        <w:t>(2)(a).</w:t>
      </w:r>
    </w:p>
  </w:footnote>
  <w:footnote w:id="841">
    <w:p w14:paraId="6C33C95A" w14:textId="1E6F6E9E" w:rsidR="00EF714A" w:rsidRPr="00FF6E12" w:rsidRDefault="00EF714A">
      <w:pPr>
        <w:pStyle w:val="FootnoteText"/>
      </w:pPr>
      <w:r w:rsidRPr="00FF6E12">
        <w:rPr>
          <w:rStyle w:val="FootnoteReference"/>
        </w:rPr>
        <w:footnoteRef/>
      </w:r>
      <w:r w:rsidRPr="00FF6E12">
        <w:t xml:space="preserve"> </w:t>
      </w:r>
      <w:r w:rsidR="00053A3B" w:rsidRPr="00E45533">
        <w:rPr>
          <w:i/>
          <w:iCs/>
        </w:rPr>
        <w:t>Director of Public Prosecutions</w:t>
      </w:r>
      <w:r w:rsidR="00053A3B" w:rsidRPr="00E45533">
        <w:t xml:space="preserve"> </w:t>
      </w:r>
      <w:r w:rsidR="000C3B7D" w:rsidRPr="00E45533">
        <w:rPr>
          <w:i/>
          <w:iCs/>
        </w:rPr>
        <w:t xml:space="preserve">v </w:t>
      </w:r>
      <w:r w:rsidR="005D0FE7" w:rsidRPr="00E45533">
        <w:rPr>
          <w:i/>
          <w:iCs/>
        </w:rPr>
        <w:t>JS</w:t>
      </w:r>
      <w:r w:rsidR="000C3B7D" w:rsidRPr="00E45533">
        <w:rPr>
          <w:i/>
          <w:iCs/>
        </w:rPr>
        <w:t xml:space="preserve">P </w:t>
      </w:r>
      <w:r w:rsidRPr="00E45533">
        <w:t>[20</w:t>
      </w:r>
      <w:r w:rsidR="002A1D32" w:rsidRPr="00E45533">
        <w:t>20] TASCCA 3.</w:t>
      </w:r>
    </w:p>
  </w:footnote>
  <w:footnote w:id="842">
    <w:p w14:paraId="33CEDCC6" w14:textId="5CEFD577" w:rsidR="00E52A24" w:rsidRPr="00E45533" w:rsidRDefault="00E52A24">
      <w:pPr>
        <w:pStyle w:val="FootnoteText"/>
      </w:pPr>
      <w:r w:rsidRPr="00E45533">
        <w:rPr>
          <w:rStyle w:val="FootnoteReference"/>
        </w:rPr>
        <w:footnoteRef/>
      </w:r>
      <w:r w:rsidRPr="00E45533">
        <w:t xml:space="preserve"> </w:t>
      </w:r>
      <w:r w:rsidR="00631EFE" w:rsidRPr="00E45533">
        <w:rPr>
          <w:i/>
          <w:iCs/>
        </w:rPr>
        <w:t xml:space="preserve">Director of Public Prosecutions </w:t>
      </w:r>
      <w:r w:rsidR="000C3B7D" w:rsidRPr="00E45533">
        <w:rPr>
          <w:i/>
          <w:iCs/>
        </w:rPr>
        <w:t xml:space="preserve">v </w:t>
      </w:r>
      <w:r w:rsidR="005D0FE7" w:rsidRPr="00E45533">
        <w:rPr>
          <w:i/>
          <w:iCs/>
        </w:rPr>
        <w:t>JS</w:t>
      </w:r>
      <w:r w:rsidR="000C3B7D" w:rsidRPr="00E45533">
        <w:rPr>
          <w:i/>
          <w:iCs/>
        </w:rPr>
        <w:t xml:space="preserve">P </w:t>
      </w:r>
      <w:r w:rsidR="00E77955" w:rsidRPr="00E45533">
        <w:t>[2020] TASCCA 3</w:t>
      </w:r>
      <w:r w:rsidR="00CF2D22">
        <w:t>,</w:t>
      </w:r>
      <w:r w:rsidR="00E77955" w:rsidRPr="00E45533">
        <w:t xml:space="preserve"> </w:t>
      </w:r>
      <w:r w:rsidRPr="00E45533">
        <w:t>[93]</w:t>
      </w:r>
      <w:r w:rsidR="00684DD2" w:rsidRPr="00E45533">
        <w:t xml:space="preserve"> (Pearce J)</w:t>
      </w:r>
      <w:r w:rsidR="00924EB3" w:rsidRPr="00E45533">
        <w:t>.</w:t>
      </w:r>
    </w:p>
  </w:footnote>
  <w:footnote w:id="843">
    <w:p w14:paraId="4EDECCBD" w14:textId="4F407CC8" w:rsidR="00D44BFC" w:rsidRPr="00E45533" w:rsidRDefault="00D44BFC">
      <w:pPr>
        <w:pStyle w:val="FootnoteText"/>
      </w:pPr>
      <w:r w:rsidRPr="00E45533">
        <w:rPr>
          <w:rStyle w:val="FootnoteReference"/>
        </w:rPr>
        <w:footnoteRef/>
      </w:r>
      <w:r w:rsidR="00E77955" w:rsidRPr="00E45533">
        <w:t xml:space="preserve"> </w:t>
      </w:r>
      <w:r w:rsidR="00631EFE" w:rsidRPr="00E45533">
        <w:rPr>
          <w:i/>
          <w:iCs/>
        </w:rPr>
        <w:t xml:space="preserve">Director of Public Prosecutions </w:t>
      </w:r>
      <w:r w:rsidR="00DA5204" w:rsidRPr="00E45533">
        <w:rPr>
          <w:i/>
          <w:iCs/>
        </w:rPr>
        <w:t xml:space="preserve">v </w:t>
      </w:r>
      <w:r w:rsidR="005D0FE7" w:rsidRPr="00E45533">
        <w:rPr>
          <w:i/>
          <w:iCs/>
        </w:rPr>
        <w:t>JS</w:t>
      </w:r>
      <w:r w:rsidR="00DA5204" w:rsidRPr="00E45533">
        <w:rPr>
          <w:i/>
          <w:iCs/>
        </w:rPr>
        <w:t xml:space="preserve">P </w:t>
      </w:r>
      <w:r w:rsidR="00E77955" w:rsidRPr="00E45533">
        <w:t>[2020] TASCCA 3</w:t>
      </w:r>
      <w:r w:rsidR="00CF2D22">
        <w:t>,</w:t>
      </w:r>
      <w:r w:rsidRPr="00E45533">
        <w:t xml:space="preserve"> [93]</w:t>
      </w:r>
      <w:r w:rsidR="00684DD2" w:rsidRPr="00E45533">
        <w:t xml:space="preserve"> (Pearce J)</w:t>
      </w:r>
      <w:r w:rsidR="00924EB3" w:rsidRPr="00E45533">
        <w:t>.</w:t>
      </w:r>
    </w:p>
  </w:footnote>
  <w:footnote w:id="844">
    <w:p w14:paraId="5B0E597F" w14:textId="57C00B53" w:rsidR="00350315" w:rsidRPr="00FF6E12" w:rsidRDefault="00350315">
      <w:pPr>
        <w:pStyle w:val="FootnoteText"/>
      </w:pPr>
      <w:r w:rsidRPr="00E45533">
        <w:rPr>
          <w:rStyle w:val="FootnoteReference"/>
        </w:rPr>
        <w:footnoteRef/>
      </w:r>
      <w:r w:rsidRPr="00E45533">
        <w:t xml:space="preserve"> </w:t>
      </w:r>
      <w:r w:rsidR="002F3839" w:rsidRPr="00E45533">
        <w:rPr>
          <w:i/>
          <w:iCs/>
        </w:rPr>
        <w:t xml:space="preserve">Sentencing Act 1997 </w:t>
      </w:r>
      <w:r w:rsidR="002F3839" w:rsidRPr="00E45533">
        <w:t xml:space="preserve">(Tas) s </w:t>
      </w:r>
      <w:r w:rsidRPr="00E45533">
        <w:t>11(</w:t>
      </w:r>
      <w:r w:rsidR="006A2F67" w:rsidRPr="00E45533">
        <w:t>2)(b).</w:t>
      </w:r>
    </w:p>
  </w:footnote>
  <w:footnote w:id="845">
    <w:p w14:paraId="5BD57A01" w14:textId="7D7F66CF" w:rsidR="000F0438" w:rsidRPr="00FF6E12" w:rsidRDefault="000F0438">
      <w:pPr>
        <w:pStyle w:val="FootnoteText"/>
      </w:pPr>
      <w:r w:rsidRPr="00FF6E12">
        <w:rPr>
          <w:rStyle w:val="FootnoteReference"/>
        </w:rPr>
        <w:footnoteRef/>
      </w:r>
      <w:r w:rsidRPr="00FF6E12">
        <w:t xml:space="preserve"> </w:t>
      </w:r>
      <w:r w:rsidR="002F3839" w:rsidRPr="00A920EC">
        <w:rPr>
          <w:i/>
          <w:iCs/>
        </w:rPr>
        <w:t>Sentencing Act 1997</w:t>
      </w:r>
      <w:r w:rsidR="002F3839" w:rsidRPr="00FF6E12">
        <w:t xml:space="preserve"> (Tas) s</w:t>
      </w:r>
      <w:r w:rsidR="00C51112" w:rsidRPr="00FF6E12">
        <w:t xml:space="preserve"> 11C</w:t>
      </w:r>
      <w:r w:rsidR="00684DD2" w:rsidRPr="00FF6E12">
        <w:t>.</w:t>
      </w:r>
    </w:p>
  </w:footnote>
  <w:footnote w:id="846">
    <w:p w14:paraId="431037FD" w14:textId="1B98167A" w:rsidR="00BF1166" w:rsidRPr="00FF6E12" w:rsidRDefault="00BF1166">
      <w:pPr>
        <w:pStyle w:val="FootnoteText"/>
      </w:pPr>
      <w:r w:rsidRPr="00FF6E12">
        <w:rPr>
          <w:rStyle w:val="FootnoteReference"/>
        </w:rPr>
        <w:footnoteRef/>
      </w:r>
      <w:r w:rsidRPr="00FF6E12">
        <w:t xml:space="preserve"> </w:t>
      </w:r>
      <w:r w:rsidR="005D0FE7" w:rsidRPr="00FF6E12">
        <w:t>Note</w:t>
      </w:r>
      <w:r w:rsidRPr="00FF6E12">
        <w:t xml:space="preserve"> that</w:t>
      </w:r>
      <w:r w:rsidR="005D0FE7" w:rsidRPr="00FF6E12">
        <w:t>,</w:t>
      </w:r>
      <w:r w:rsidRPr="00FF6E12">
        <w:t xml:space="preserve"> in </w:t>
      </w:r>
      <w:r w:rsidR="00DD5008" w:rsidRPr="00FF6E12">
        <w:t>cases</w:t>
      </w:r>
      <w:r w:rsidRPr="00FF6E12">
        <w:t xml:space="preserve"> where the </w:t>
      </w:r>
      <w:r w:rsidR="00DD5008" w:rsidRPr="00FF6E12">
        <w:t>Supreme</w:t>
      </w:r>
      <w:r w:rsidRPr="00FF6E12">
        <w:t xml:space="preserve"> Court sentenced a young person for an offence that was not a prescribed offence, this was because the young person had been </w:t>
      </w:r>
      <w:r w:rsidR="00DD5008" w:rsidRPr="00FF6E12">
        <w:t>charged</w:t>
      </w:r>
      <w:r w:rsidRPr="00FF6E12">
        <w:t xml:space="preserve"> but acquitted </w:t>
      </w:r>
      <w:r w:rsidR="00DD5008" w:rsidRPr="00FF6E12">
        <w:t xml:space="preserve">at trial </w:t>
      </w:r>
      <w:r w:rsidRPr="00FF6E12">
        <w:t xml:space="preserve">of </w:t>
      </w:r>
      <w:r w:rsidR="00DD5008" w:rsidRPr="00FF6E12">
        <w:t xml:space="preserve">the </w:t>
      </w:r>
      <w:r w:rsidRPr="00FF6E12">
        <w:t>prescribed offence</w:t>
      </w:r>
      <w:r w:rsidR="00DD5008" w:rsidRPr="00FF6E12">
        <w:t>.</w:t>
      </w:r>
    </w:p>
  </w:footnote>
  <w:footnote w:id="847">
    <w:p w14:paraId="35B12576" w14:textId="6CAEC942" w:rsidR="00485DC4" w:rsidRPr="00FF6E12" w:rsidRDefault="00485DC4">
      <w:pPr>
        <w:pStyle w:val="FootnoteText"/>
      </w:pPr>
      <w:r w:rsidRPr="00FF6E12">
        <w:rPr>
          <w:rStyle w:val="FootnoteReference"/>
        </w:rPr>
        <w:footnoteRef/>
      </w:r>
      <w:r w:rsidRPr="00FF6E12">
        <w:t xml:space="preserve"> </w:t>
      </w:r>
      <w:r w:rsidR="005D0FE7" w:rsidRPr="00FF6E12">
        <w:t>Note</w:t>
      </w:r>
      <w:r w:rsidRPr="00FF6E12">
        <w:t xml:space="preserve"> that</w:t>
      </w:r>
      <w:r w:rsidR="005D0FE7" w:rsidRPr="00FF6E12">
        <w:t>,</w:t>
      </w:r>
      <w:r w:rsidRPr="00FF6E12">
        <w:t xml:space="preserve"> in three cases where the offender was not placed on the Register, a significant period of time ha</w:t>
      </w:r>
      <w:r w:rsidR="005D0FE7" w:rsidRPr="00FF6E12">
        <w:t>d</w:t>
      </w:r>
      <w:r w:rsidRPr="00FF6E12">
        <w:t xml:space="preserve"> passed between the offence and the sentencing (the offenders were </w:t>
      </w:r>
      <w:r w:rsidR="005D0FE7" w:rsidRPr="00FF6E12">
        <w:t xml:space="preserve">aged </w:t>
      </w:r>
      <w:r w:rsidRPr="00FF6E12">
        <w:t>42, 31 and 60). There was only one case where a young person was not placed on the Register.</w:t>
      </w:r>
    </w:p>
  </w:footnote>
  <w:footnote w:id="848">
    <w:p w14:paraId="7769421C" w14:textId="2E7E32C7" w:rsidR="00AC5CFC" w:rsidRPr="00FF6E12" w:rsidRDefault="00AC5CFC">
      <w:pPr>
        <w:pStyle w:val="FootnoteText"/>
      </w:pPr>
      <w:r w:rsidRPr="00FF6E12">
        <w:rPr>
          <w:rStyle w:val="FootnoteReference"/>
        </w:rPr>
        <w:footnoteRef/>
      </w:r>
      <w:r w:rsidRPr="00FF6E12">
        <w:t xml:space="preserve"> </w:t>
      </w:r>
      <w:r w:rsidR="00631EFE" w:rsidRPr="00E05663">
        <w:rPr>
          <w:i/>
          <w:iCs/>
        </w:rPr>
        <w:t xml:space="preserve">Director of Public Prosecutions </w:t>
      </w:r>
      <w:r w:rsidR="00A34F66" w:rsidRPr="00E05663">
        <w:rPr>
          <w:i/>
          <w:iCs/>
        </w:rPr>
        <w:t>v J</w:t>
      </w:r>
      <w:r w:rsidR="005D0FE7" w:rsidRPr="00E05663">
        <w:rPr>
          <w:i/>
          <w:iCs/>
        </w:rPr>
        <w:t>A</w:t>
      </w:r>
      <w:r w:rsidR="00A34F66" w:rsidRPr="00E05663">
        <w:rPr>
          <w:i/>
          <w:iCs/>
        </w:rPr>
        <w:t>P</w:t>
      </w:r>
      <w:r w:rsidR="00A34F66" w:rsidRPr="00E05663">
        <w:t xml:space="preserve"> [2025] TASCCA </w:t>
      </w:r>
      <w:r w:rsidR="005D0FE7" w:rsidRPr="00E05663">
        <w:t>9</w:t>
      </w:r>
      <w:r w:rsidR="00CF2D22">
        <w:t>,</w:t>
      </w:r>
      <w:r w:rsidR="00A34F66" w:rsidRPr="00E05663">
        <w:t xml:space="preserve"> </w:t>
      </w:r>
      <w:r w:rsidRPr="00E05663">
        <w:t>[29]. It was stated</w:t>
      </w:r>
      <w:r w:rsidRPr="00FF6E12">
        <w:t xml:space="preserve"> that ‘this result arises as a matter of administrative determination under s 125 of the </w:t>
      </w:r>
      <w:r w:rsidRPr="00FF6E12">
        <w:rPr>
          <w:i/>
          <w:iCs/>
        </w:rPr>
        <w:t>Youth Justice Act</w:t>
      </w:r>
      <w:r w:rsidRPr="00FF6E12">
        <w:t>, and the Court cannot alter or affect that outcome’</w:t>
      </w:r>
      <w:r w:rsidR="00A34F66" w:rsidRPr="00FF6E12">
        <w:t xml:space="preserve"> [29]</w:t>
      </w:r>
      <w:r w:rsidRPr="00FF6E12">
        <w:t>.</w:t>
      </w:r>
    </w:p>
  </w:footnote>
  <w:footnote w:id="849">
    <w:p w14:paraId="4F559A5E" w14:textId="6B2833CA" w:rsidR="00611667" w:rsidRPr="00D54B12" w:rsidRDefault="00611667">
      <w:pPr>
        <w:pStyle w:val="FootnoteText"/>
      </w:pPr>
      <w:r w:rsidRPr="00D54B12">
        <w:rPr>
          <w:rStyle w:val="FootnoteReference"/>
        </w:rPr>
        <w:footnoteRef/>
      </w:r>
      <w:r w:rsidR="00A34F66" w:rsidRPr="00D54B12">
        <w:t xml:space="preserve"> </w:t>
      </w:r>
      <w:r w:rsidR="004E3047" w:rsidRPr="00D54B12">
        <w:rPr>
          <w:i/>
          <w:iCs/>
        </w:rPr>
        <w:t>DPP v J</w:t>
      </w:r>
      <w:r w:rsidR="00D54B12" w:rsidRPr="00D54B12">
        <w:rPr>
          <w:i/>
          <w:iCs/>
        </w:rPr>
        <w:t>A</w:t>
      </w:r>
      <w:r w:rsidR="004E3047" w:rsidRPr="00D54B12">
        <w:rPr>
          <w:i/>
          <w:iCs/>
        </w:rPr>
        <w:t>P</w:t>
      </w:r>
      <w:r w:rsidR="004E3047" w:rsidRPr="00D54B12">
        <w:t xml:space="preserve"> </w:t>
      </w:r>
      <w:r w:rsidR="00D54B12" w:rsidRPr="00D54B12">
        <w:t>[2025] TASCCA 9</w:t>
      </w:r>
      <w:r w:rsidR="00CF2D22">
        <w:t>,</w:t>
      </w:r>
      <w:r w:rsidR="00D54B12" w:rsidRPr="00D54B12">
        <w:t xml:space="preserve"> </w:t>
      </w:r>
      <w:r w:rsidR="00A34F66" w:rsidRPr="00D54B12">
        <w:t>[29]</w:t>
      </w:r>
      <w:r w:rsidR="00DA68FF" w:rsidRPr="00D54B12">
        <w:t xml:space="preserve"> </w:t>
      </w:r>
      <w:r w:rsidR="00CF2D22">
        <w:t>(</w:t>
      </w:r>
      <w:r w:rsidR="00DA68FF" w:rsidRPr="00D54B12">
        <w:t>Brett J</w:t>
      </w:r>
      <w:r w:rsidR="00CF2D22">
        <w:t>;</w:t>
      </w:r>
      <w:r w:rsidR="00DA68FF" w:rsidRPr="00D54B12">
        <w:t xml:space="preserve"> Wood and </w:t>
      </w:r>
      <w:r w:rsidR="00ED1BBE" w:rsidRPr="00D54B12">
        <w:t>Cuthbertson</w:t>
      </w:r>
      <w:r w:rsidR="00DA68FF" w:rsidRPr="00D54B12">
        <w:t xml:space="preserve"> JJ agreeing)</w:t>
      </w:r>
      <w:r w:rsidR="00ED1BBE" w:rsidRPr="00D54B12">
        <w:t>.</w:t>
      </w:r>
    </w:p>
  </w:footnote>
  <w:footnote w:id="850">
    <w:p w14:paraId="1ED29FCA" w14:textId="77D4ADC5" w:rsidR="00A73A37" w:rsidRPr="00D54B12" w:rsidRDefault="00A73A37">
      <w:pPr>
        <w:pStyle w:val="FootnoteText"/>
      </w:pPr>
      <w:r w:rsidRPr="00D54B12">
        <w:rPr>
          <w:rStyle w:val="FootnoteReference"/>
        </w:rPr>
        <w:footnoteRef/>
      </w:r>
      <w:r w:rsidRPr="00D54B12">
        <w:t xml:space="preserve"> </w:t>
      </w:r>
      <w:r w:rsidR="004E3047" w:rsidRPr="00D54B12">
        <w:rPr>
          <w:i/>
          <w:iCs/>
        </w:rPr>
        <w:t>DPP v J</w:t>
      </w:r>
      <w:r w:rsidR="00D54B12" w:rsidRPr="00D54B12">
        <w:rPr>
          <w:i/>
          <w:iCs/>
        </w:rPr>
        <w:t>A</w:t>
      </w:r>
      <w:r w:rsidR="004E3047" w:rsidRPr="00D54B12">
        <w:rPr>
          <w:i/>
          <w:iCs/>
        </w:rPr>
        <w:t>P</w:t>
      </w:r>
      <w:r w:rsidR="004E3047" w:rsidRPr="00D54B12">
        <w:t xml:space="preserve"> </w:t>
      </w:r>
      <w:r w:rsidR="00D54B12" w:rsidRPr="00D54B12">
        <w:t>[2025] TASCCA 9</w:t>
      </w:r>
      <w:r w:rsidR="00CF2D22">
        <w:t>,</w:t>
      </w:r>
      <w:r w:rsidR="00D54B12" w:rsidRPr="00D54B12">
        <w:t xml:space="preserve"> </w:t>
      </w:r>
      <w:r w:rsidRPr="00D54B12">
        <w:t xml:space="preserve">[29] </w:t>
      </w:r>
      <w:r w:rsidR="00CF2D22">
        <w:t>(</w:t>
      </w:r>
      <w:r w:rsidR="00D96797" w:rsidRPr="00D54B12">
        <w:t>Brett J</w:t>
      </w:r>
      <w:r w:rsidR="00CF2D22">
        <w:t>;</w:t>
      </w:r>
      <w:r w:rsidR="00D96797" w:rsidRPr="00D54B12">
        <w:t xml:space="preserve"> Wood and Cuthbertson JJ agreeing) </w:t>
      </w:r>
      <w:r w:rsidRPr="00D54B12">
        <w:t xml:space="preserve">referring to the </w:t>
      </w:r>
      <w:r w:rsidRPr="00D54B12">
        <w:rPr>
          <w:i/>
          <w:iCs/>
        </w:rPr>
        <w:t>Youth Justice A</w:t>
      </w:r>
      <w:r w:rsidR="004E3047" w:rsidRPr="00D54B12">
        <w:rPr>
          <w:i/>
          <w:iCs/>
        </w:rPr>
        <w:t>c</w:t>
      </w:r>
      <w:r w:rsidRPr="00D54B12">
        <w:rPr>
          <w:i/>
          <w:iCs/>
        </w:rPr>
        <w:t xml:space="preserve">t </w:t>
      </w:r>
      <w:r w:rsidR="004E3047" w:rsidRPr="00D54B12">
        <w:rPr>
          <w:i/>
          <w:iCs/>
        </w:rPr>
        <w:t>1997</w:t>
      </w:r>
      <w:r w:rsidR="004E3047" w:rsidRPr="00D54B12">
        <w:t xml:space="preserve"> (Tas) </w:t>
      </w:r>
      <w:r w:rsidRPr="00D54B12">
        <w:t>s</w:t>
      </w:r>
      <w:r w:rsidR="004E3047" w:rsidRPr="00D54B12">
        <w:t xml:space="preserve"> </w:t>
      </w:r>
      <w:r w:rsidRPr="00D54B12">
        <w:t xml:space="preserve">146A(3) and the </w:t>
      </w:r>
      <w:r w:rsidR="00DA68FF" w:rsidRPr="00D54B12">
        <w:rPr>
          <w:i/>
          <w:iCs/>
        </w:rPr>
        <w:t>Corrections</w:t>
      </w:r>
      <w:r w:rsidRPr="00D54B12">
        <w:rPr>
          <w:i/>
          <w:iCs/>
        </w:rPr>
        <w:t xml:space="preserve"> Act </w:t>
      </w:r>
      <w:r w:rsidR="004E3047" w:rsidRPr="00D54B12">
        <w:rPr>
          <w:i/>
          <w:iCs/>
        </w:rPr>
        <w:t>1997</w:t>
      </w:r>
      <w:r w:rsidR="004E3047" w:rsidRPr="00D54B12">
        <w:t xml:space="preserve"> (Tas) </w:t>
      </w:r>
      <w:r w:rsidR="0002556B" w:rsidRPr="00D54B12">
        <w:t>s 83C(2).</w:t>
      </w:r>
    </w:p>
  </w:footnote>
  <w:footnote w:id="851">
    <w:p w14:paraId="0CC51998" w14:textId="3A1022D8" w:rsidR="00A30E1D" w:rsidRPr="00D54B12" w:rsidRDefault="00A30E1D">
      <w:pPr>
        <w:pStyle w:val="FootnoteText"/>
      </w:pPr>
      <w:r w:rsidRPr="00D54B12">
        <w:rPr>
          <w:rStyle w:val="FootnoteReference"/>
        </w:rPr>
        <w:footnoteRef/>
      </w:r>
      <w:r w:rsidRPr="00D54B12">
        <w:t xml:space="preserve"> </w:t>
      </w:r>
      <w:r w:rsidR="004E3047" w:rsidRPr="00D54B12">
        <w:rPr>
          <w:i/>
          <w:iCs/>
        </w:rPr>
        <w:t xml:space="preserve">DPP </w:t>
      </w:r>
      <w:r w:rsidRPr="00D54B12">
        <w:rPr>
          <w:i/>
          <w:iCs/>
        </w:rPr>
        <w:t>v J</w:t>
      </w:r>
      <w:r w:rsidR="00733510" w:rsidRPr="00D54B12">
        <w:rPr>
          <w:i/>
          <w:iCs/>
        </w:rPr>
        <w:t>A</w:t>
      </w:r>
      <w:r w:rsidRPr="00D54B12">
        <w:rPr>
          <w:i/>
          <w:iCs/>
        </w:rPr>
        <w:t xml:space="preserve">P </w:t>
      </w:r>
      <w:r w:rsidRPr="00D54B12">
        <w:t>[2025] TASCCA 9</w:t>
      </w:r>
      <w:r w:rsidR="00CF2D22">
        <w:t>,</w:t>
      </w:r>
      <w:r w:rsidRPr="00D54B12">
        <w:t xml:space="preserve"> [27</w:t>
      </w:r>
      <w:r w:rsidR="009263C8" w:rsidRPr="00D54B12">
        <w:t>]</w:t>
      </w:r>
      <w:r w:rsidR="00ED1BBE" w:rsidRPr="00D54B12">
        <w:t xml:space="preserve"> </w:t>
      </w:r>
      <w:r w:rsidR="00CF2D22">
        <w:t>(</w:t>
      </w:r>
      <w:r w:rsidR="00ED1BBE" w:rsidRPr="00D54B12">
        <w:t>Brett J</w:t>
      </w:r>
      <w:r w:rsidR="00CF2D22">
        <w:t>;</w:t>
      </w:r>
      <w:r w:rsidR="00ED1BBE" w:rsidRPr="00D54B12">
        <w:t xml:space="preserve"> Wood and Cuthbertson JJ agreeing)</w:t>
      </w:r>
      <w:r w:rsidRPr="00D54B12">
        <w:t>.</w:t>
      </w:r>
    </w:p>
  </w:footnote>
  <w:footnote w:id="852">
    <w:p w14:paraId="1D58FC80" w14:textId="2F77E9FD" w:rsidR="009263C8" w:rsidRPr="00D54B12" w:rsidRDefault="009263C8">
      <w:pPr>
        <w:pStyle w:val="FootnoteText"/>
      </w:pPr>
      <w:r w:rsidRPr="00D54B12">
        <w:rPr>
          <w:rStyle w:val="FootnoteReference"/>
        </w:rPr>
        <w:footnoteRef/>
      </w:r>
      <w:r w:rsidRPr="00D54B12">
        <w:t xml:space="preserve"> </w:t>
      </w:r>
      <w:r w:rsidR="004E3047" w:rsidRPr="00D54B12">
        <w:rPr>
          <w:i/>
          <w:iCs/>
        </w:rPr>
        <w:t xml:space="preserve">DPP </w:t>
      </w:r>
      <w:r w:rsidR="00D96797" w:rsidRPr="00D54B12">
        <w:rPr>
          <w:i/>
          <w:iCs/>
        </w:rPr>
        <w:t>v J</w:t>
      </w:r>
      <w:r w:rsidR="002754A4" w:rsidRPr="00D54B12">
        <w:rPr>
          <w:i/>
          <w:iCs/>
        </w:rPr>
        <w:t>A</w:t>
      </w:r>
      <w:r w:rsidR="00D96797" w:rsidRPr="00D54B12">
        <w:rPr>
          <w:i/>
          <w:iCs/>
        </w:rPr>
        <w:t xml:space="preserve">P </w:t>
      </w:r>
      <w:r w:rsidR="00D96797" w:rsidRPr="00D54B12">
        <w:t>[2025] TASCCA 9</w:t>
      </w:r>
      <w:r w:rsidR="00CF2D22">
        <w:t>,</w:t>
      </w:r>
      <w:r w:rsidR="00D96797" w:rsidRPr="00D54B12">
        <w:t xml:space="preserve"> [</w:t>
      </w:r>
      <w:r w:rsidRPr="00D54B12">
        <w:t>2</w:t>
      </w:r>
      <w:r w:rsidR="002754A4" w:rsidRPr="00D54B12">
        <w:t>8</w:t>
      </w:r>
      <w:r w:rsidRPr="00D54B12">
        <w:t>]</w:t>
      </w:r>
      <w:r w:rsidR="00ED1BBE" w:rsidRPr="00D54B12">
        <w:t xml:space="preserve"> </w:t>
      </w:r>
      <w:r w:rsidR="00CF2D22">
        <w:t>(</w:t>
      </w:r>
      <w:r w:rsidR="00ED1BBE" w:rsidRPr="00D54B12">
        <w:t>Brett J</w:t>
      </w:r>
      <w:r w:rsidR="00CF2D22">
        <w:t>;</w:t>
      </w:r>
      <w:r w:rsidR="00ED1BBE" w:rsidRPr="00D54B12">
        <w:t xml:space="preserve"> Wood and Cuthbertson JJ agreeing).</w:t>
      </w:r>
    </w:p>
  </w:footnote>
  <w:footnote w:id="853">
    <w:p w14:paraId="4460C11F" w14:textId="057737E1" w:rsidR="00A03094" w:rsidRPr="00FF6E12" w:rsidRDefault="00A03094">
      <w:pPr>
        <w:pStyle w:val="FootnoteText"/>
      </w:pPr>
      <w:r w:rsidRPr="00D54B12">
        <w:rPr>
          <w:rStyle w:val="FootnoteReference"/>
        </w:rPr>
        <w:footnoteRef/>
      </w:r>
      <w:r w:rsidRPr="00D54B12">
        <w:t xml:space="preserve"> </w:t>
      </w:r>
      <w:r w:rsidR="004E3047" w:rsidRPr="00D54B12">
        <w:rPr>
          <w:i/>
          <w:iCs/>
        </w:rPr>
        <w:t xml:space="preserve">DPP </w:t>
      </w:r>
      <w:r w:rsidR="00D96797" w:rsidRPr="00D54B12">
        <w:rPr>
          <w:i/>
          <w:iCs/>
        </w:rPr>
        <w:t>v J</w:t>
      </w:r>
      <w:r w:rsidR="00733510" w:rsidRPr="00D54B12">
        <w:rPr>
          <w:i/>
          <w:iCs/>
        </w:rPr>
        <w:t>A</w:t>
      </w:r>
      <w:r w:rsidR="00D96797" w:rsidRPr="00D54B12">
        <w:rPr>
          <w:i/>
          <w:iCs/>
        </w:rPr>
        <w:t xml:space="preserve">P </w:t>
      </w:r>
      <w:r w:rsidR="00D96797" w:rsidRPr="00D54B12">
        <w:t>[2025] TASCCA 9</w:t>
      </w:r>
      <w:r w:rsidR="00CF2D22">
        <w:t>,</w:t>
      </w:r>
      <w:r w:rsidR="00D96797" w:rsidRPr="00D54B12">
        <w:t xml:space="preserve"> [ </w:t>
      </w:r>
      <w:r w:rsidRPr="00D54B12">
        <w:t>[30]</w:t>
      </w:r>
      <w:r w:rsidR="00ED1BBE" w:rsidRPr="00D54B12">
        <w:t xml:space="preserve"> </w:t>
      </w:r>
      <w:r w:rsidR="00CF2D22">
        <w:t>(</w:t>
      </w:r>
      <w:r w:rsidR="00ED1BBE" w:rsidRPr="00D54B12">
        <w:t>Brett J</w:t>
      </w:r>
      <w:r w:rsidR="00CF2D22">
        <w:t>;</w:t>
      </w:r>
      <w:r w:rsidR="00ED1BBE" w:rsidRPr="00D54B12">
        <w:t xml:space="preserve"> Wood and Cuthbertson JJ agreeing).</w:t>
      </w:r>
    </w:p>
  </w:footnote>
  <w:footnote w:id="854">
    <w:p w14:paraId="01194E65" w14:textId="73ECD5F4" w:rsidR="002C0E00" w:rsidRPr="0053719B" w:rsidRDefault="002C0E00">
      <w:pPr>
        <w:pStyle w:val="FootnoteText"/>
      </w:pPr>
      <w:r w:rsidRPr="00FF6E12">
        <w:rPr>
          <w:rStyle w:val="FootnoteReference"/>
        </w:rPr>
        <w:footnoteRef/>
      </w:r>
      <w:r w:rsidRPr="00FF6E12">
        <w:t xml:space="preserve"> </w:t>
      </w:r>
      <w:r w:rsidR="004E3047" w:rsidRPr="0053719B">
        <w:rPr>
          <w:i/>
          <w:iCs/>
        </w:rPr>
        <w:t>D</w:t>
      </w:r>
      <w:r w:rsidR="00053A3B" w:rsidRPr="0053719B">
        <w:rPr>
          <w:i/>
          <w:iCs/>
        </w:rPr>
        <w:t xml:space="preserve">irector of </w:t>
      </w:r>
      <w:r w:rsidR="004E3047" w:rsidRPr="0053719B">
        <w:rPr>
          <w:i/>
          <w:iCs/>
        </w:rPr>
        <w:t>P</w:t>
      </w:r>
      <w:r w:rsidR="00053A3B" w:rsidRPr="0053719B">
        <w:rPr>
          <w:i/>
          <w:iCs/>
        </w:rPr>
        <w:t xml:space="preserve">ublic </w:t>
      </w:r>
      <w:r w:rsidR="004E3047" w:rsidRPr="0053719B">
        <w:rPr>
          <w:i/>
          <w:iCs/>
        </w:rPr>
        <w:t>P</w:t>
      </w:r>
      <w:r w:rsidR="00053A3B" w:rsidRPr="0053719B">
        <w:rPr>
          <w:i/>
          <w:iCs/>
        </w:rPr>
        <w:t>rosecutions</w:t>
      </w:r>
      <w:r w:rsidR="004E3047" w:rsidRPr="0053719B">
        <w:rPr>
          <w:i/>
          <w:iCs/>
        </w:rPr>
        <w:t xml:space="preserve"> </w:t>
      </w:r>
      <w:r w:rsidR="00D96797" w:rsidRPr="0053719B">
        <w:rPr>
          <w:i/>
          <w:iCs/>
        </w:rPr>
        <w:t>v J</w:t>
      </w:r>
      <w:r w:rsidR="00733510" w:rsidRPr="0053719B">
        <w:rPr>
          <w:i/>
          <w:iCs/>
        </w:rPr>
        <w:t>A</w:t>
      </w:r>
      <w:r w:rsidR="00D96797" w:rsidRPr="0053719B">
        <w:rPr>
          <w:i/>
          <w:iCs/>
        </w:rPr>
        <w:t xml:space="preserve">P </w:t>
      </w:r>
      <w:r w:rsidR="00D96797" w:rsidRPr="0053719B">
        <w:t>[2025] TASCCA 9</w:t>
      </w:r>
      <w:r w:rsidR="00CF2D22">
        <w:t>,</w:t>
      </w:r>
      <w:r w:rsidR="00D96797" w:rsidRPr="0053719B">
        <w:t xml:space="preserve"> </w:t>
      </w:r>
      <w:r w:rsidRPr="0053719B">
        <w:t>[3]</w:t>
      </w:r>
      <w:r w:rsidR="003E4FD8" w:rsidRPr="0053719B">
        <w:t xml:space="preserve"> </w:t>
      </w:r>
      <w:r w:rsidR="00CF2D22">
        <w:t>(</w:t>
      </w:r>
      <w:r w:rsidR="003E4FD8" w:rsidRPr="0053719B">
        <w:t>Wood J</w:t>
      </w:r>
      <w:r w:rsidR="00CF2D22">
        <w:t>;</w:t>
      </w:r>
      <w:r w:rsidR="003E4FD8" w:rsidRPr="0053719B">
        <w:t xml:space="preserve"> Cuthbertson J agreeing)</w:t>
      </w:r>
      <w:r w:rsidRPr="0053719B">
        <w:t>.</w:t>
      </w:r>
    </w:p>
  </w:footnote>
  <w:footnote w:id="855">
    <w:p w14:paraId="0D095C63" w14:textId="0AA7176F" w:rsidR="005E48B5" w:rsidRPr="0053719B" w:rsidRDefault="005E48B5">
      <w:pPr>
        <w:pStyle w:val="FootnoteText"/>
      </w:pPr>
      <w:r w:rsidRPr="0053719B">
        <w:rPr>
          <w:rStyle w:val="FootnoteReference"/>
        </w:rPr>
        <w:footnoteRef/>
      </w:r>
      <w:r w:rsidRPr="0053719B">
        <w:t xml:space="preserve"> </w:t>
      </w:r>
      <w:r w:rsidR="00053A3B" w:rsidRPr="0053719B">
        <w:rPr>
          <w:i/>
          <w:iCs/>
        </w:rPr>
        <w:t xml:space="preserve">Director of Public Prosecutions </w:t>
      </w:r>
      <w:r w:rsidR="00A2421D" w:rsidRPr="0053719B">
        <w:rPr>
          <w:i/>
          <w:iCs/>
        </w:rPr>
        <w:t xml:space="preserve">v </w:t>
      </w:r>
      <w:r w:rsidR="004E3047" w:rsidRPr="0053719B">
        <w:rPr>
          <w:i/>
          <w:iCs/>
        </w:rPr>
        <w:t>JAP</w:t>
      </w:r>
      <w:r w:rsidR="00A2421D" w:rsidRPr="0053719B">
        <w:rPr>
          <w:i/>
          <w:iCs/>
        </w:rPr>
        <w:t xml:space="preserve"> </w:t>
      </w:r>
      <w:r w:rsidRPr="0053719B">
        <w:t>[2025] TASCCA 9.</w:t>
      </w:r>
    </w:p>
  </w:footnote>
  <w:footnote w:id="856">
    <w:p w14:paraId="7AD9C261" w14:textId="452501C9" w:rsidR="004A56B0" w:rsidRPr="00FF6E12" w:rsidRDefault="004A56B0">
      <w:pPr>
        <w:pStyle w:val="FootnoteText"/>
      </w:pPr>
      <w:r w:rsidRPr="0053719B">
        <w:rPr>
          <w:rStyle w:val="FootnoteReference"/>
        </w:rPr>
        <w:footnoteRef/>
      </w:r>
      <w:r w:rsidR="00A2421D" w:rsidRPr="0053719B">
        <w:t xml:space="preserve"> </w:t>
      </w:r>
      <w:r w:rsidR="00053A3B" w:rsidRPr="0053719B">
        <w:rPr>
          <w:i/>
          <w:iCs/>
        </w:rPr>
        <w:t xml:space="preserve">Director of Public Prosecutions </w:t>
      </w:r>
      <w:r w:rsidR="00A2421D" w:rsidRPr="0053719B">
        <w:rPr>
          <w:i/>
          <w:iCs/>
        </w:rPr>
        <w:t xml:space="preserve">v </w:t>
      </w:r>
      <w:r w:rsidR="004E3047" w:rsidRPr="0053719B">
        <w:rPr>
          <w:i/>
          <w:iCs/>
        </w:rPr>
        <w:t>JAP</w:t>
      </w:r>
      <w:r w:rsidR="00A2421D" w:rsidRPr="0053719B">
        <w:rPr>
          <w:i/>
          <w:iCs/>
        </w:rPr>
        <w:t xml:space="preserve"> </w:t>
      </w:r>
      <w:r w:rsidR="003E4FD8" w:rsidRPr="0053719B">
        <w:t>[2025] TASCCA 9</w:t>
      </w:r>
      <w:r w:rsidR="00CF2D22">
        <w:t>,</w:t>
      </w:r>
      <w:r w:rsidRPr="0053719B">
        <w:t xml:space="preserve"> </w:t>
      </w:r>
      <w:r w:rsidR="008E349B" w:rsidRPr="0053719B">
        <w:t>[17].</w:t>
      </w:r>
    </w:p>
  </w:footnote>
  <w:footnote w:id="857">
    <w:p w14:paraId="7AE3BC01" w14:textId="1DB9C103" w:rsidR="00CF5708" w:rsidRPr="00FF6E12" w:rsidRDefault="00CF5708">
      <w:pPr>
        <w:pStyle w:val="FootnoteText"/>
      </w:pPr>
      <w:r w:rsidRPr="00FF6E12">
        <w:rPr>
          <w:rStyle w:val="FootnoteReference"/>
        </w:rPr>
        <w:footnoteRef/>
      </w:r>
      <w:r w:rsidRPr="00FF6E12">
        <w:t xml:space="preserve"> </w:t>
      </w:r>
      <w:r w:rsidR="008F04AC" w:rsidRPr="00FF6E12">
        <w:t xml:space="preserve">Blackley and Bartels (n </w:t>
      </w:r>
      <w:r w:rsidR="008F04AC" w:rsidRPr="00FF6E12">
        <w:fldChar w:fldCharType="begin"/>
      </w:r>
      <w:r w:rsidR="008F04AC" w:rsidRPr="00FF6E12">
        <w:instrText xml:space="preserve"> NOTEREF _Ref218004465 \h </w:instrText>
      </w:r>
      <w:r w:rsidR="008F04AC" w:rsidRPr="00FF6E12">
        <w:fldChar w:fldCharType="separate"/>
      </w:r>
      <w:r w:rsidR="007D7830">
        <w:t>6</w:t>
      </w:r>
      <w:r w:rsidR="008F04AC" w:rsidRPr="00FF6E12">
        <w:fldChar w:fldCharType="end"/>
      </w:r>
      <w:r w:rsidR="008F04AC" w:rsidRPr="00FF6E12">
        <w:t>)</w:t>
      </w:r>
      <w:r w:rsidR="008F04AC" w:rsidRPr="00FF6E12">
        <w:rPr>
          <w:rFonts w:cs="Times New Roman"/>
        </w:rPr>
        <w:t xml:space="preserve"> </w:t>
      </w:r>
      <w:r w:rsidR="008253A0" w:rsidRPr="00FF6E12">
        <w:t>4.</w:t>
      </w:r>
    </w:p>
  </w:footnote>
  <w:footnote w:id="858">
    <w:p w14:paraId="3E70CC66" w14:textId="1BBDB084" w:rsidR="009A1F13" w:rsidRPr="00FF6E12" w:rsidRDefault="009A1F13">
      <w:pPr>
        <w:pStyle w:val="FootnoteText"/>
      </w:pPr>
      <w:r w:rsidRPr="00FF6E12">
        <w:rPr>
          <w:rStyle w:val="FootnoteReference"/>
        </w:rPr>
        <w:footnoteRef/>
      </w:r>
      <w:r w:rsidRPr="00FF6E12">
        <w:t xml:space="preserve"> </w:t>
      </w:r>
      <w:r w:rsidRPr="00FF6E12">
        <w:rPr>
          <w:i/>
          <w:iCs/>
        </w:rPr>
        <w:t xml:space="preserve">TAP v Tasmania </w:t>
      </w:r>
      <w:r w:rsidRPr="00FF6E12">
        <w:t>[2014] TASCCA 5</w:t>
      </w:r>
      <w:r w:rsidR="00CF2D22">
        <w:t>,</w:t>
      </w:r>
      <w:r w:rsidR="009A2247" w:rsidRPr="00FF6E12">
        <w:t xml:space="preserve"> [23]–[29].</w:t>
      </w:r>
    </w:p>
  </w:footnote>
  <w:footnote w:id="859">
    <w:p w14:paraId="62916E6E" w14:textId="0DBB38C0" w:rsidR="00946A91" w:rsidRPr="00FF6E12" w:rsidRDefault="00946A91">
      <w:pPr>
        <w:pStyle w:val="FootnoteText"/>
      </w:pPr>
      <w:r w:rsidRPr="0053719B">
        <w:rPr>
          <w:rStyle w:val="FootnoteReference"/>
        </w:rPr>
        <w:footnoteRef/>
      </w:r>
      <w:r w:rsidRPr="0053719B">
        <w:t xml:space="preserve"> </w:t>
      </w:r>
      <w:r w:rsidR="00355891" w:rsidRPr="0053719B">
        <w:t>C</w:t>
      </w:r>
      <w:r w:rsidR="0053719B" w:rsidRPr="0053719B">
        <w:t>omments on Passing Sentence</w:t>
      </w:r>
      <w:r w:rsidR="00355891" w:rsidRPr="0053719B">
        <w:t>, 15 March 2017.</w:t>
      </w:r>
    </w:p>
  </w:footnote>
  <w:footnote w:id="860">
    <w:p w14:paraId="20EC81B3" w14:textId="586FC954" w:rsidR="00CD2510" w:rsidRPr="003931EE" w:rsidRDefault="00CD2510">
      <w:pPr>
        <w:pStyle w:val="FootnoteText"/>
      </w:pPr>
      <w:r w:rsidRPr="003931EE">
        <w:rPr>
          <w:rStyle w:val="FootnoteReference"/>
        </w:rPr>
        <w:footnoteRef/>
      </w:r>
      <w:r w:rsidRPr="003931EE">
        <w:t xml:space="preserve"> </w:t>
      </w:r>
      <w:r w:rsidR="00053A3B" w:rsidRPr="003931EE">
        <w:rPr>
          <w:i/>
          <w:iCs/>
        </w:rPr>
        <w:t xml:space="preserve">Director of Public Prosecutions </w:t>
      </w:r>
      <w:r w:rsidR="00A2421D" w:rsidRPr="003931EE">
        <w:rPr>
          <w:i/>
          <w:iCs/>
        </w:rPr>
        <w:t xml:space="preserve">v JSP </w:t>
      </w:r>
      <w:r w:rsidR="00D90139" w:rsidRPr="003931EE">
        <w:t>[2</w:t>
      </w:r>
      <w:r w:rsidR="00C71A0D" w:rsidRPr="003931EE">
        <w:t xml:space="preserve">020] </w:t>
      </w:r>
      <w:r w:rsidR="00376AFD" w:rsidRPr="003931EE">
        <w:t xml:space="preserve">TASCCA </w:t>
      </w:r>
      <w:r w:rsidR="00546314" w:rsidRPr="003931EE">
        <w:t>3.</w:t>
      </w:r>
    </w:p>
  </w:footnote>
  <w:footnote w:id="861">
    <w:p w14:paraId="678AE1A1" w14:textId="4E92B0C4" w:rsidR="003D7532" w:rsidRPr="003931EE" w:rsidRDefault="003D7532">
      <w:pPr>
        <w:pStyle w:val="FootnoteText"/>
      </w:pPr>
      <w:r w:rsidRPr="003931EE">
        <w:rPr>
          <w:rStyle w:val="FootnoteReference"/>
        </w:rPr>
        <w:footnoteRef/>
      </w:r>
      <w:r w:rsidRPr="003931EE">
        <w:t xml:space="preserve"> </w:t>
      </w:r>
      <w:r w:rsidR="00053A3B" w:rsidRPr="003931EE">
        <w:rPr>
          <w:i/>
          <w:iCs/>
        </w:rPr>
        <w:t xml:space="preserve">Director of Public Prosecutions </w:t>
      </w:r>
      <w:r w:rsidR="00A2421D" w:rsidRPr="003931EE">
        <w:rPr>
          <w:i/>
          <w:iCs/>
        </w:rPr>
        <w:t xml:space="preserve">v JSP </w:t>
      </w:r>
      <w:r w:rsidR="00A2421D" w:rsidRPr="003931EE">
        <w:t xml:space="preserve">[2020] TASCCA 3, </w:t>
      </w:r>
      <w:r w:rsidR="00CF2D22">
        <w:t>[108] (</w:t>
      </w:r>
      <w:r w:rsidR="00CD2510" w:rsidRPr="003931EE">
        <w:t>Pearce J</w:t>
      </w:r>
      <w:r w:rsidR="00CF2D22">
        <w:t>)</w:t>
      </w:r>
      <w:r w:rsidR="00CD2510" w:rsidRPr="003931EE">
        <w:t xml:space="preserve">, </w:t>
      </w:r>
      <w:r w:rsidR="00CF2D22">
        <w:t>[10] (</w:t>
      </w:r>
      <w:r w:rsidR="00CD2510" w:rsidRPr="003931EE">
        <w:t>Wood J</w:t>
      </w:r>
      <w:r w:rsidR="00CF2D22">
        <w:t>)</w:t>
      </w:r>
      <w:r w:rsidR="00CD2510" w:rsidRPr="003931EE">
        <w:t>.</w:t>
      </w:r>
    </w:p>
  </w:footnote>
  <w:footnote w:id="862">
    <w:p w14:paraId="114FF3C7" w14:textId="5FF42346" w:rsidR="00755F8C" w:rsidRPr="003931EE" w:rsidRDefault="00755F8C">
      <w:pPr>
        <w:pStyle w:val="FootnoteText"/>
      </w:pPr>
      <w:r w:rsidRPr="003931EE">
        <w:rPr>
          <w:rStyle w:val="FootnoteReference"/>
        </w:rPr>
        <w:footnoteRef/>
      </w:r>
      <w:r w:rsidRPr="003931EE">
        <w:t xml:space="preserve"> </w:t>
      </w:r>
      <w:r w:rsidR="00053A3B" w:rsidRPr="003931EE">
        <w:rPr>
          <w:i/>
          <w:iCs/>
        </w:rPr>
        <w:t xml:space="preserve">Director of Public Prosecutions </w:t>
      </w:r>
      <w:r w:rsidR="00A2421D" w:rsidRPr="003931EE">
        <w:rPr>
          <w:i/>
          <w:iCs/>
        </w:rPr>
        <w:t xml:space="preserve">v JSP </w:t>
      </w:r>
      <w:r w:rsidR="00A2421D" w:rsidRPr="003931EE">
        <w:t xml:space="preserve">[2020] TASCCA 3, </w:t>
      </w:r>
      <w:r w:rsidR="00CF2D22">
        <w:t>[109] (</w:t>
      </w:r>
      <w:r w:rsidRPr="003931EE">
        <w:t>Pearce J</w:t>
      </w:r>
      <w:r w:rsidR="00CF2D22">
        <w:t>)</w:t>
      </w:r>
      <w:r w:rsidRPr="003931EE">
        <w:t>.</w:t>
      </w:r>
    </w:p>
  </w:footnote>
  <w:footnote w:id="863">
    <w:p w14:paraId="068D1F69" w14:textId="2B72CE14" w:rsidR="00C417C5" w:rsidRPr="003931EE" w:rsidRDefault="00C417C5" w:rsidP="00A920EC">
      <w:pPr>
        <w:pStyle w:val="FootnoteText"/>
      </w:pPr>
      <w:r w:rsidRPr="003931EE">
        <w:rPr>
          <w:rStyle w:val="FootnoteReference"/>
        </w:rPr>
        <w:footnoteRef/>
      </w:r>
      <w:r w:rsidRPr="003931EE">
        <w:t xml:space="preserve"> </w:t>
      </w:r>
      <w:r w:rsidR="00053A3B" w:rsidRPr="003931EE">
        <w:rPr>
          <w:i/>
          <w:iCs/>
        </w:rPr>
        <w:t xml:space="preserve">Director of Public Prosecutions </w:t>
      </w:r>
      <w:r w:rsidR="00A2421D" w:rsidRPr="003931EE">
        <w:rPr>
          <w:i/>
          <w:iCs/>
        </w:rPr>
        <w:t>v Oh Ma</w:t>
      </w:r>
      <w:r w:rsidR="0046121C" w:rsidRPr="003931EE">
        <w:rPr>
          <w:i/>
          <w:iCs/>
        </w:rPr>
        <w:t>rris</w:t>
      </w:r>
      <w:r w:rsidR="00A2421D" w:rsidRPr="003931EE">
        <w:rPr>
          <w:i/>
          <w:iCs/>
        </w:rPr>
        <w:t xml:space="preserve"> </w:t>
      </w:r>
      <w:r w:rsidR="001300CC" w:rsidRPr="003931EE">
        <w:t>[2</w:t>
      </w:r>
      <w:r w:rsidR="00FB077B" w:rsidRPr="003931EE">
        <w:t>0</w:t>
      </w:r>
      <w:r w:rsidR="001300CC" w:rsidRPr="003931EE">
        <w:t>23] TASCCA 1.</w:t>
      </w:r>
    </w:p>
  </w:footnote>
  <w:footnote w:id="864">
    <w:p w14:paraId="4E5D19E7" w14:textId="0441EC65" w:rsidR="006C784D" w:rsidRPr="00FF6E12" w:rsidRDefault="006C784D" w:rsidP="00A920EC">
      <w:pPr>
        <w:pStyle w:val="FootnoteText"/>
      </w:pPr>
      <w:r w:rsidRPr="003931EE">
        <w:rPr>
          <w:rStyle w:val="FootnoteReference"/>
        </w:rPr>
        <w:footnoteRef/>
      </w:r>
      <w:r w:rsidRPr="003931EE">
        <w:t xml:space="preserve"> </w:t>
      </w:r>
      <w:r w:rsidR="00053A3B" w:rsidRPr="003931EE">
        <w:rPr>
          <w:i/>
          <w:iCs/>
        </w:rPr>
        <w:t xml:space="preserve">Director of Public Prosecutions </w:t>
      </w:r>
      <w:r w:rsidR="00A2421D" w:rsidRPr="003931EE">
        <w:rPr>
          <w:i/>
          <w:iCs/>
        </w:rPr>
        <w:t>v Oh Ma</w:t>
      </w:r>
      <w:r w:rsidR="0046121C" w:rsidRPr="003931EE">
        <w:rPr>
          <w:i/>
          <w:iCs/>
        </w:rPr>
        <w:t>rris</w:t>
      </w:r>
      <w:r w:rsidR="00A2421D" w:rsidRPr="003931EE">
        <w:rPr>
          <w:i/>
          <w:iCs/>
        </w:rPr>
        <w:t xml:space="preserve"> </w:t>
      </w:r>
      <w:r w:rsidR="00A2421D" w:rsidRPr="003931EE">
        <w:t>[</w:t>
      </w:r>
      <w:r w:rsidR="00A5084A" w:rsidRPr="003931EE">
        <w:t>2023] TASCCA 1</w:t>
      </w:r>
      <w:r w:rsidR="00CF2D22">
        <w:t>,</w:t>
      </w:r>
      <w:r w:rsidR="00A5084A" w:rsidRPr="003931EE">
        <w:t xml:space="preserve"> </w:t>
      </w:r>
      <w:r w:rsidRPr="003931EE">
        <w:t>[37].</w:t>
      </w:r>
    </w:p>
  </w:footnote>
  <w:footnote w:id="865">
    <w:p w14:paraId="3975444F" w14:textId="5C2AC01D" w:rsidR="008444FB" w:rsidRPr="00FF6E12" w:rsidRDefault="008444FB">
      <w:pPr>
        <w:pStyle w:val="FootnoteText"/>
      </w:pPr>
      <w:r w:rsidRPr="00FF6E12">
        <w:rPr>
          <w:rStyle w:val="FootnoteReference"/>
        </w:rPr>
        <w:footnoteRef/>
      </w:r>
      <w:r w:rsidRPr="00FF6E12">
        <w:t xml:space="preserve"> </w:t>
      </w:r>
      <w:r w:rsidR="008F04AC" w:rsidRPr="00FF6E12">
        <w:t xml:space="preserve">Blackley and Bartels (n </w:t>
      </w:r>
      <w:r w:rsidR="008F04AC" w:rsidRPr="00FF6E12">
        <w:fldChar w:fldCharType="begin"/>
      </w:r>
      <w:r w:rsidR="008F04AC" w:rsidRPr="00FF6E12">
        <w:instrText xml:space="preserve"> NOTEREF _Ref218004465 \h </w:instrText>
      </w:r>
      <w:r w:rsidR="008F04AC" w:rsidRPr="00FF6E12">
        <w:fldChar w:fldCharType="separate"/>
      </w:r>
      <w:r w:rsidR="007D7830">
        <w:t>6</w:t>
      </w:r>
      <w:r w:rsidR="008F04AC" w:rsidRPr="00FF6E12">
        <w:fldChar w:fldCharType="end"/>
      </w:r>
      <w:r w:rsidR="008F04AC" w:rsidRPr="00FF6E12">
        <w:t>)</w:t>
      </w:r>
      <w:r w:rsidR="008F04AC" w:rsidRPr="00FF6E12">
        <w:rPr>
          <w:rFonts w:cs="Times New Roman"/>
        </w:rPr>
        <w:t xml:space="preserve"> </w:t>
      </w:r>
      <w:r w:rsidRPr="00FF6E12">
        <w:t>3</w:t>
      </w:r>
      <w:r w:rsidR="00125D70" w:rsidRPr="00FF6E12">
        <w:t>.</w:t>
      </w:r>
    </w:p>
  </w:footnote>
  <w:footnote w:id="866">
    <w:p w14:paraId="62CA661C" w14:textId="36C3A24B" w:rsidR="008444FB" w:rsidRPr="00FF6E12" w:rsidRDefault="008444FB">
      <w:pPr>
        <w:pStyle w:val="FootnoteText"/>
      </w:pPr>
      <w:r w:rsidRPr="00FF6E12">
        <w:rPr>
          <w:rStyle w:val="FootnoteReference"/>
        </w:rPr>
        <w:footnoteRef/>
      </w:r>
      <w:r w:rsidRPr="00FF6E12">
        <w:t xml:space="preserve"> </w:t>
      </w:r>
      <w:r w:rsidRPr="00FF6E12">
        <w:rPr>
          <w:i/>
          <w:iCs/>
        </w:rPr>
        <w:t xml:space="preserve">Community Protection (Offender Reporting) Act 2005 </w:t>
      </w:r>
      <w:r w:rsidRPr="00FF6E12">
        <w:t xml:space="preserve">(Tas) s 6. See </w:t>
      </w:r>
      <w:r w:rsidR="008F04AC" w:rsidRPr="00FF6E12">
        <w:t>p</w:t>
      </w:r>
      <w:r w:rsidR="00BD7C23" w:rsidRPr="00FF6E12">
        <w:t>t</w:t>
      </w:r>
      <w:r w:rsidRPr="00FF6E12">
        <w:t xml:space="preserve"> 3 for reporting obligations.</w:t>
      </w:r>
    </w:p>
  </w:footnote>
  <w:footnote w:id="867">
    <w:p w14:paraId="09BC3118" w14:textId="1B4449EF" w:rsidR="008444FB" w:rsidRPr="00FF6E12" w:rsidRDefault="008444FB">
      <w:pPr>
        <w:pStyle w:val="FootnoteText"/>
      </w:pPr>
      <w:r w:rsidRPr="00FF6E12">
        <w:rPr>
          <w:rStyle w:val="FootnoteReference"/>
        </w:rPr>
        <w:footnoteRef/>
      </w:r>
      <w:r w:rsidRPr="00FF6E12">
        <w:t xml:space="preserve"> </w:t>
      </w:r>
      <w:r w:rsidRPr="00A920EC">
        <w:rPr>
          <w:i/>
          <w:iCs/>
        </w:rPr>
        <w:t>Community Protection (Offender Reporting) Act 2005</w:t>
      </w:r>
      <w:r w:rsidRPr="00FF6E12">
        <w:t xml:space="preserve"> (Tas) s 12.</w:t>
      </w:r>
    </w:p>
  </w:footnote>
  <w:footnote w:id="868">
    <w:p w14:paraId="13B40EEF" w14:textId="0A35DF1B" w:rsidR="008444FB" w:rsidRPr="00FF6E12" w:rsidRDefault="008444FB">
      <w:pPr>
        <w:pStyle w:val="FootnoteText"/>
      </w:pPr>
      <w:r w:rsidRPr="00FF6E12">
        <w:rPr>
          <w:rStyle w:val="FootnoteReference"/>
        </w:rPr>
        <w:footnoteRef/>
      </w:r>
      <w:r w:rsidRPr="00FF6E12">
        <w:t xml:space="preserve"> </w:t>
      </w:r>
      <w:r w:rsidR="00F4414A" w:rsidRPr="00A920EC">
        <w:rPr>
          <w:i/>
          <w:iCs/>
        </w:rPr>
        <w:t>Community Protection (Offender Reporting) Act 2005</w:t>
      </w:r>
      <w:r w:rsidR="00F4414A" w:rsidRPr="00FF6E12">
        <w:t xml:space="preserve"> (Tas) s</w:t>
      </w:r>
      <w:r w:rsidRPr="00FF6E12">
        <w:t xml:space="preserve"> 13, </w:t>
      </w:r>
      <w:r w:rsidR="00053A3B" w:rsidRPr="00FF6E12">
        <w:t>sch</w:t>
      </w:r>
      <w:r w:rsidR="00BD7C23" w:rsidRPr="00FF6E12">
        <w:t xml:space="preserve"> </w:t>
      </w:r>
      <w:r w:rsidRPr="00FF6E12">
        <w:t>1.</w:t>
      </w:r>
    </w:p>
  </w:footnote>
  <w:footnote w:id="869">
    <w:p w14:paraId="7DAD968D" w14:textId="468ACA45" w:rsidR="008444FB" w:rsidRPr="00FF6E12" w:rsidRDefault="008444FB">
      <w:pPr>
        <w:pStyle w:val="FootnoteText"/>
      </w:pPr>
      <w:r w:rsidRPr="00FF6E12">
        <w:rPr>
          <w:rStyle w:val="FootnoteReference"/>
        </w:rPr>
        <w:footnoteRef/>
      </w:r>
      <w:r w:rsidRPr="00FF6E12">
        <w:t xml:space="preserve"> </w:t>
      </w:r>
      <w:r w:rsidR="00F4414A" w:rsidRPr="00A920EC">
        <w:rPr>
          <w:i/>
          <w:iCs/>
        </w:rPr>
        <w:t>Community Protection (Offender Reporting) Act 2005</w:t>
      </w:r>
      <w:r w:rsidR="00F4414A" w:rsidRPr="00FF6E12">
        <w:t xml:space="preserve"> (Tas) s</w:t>
      </w:r>
      <w:r w:rsidR="00BD7C23" w:rsidRPr="00FF6E12">
        <w:t>s</w:t>
      </w:r>
      <w:r w:rsidRPr="00FF6E12">
        <w:t xml:space="preserve"> 24(1), 25(2)</w:t>
      </w:r>
    </w:p>
  </w:footnote>
  <w:footnote w:id="870">
    <w:p w14:paraId="0775941D" w14:textId="4FBCC9B4" w:rsidR="008444FB" w:rsidRPr="00FF6E12" w:rsidRDefault="008444FB">
      <w:pPr>
        <w:pStyle w:val="FootnoteText"/>
      </w:pPr>
      <w:r w:rsidRPr="00FF6E12">
        <w:rPr>
          <w:rStyle w:val="FootnoteReference"/>
        </w:rPr>
        <w:footnoteRef/>
      </w:r>
      <w:r w:rsidRPr="00FF6E12">
        <w:t xml:space="preserve"> </w:t>
      </w:r>
      <w:r w:rsidR="00F4414A" w:rsidRPr="00A920EC">
        <w:rPr>
          <w:i/>
          <w:iCs/>
        </w:rPr>
        <w:t>Community Protection (Offender Reporting) Act 2005</w:t>
      </w:r>
      <w:r w:rsidR="00F4414A" w:rsidRPr="00FF6E12">
        <w:t xml:space="preserve"> (Tas) s</w:t>
      </w:r>
      <w:r w:rsidRPr="00FF6E12">
        <w:t xml:space="preserve"> 14</w:t>
      </w:r>
      <w:r w:rsidR="00A40CCF">
        <w:t>,</w:t>
      </w:r>
      <w:r w:rsidRPr="00FF6E12">
        <w:t xml:space="preserve"> </w:t>
      </w:r>
      <w:r w:rsidR="00053A3B" w:rsidRPr="00FF6E12">
        <w:t xml:space="preserve">sch </w:t>
      </w:r>
      <w:r w:rsidRPr="00FF6E12">
        <w:t>3.</w:t>
      </w:r>
    </w:p>
  </w:footnote>
  <w:footnote w:id="871">
    <w:p w14:paraId="44BFDDCC" w14:textId="3FCD33CC" w:rsidR="008444FB" w:rsidRPr="00FF6E12" w:rsidRDefault="008444FB">
      <w:pPr>
        <w:pStyle w:val="FootnoteText"/>
      </w:pPr>
      <w:r w:rsidRPr="00FF6E12">
        <w:rPr>
          <w:rStyle w:val="FootnoteReference"/>
        </w:rPr>
        <w:footnoteRef/>
      </w:r>
      <w:r w:rsidRPr="00FF6E12">
        <w:t xml:space="preserve"> </w:t>
      </w:r>
      <w:r w:rsidR="00F4414A" w:rsidRPr="00A920EC">
        <w:rPr>
          <w:i/>
          <w:iCs/>
        </w:rPr>
        <w:t>Community Protection (Offender Reporting) Act 2005</w:t>
      </w:r>
      <w:r w:rsidR="00F4414A" w:rsidRPr="00FF6E12">
        <w:t xml:space="preserve"> (Tas) s</w:t>
      </w:r>
      <w:r w:rsidR="00BD7C23" w:rsidRPr="00FF6E12">
        <w:t>s</w:t>
      </w:r>
      <w:r w:rsidR="00F4414A" w:rsidRPr="00FF6E12">
        <w:t xml:space="preserve"> </w:t>
      </w:r>
      <w:r w:rsidRPr="00FF6E12">
        <w:t>24(2), 25(3)</w:t>
      </w:r>
    </w:p>
  </w:footnote>
  <w:footnote w:id="872">
    <w:p w14:paraId="0FACBCF8" w14:textId="3154131A" w:rsidR="008444FB" w:rsidRPr="00FF6E12" w:rsidRDefault="008444FB">
      <w:pPr>
        <w:pStyle w:val="FootnoteText"/>
      </w:pPr>
      <w:r w:rsidRPr="00FF6E12">
        <w:rPr>
          <w:rStyle w:val="FootnoteReference"/>
        </w:rPr>
        <w:footnoteRef/>
      </w:r>
      <w:r w:rsidRPr="00FF6E12">
        <w:t xml:space="preserve"> </w:t>
      </w:r>
      <w:r w:rsidR="00F4414A" w:rsidRPr="00A920EC">
        <w:rPr>
          <w:i/>
          <w:iCs/>
        </w:rPr>
        <w:t>Community Protection (Offender Reporting) Act 2005</w:t>
      </w:r>
      <w:r w:rsidR="00F4414A" w:rsidRPr="00FF6E12">
        <w:t xml:space="preserve"> (Tas) s</w:t>
      </w:r>
      <w:r w:rsidRPr="00FF6E12">
        <w:t xml:space="preserve"> 15</w:t>
      </w:r>
      <w:r w:rsidR="00053A3B" w:rsidRPr="00FF6E12">
        <w:t>,</w:t>
      </w:r>
      <w:r w:rsidRPr="00FF6E12">
        <w:t xml:space="preserve"> </w:t>
      </w:r>
      <w:r w:rsidR="00053A3B" w:rsidRPr="00FF6E12">
        <w:t>sch</w:t>
      </w:r>
      <w:r w:rsidR="00BD7C23" w:rsidRPr="00FF6E12">
        <w:t xml:space="preserve"> </w:t>
      </w:r>
      <w:r w:rsidRPr="00FF6E12">
        <w:t>3.</w:t>
      </w:r>
    </w:p>
  </w:footnote>
  <w:footnote w:id="873">
    <w:p w14:paraId="70DA321C" w14:textId="016D94D5" w:rsidR="008444FB" w:rsidRPr="00FF6E12" w:rsidRDefault="008444FB">
      <w:pPr>
        <w:pStyle w:val="FootnoteText"/>
      </w:pPr>
      <w:r w:rsidRPr="00FF6E12">
        <w:rPr>
          <w:rStyle w:val="FootnoteReference"/>
        </w:rPr>
        <w:footnoteRef/>
      </w:r>
      <w:r w:rsidRPr="00FF6E12">
        <w:t xml:space="preserve"> </w:t>
      </w:r>
      <w:r w:rsidR="00F4414A" w:rsidRPr="00A920EC">
        <w:rPr>
          <w:i/>
          <w:iCs/>
        </w:rPr>
        <w:t>Community Protection (Offender Reporting) Act 2005</w:t>
      </w:r>
      <w:r w:rsidR="00F4414A" w:rsidRPr="00FF6E12">
        <w:t xml:space="preserve"> (Tas) s</w:t>
      </w:r>
      <w:r w:rsidR="00BD7C23" w:rsidRPr="00FF6E12">
        <w:t>s</w:t>
      </w:r>
      <w:r w:rsidRPr="00FF6E12">
        <w:t xml:space="preserve"> 24(3</w:t>
      </w:r>
      <w:r w:rsidR="00BD7C23" w:rsidRPr="00FF6E12">
        <w:t>)</w:t>
      </w:r>
      <w:r w:rsidRPr="00FF6E12">
        <w:t>, 25(3).</w:t>
      </w:r>
    </w:p>
  </w:footnote>
  <w:footnote w:id="874">
    <w:p w14:paraId="7DC148F7" w14:textId="26EC0F15" w:rsidR="008444FB" w:rsidRPr="00FF6E12" w:rsidRDefault="008444FB" w:rsidP="00A920EC">
      <w:pPr>
        <w:pStyle w:val="FootnoteText"/>
      </w:pPr>
      <w:r w:rsidRPr="00FF6E12">
        <w:rPr>
          <w:rStyle w:val="FootnoteReference"/>
        </w:rPr>
        <w:footnoteRef/>
      </w:r>
      <w:r w:rsidRPr="00FF6E12">
        <w:t xml:space="preserve"> </w:t>
      </w:r>
      <w:r w:rsidR="00125D70" w:rsidRPr="00A920EC">
        <w:rPr>
          <w:i/>
          <w:iCs/>
        </w:rPr>
        <w:t>Community Protection (Offender Reporting) Act 2005</w:t>
      </w:r>
      <w:r w:rsidR="00125D70" w:rsidRPr="00FF6E12">
        <w:t xml:space="preserve"> (Tas) s</w:t>
      </w:r>
      <w:r w:rsidRPr="00FF6E12">
        <w:t xml:space="preserve"> 7.</w:t>
      </w:r>
    </w:p>
  </w:footnote>
  <w:footnote w:id="875">
    <w:p w14:paraId="4ED25796" w14:textId="6138DE41" w:rsidR="000A31EE" w:rsidRPr="00FF6E12" w:rsidRDefault="000A31EE">
      <w:pPr>
        <w:pStyle w:val="FootnoteText"/>
      </w:pPr>
      <w:r w:rsidRPr="00FF6E12">
        <w:rPr>
          <w:rStyle w:val="FootnoteReference"/>
        </w:rPr>
        <w:footnoteRef/>
      </w:r>
      <w:r w:rsidRPr="00FF6E12">
        <w:t xml:space="preserve"> </w:t>
      </w:r>
      <w:r w:rsidRPr="00A920EC">
        <w:rPr>
          <w:i/>
          <w:iCs/>
        </w:rPr>
        <w:t>Community Protection (Offender Reporting) Act 2005</w:t>
      </w:r>
      <w:r w:rsidRPr="00FF6E12">
        <w:t xml:space="preserve"> (Tas) s 23B.</w:t>
      </w:r>
    </w:p>
  </w:footnote>
  <w:footnote w:id="876">
    <w:p w14:paraId="72477CB8" w14:textId="2692F9DB" w:rsidR="000A31EE" w:rsidRPr="00FF6E12" w:rsidRDefault="000A31EE">
      <w:pPr>
        <w:pStyle w:val="FootnoteText"/>
      </w:pPr>
      <w:r w:rsidRPr="00FF6E12">
        <w:rPr>
          <w:rStyle w:val="FootnoteReference"/>
        </w:rPr>
        <w:footnoteRef/>
      </w:r>
      <w:r w:rsidRPr="00FF6E12">
        <w:t xml:space="preserve"> </w:t>
      </w:r>
      <w:r w:rsidRPr="00A920EC">
        <w:rPr>
          <w:i/>
          <w:iCs/>
        </w:rPr>
        <w:t>Community Protection (Offender Reporting) Act 2005</w:t>
      </w:r>
      <w:r w:rsidRPr="00FF6E12">
        <w:t xml:space="preserve"> (Tas) s 23C.</w:t>
      </w:r>
    </w:p>
  </w:footnote>
  <w:footnote w:id="877">
    <w:p w14:paraId="0EF324FB" w14:textId="78456F50" w:rsidR="000A31EE" w:rsidRPr="00FF6E12" w:rsidRDefault="000A31EE">
      <w:pPr>
        <w:pStyle w:val="FootnoteText"/>
      </w:pPr>
      <w:r w:rsidRPr="00FF6E12">
        <w:rPr>
          <w:rStyle w:val="FootnoteReference"/>
        </w:rPr>
        <w:footnoteRef/>
      </w:r>
      <w:r w:rsidRPr="00FF6E12">
        <w:t xml:space="preserve"> </w:t>
      </w:r>
      <w:r w:rsidRPr="00A920EC">
        <w:rPr>
          <w:i/>
          <w:iCs/>
        </w:rPr>
        <w:t xml:space="preserve">Community Protection (Offender Reporting) Act 2005 </w:t>
      </w:r>
      <w:r w:rsidRPr="00FF6E12">
        <w:t>(Tas) s 25.</w:t>
      </w:r>
    </w:p>
  </w:footnote>
  <w:footnote w:id="878">
    <w:p w14:paraId="70916664" w14:textId="63F34E53" w:rsidR="003C6810" w:rsidRPr="00FF6E12" w:rsidRDefault="003C6810" w:rsidP="00A920EC">
      <w:pPr>
        <w:pStyle w:val="FootnoteText"/>
      </w:pPr>
      <w:r w:rsidRPr="00FF6E12">
        <w:rPr>
          <w:rStyle w:val="FootnoteReference"/>
        </w:rPr>
        <w:footnoteRef/>
      </w:r>
      <w:r w:rsidRPr="00FF6E12">
        <w:t xml:space="preserve"> See discussion in </w:t>
      </w:r>
      <w:r w:rsidR="00053A3B" w:rsidRPr="00FF6E12">
        <w:t>TSAC</w:t>
      </w:r>
      <w:r w:rsidRPr="00FF6E12">
        <w:t xml:space="preserve">, </w:t>
      </w:r>
      <w:r w:rsidRPr="00FF6E12">
        <w:rPr>
          <w:i/>
          <w:iCs/>
        </w:rPr>
        <w:t>Non-Conviction Sentences: ‘Not Recording a Conviction’ as a Sentencing Option</w:t>
      </w:r>
      <w:r w:rsidRPr="00FF6E12">
        <w:t xml:space="preserve">, </w:t>
      </w:r>
      <w:r w:rsidR="00053A3B" w:rsidRPr="00FF6E12">
        <w:t>(</w:t>
      </w:r>
      <w:r w:rsidRPr="00FF6E12">
        <w:t>Final Report 3</w:t>
      </w:r>
      <w:r w:rsidR="00053A3B" w:rsidRPr="00FF6E12">
        <w:t>,</w:t>
      </w:r>
      <w:r w:rsidRPr="00FF6E12">
        <w:t xml:space="preserve"> 2014</w:t>
      </w:r>
      <w:r w:rsidR="00053A3B" w:rsidRPr="00FF6E12">
        <w:t>)</w:t>
      </w:r>
      <w:r w:rsidRPr="00FF6E12">
        <w:t>.</w:t>
      </w:r>
    </w:p>
  </w:footnote>
  <w:footnote w:id="879">
    <w:p w14:paraId="1512061D" w14:textId="0810A0AC" w:rsidR="003C6810" w:rsidRPr="00FF6E12" w:rsidRDefault="003C6810">
      <w:pPr>
        <w:pStyle w:val="FootnoteText"/>
      </w:pPr>
      <w:r w:rsidRPr="00FF6E12">
        <w:rPr>
          <w:rStyle w:val="FootnoteReference"/>
        </w:rPr>
        <w:footnoteRef/>
      </w:r>
      <w:r w:rsidRPr="00FF6E12">
        <w:t xml:space="preserve"> </w:t>
      </w:r>
      <w:r w:rsidRPr="00A920EC">
        <w:rPr>
          <w:i/>
          <w:iCs/>
        </w:rPr>
        <w:t>Annulled Convictions Act 2003</w:t>
      </w:r>
      <w:r w:rsidRPr="00FF6E12">
        <w:t xml:space="preserve"> (Tas) ss </w:t>
      </w:r>
      <w:r w:rsidR="008B3BE5" w:rsidRPr="00FF6E12">
        <w:t xml:space="preserve">3, </w:t>
      </w:r>
      <w:r w:rsidR="004C78E4" w:rsidRPr="00FF6E12">
        <w:t>6</w:t>
      </w:r>
      <w:r w:rsidRPr="00FF6E12">
        <w:t>.</w:t>
      </w:r>
    </w:p>
  </w:footnote>
  <w:footnote w:id="880">
    <w:p w14:paraId="59FFA829" w14:textId="479CE6A9" w:rsidR="004C78E4" w:rsidRPr="00FF6E12" w:rsidRDefault="004C78E4">
      <w:pPr>
        <w:pStyle w:val="FootnoteText"/>
      </w:pPr>
      <w:r w:rsidRPr="00FF6E12">
        <w:rPr>
          <w:rStyle w:val="FootnoteReference"/>
        </w:rPr>
        <w:footnoteRef/>
      </w:r>
      <w:r w:rsidRPr="00FF6E12">
        <w:t xml:space="preserve"> </w:t>
      </w:r>
      <w:r w:rsidRPr="00FF6E12">
        <w:rPr>
          <w:i/>
          <w:iCs/>
        </w:rPr>
        <w:t xml:space="preserve">Annulled Convictions Act 2003 </w:t>
      </w:r>
      <w:r w:rsidRPr="00FF6E12">
        <w:t xml:space="preserve">(Tas) s 9(4), </w:t>
      </w:r>
      <w:r w:rsidR="00053A3B" w:rsidRPr="00FF6E12">
        <w:t>sch</w:t>
      </w:r>
      <w:r w:rsidR="00BD7C23" w:rsidRPr="00FF6E12">
        <w:t xml:space="preserve"> </w:t>
      </w:r>
      <w:r w:rsidRPr="00FF6E12">
        <w:t>1</w:t>
      </w:r>
      <w:r w:rsidR="00125D70" w:rsidRPr="00FF6E12">
        <w:t>.</w:t>
      </w:r>
    </w:p>
  </w:footnote>
  <w:footnote w:id="881">
    <w:p w14:paraId="6F813CB5" w14:textId="3679B447" w:rsidR="003C6810" w:rsidRPr="00FF6E12" w:rsidRDefault="003C6810">
      <w:pPr>
        <w:pStyle w:val="FootnoteText"/>
      </w:pPr>
      <w:r w:rsidRPr="00FF6E12">
        <w:rPr>
          <w:rStyle w:val="FootnoteReference"/>
        </w:rPr>
        <w:footnoteRef/>
      </w:r>
      <w:r w:rsidRPr="00FF6E12">
        <w:t xml:space="preserve"> </w:t>
      </w:r>
      <w:r w:rsidR="00053A3B" w:rsidRPr="00FF6E12">
        <w:t xml:space="preserve">See Tasmania Police record check information: </w:t>
      </w:r>
      <w:r w:rsidRPr="00FF6E12">
        <w:t>Tasmania Police</w:t>
      </w:r>
      <w:r w:rsidR="00053A3B" w:rsidRPr="00FF6E12">
        <w:t xml:space="preserve">, </w:t>
      </w:r>
      <w:r w:rsidR="00053A3B" w:rsidRPr="00A920EC">
        <w:rPr>
          <w:i/>
          <w:iCs/>
        </w:rPr>
        <w:t>Frequently Asked Questions</w:t>
      </w:r>
      <w:r w:rsidR="00053A3B" w:rsidRPr="00FF6E12">
        <w:t xml:space="preserve"> (Web page, nd)</w:t>
      </w:r>
      <w:r w:rsidRPr="00FF6E12">
        <w:t xml:space="preserve"> &lt;</w:t>
      </w:r>
      <w:r w:rsidR="00D2352A" w:rsidRPr="00A920EC">
        <w:t>https://www.police.tas.gov.au/services-online/national-police-record-check/frequently-asked-questions/</w:t>
      </w:r>
      <w:r w:rsidRPr="00FF6E12">
        <w:t>&gt;.</w:t>
      </w:r>
    </w:p>
  </w:footnote>
  <w:footnote w:id="882">
    <w:p w14:paraId="0B789714" w14:textId="288654F2" w:rsidR="00064F2B" w:rsidRPr="00FF6E12" w:rsidRDefault="00064F2B">
      <w:pPr>
        <w:pStyle w:val="FootnoteText"/>
        <w:rPr>
          <w:i/>
          <w:iCs/>
        </w:rPr>
      </w:pPr>
      <w:r w:rsidRPr="00FF6E12">
        <w:rPr>
          <w:rStyle w:val="FootnoteReference"/>
        </w:rPr>
        <w:footnoteRef/>
      </w:r>
      <w:r w:rsidRPr="00FF6E12">
        <w:t xml:space="preserve"> </w:t>
      </w:r>
      <w:r w:rsidR="0052335E" w:rsidRPr="00FF6E12">
        <w:t>Department</w:t>
      </w:r>
      <w:r w:rsidRPr="00FF6E12">
        <w:t xml:space="preserve"> of Justice, </w:t>
      </w:r>
      <w:r w:rsidRPr="00FF6E12">
        <w:rPr>
          <w:i/>
          <w:iCs/>
        </w:rPr>
        <w:t xml:space="preserve">Risk </w:t>
      </w:r>
      <w:r w:rsidR="0052335E" w:rsidRPr="00FF6E12">
        <w:rPr>
          <w:i/>
          <w:iCs/>
        </w:rPr>
        <w:t>Assessment</w:t>
      </w:r>
      <w:r w:rsidRPr="00FF6E12">
        <w:rPr>
          <w:i/>
          <w:iCs/>
        </w:rPr>
        <w:t xml:space="preserve"> Process </w:t>
      </w:r>
      <w:r w:rsidR="00053A3B" w:rsidRPr="00FF6E12">
        <w:t xml:space="preserve">(Web page, August 2025) </w:t>
      </w:r>
      <w:r w:rsidR="00D2352A" w:rsidRPr="00FF6E12">
        <w:t>&lt;</w:t>
      </w:r>
      <w:r w:rsidR="00D2352A" w:rsidRPr="00A920EC">
        <w:t>https://www.justice.tas.gov.au/rwvp/support-and-resources/risk-assessment-process</w:t>
      </w:r>
      <w:r w:rsidR="00D2352A" w:rsidRPr="00FF6E12">
        <w:t>&gt;</w:t>
      </w:r>
      <w:r w:rsidR="00754B97" w:rsidRPr="00FF6E12">
        <w:t xml:space="preserve">; </w:t>
      </w:r>
      <w:r w:rsidR="00754B97" w:rsidRPr="00FF6E12">
        <w:rPr>
          <w:i/>
          <w:iCs/>
        </w:rPr>
        <w:t xml:space="preserve">Registration to Work with Vulnerable People Act 2013 </w:t>
      </w:r>
      <w:r w:rsidR="00754B97" w:rsidRPr="00FF6E12">
        <w:t>(Tas) s 20(2)</w:t>
      </w:r>
      <w:r w:rsidR="00985D69" w:rsidRPr="00FF6E12">
        <w:t xml:space="preserve">; </w:t>
      </w:r>
      <w:r w:rsidR="00985D69" w:rsidRPr="00FF6E12">
        <w:rPr>
          <w:i/>
          <w:iCs/>
        </w:rPr>
        <w:t xml:space="preserve">Registration to Work with Vulnerable </w:t>
      </w:r>
      <w:r w:rsidR="00D2352A" w:rsidRPr="00FF6E12">
        <w:rPr>
          <w:i/>
          <w:iCs/>
        </w:rPr>
        <w:t>Peo</w:t>
      </w:r>
      <w:r w:rsidR="00985D69" w:rsidRPr="00FF6E12">
        <w:rPr>
          <w:i/>
          <w:iCs/>
        </w:rPr>
        <w:t>ple (Risk Assessment for Child-related Activities) Order 2014.</w:t>
      </w:r>
    </w:p>
  </w:footnote>
  <w:footnote w:id="883">
    <w:p w14:paraId="7A8B3A3F" w14:textId="62A74526" w:rsidR="00D3546D" w:rsidRPr="00FF6E12" w:rsidRDefault="00D3546D">
      <w:pPr>
        <w:pStyle w:val="FootnoteText"/>
      </w:pPr>
      <w:r w:rsidRPr="00FF6E12">
        <w:rPr>
          <w:rStyle w:val="FootnoteReference"/>
        </w:rPr>
        <w:footnoteRef/>
      </w:r>
      <w:r w:rsidRPr="00FF6E12">
        <w:t xml:space="preserve"> </w:t>
      </w:r>
      <w:r w:rsidR="002A786C" w:rsidRPr="00FF6E12">
        <w:t>Participant</w:t>
      </w:r>
      <w:r w:rsidR="004434D2" w:rsidRPr="00FF6E12">
        <w:t xml:space="preserve"> 3</w:t>
      </w:r>
      <w:r w:rsidR="00053A3B" w:rsidRPr="00FF6E12">
        <w:t>.</w:t>
      </w:r>
    </w:p>
  </w:footnote>
  <w:footnote w:id="884">
    <w:p w14:paraId="0BC72CAA" w14:textId="43E761F6" w:rsidR="00A7076E" w:rsidRPr="00FF6E12" w:rsidRDefault="00A7076E">
      <w:pPr>
        <w:pStyle w:val="FootnoteText"/>
      </w:pPr>
      <w:r w:rsidRPr="00FF6E12">
        <w:rPr>
          <w:rStyle w:val="FootnoteReference"/>
        </w:rPr>
        <w:footnoteRef/>
      </w:r>
      <w:r w:rsidRPr="00FF6E12">
        <w:t xml:space="preserve"> </w:t>
      </w:r>
      <w:r w:rsidR="002A786C" w:rsidRPr="00FF6E12">
        <w:t>Participant</w:t>
      </w:r>
      <w:r w:rsidR="00141AFF" w:rsidRPr="00FF6E12">
        <w:t xml:space="preserve"> 16</w:t>
      </w:r>
      <w:r w:rsidRPr="00FF6E12">
        <w:t>.</w:t>
      </w:r>
    </w:p>
  </w:footnote>
  <w:footnote w:id="885">
    <w:p w14:paraId="60C9190F" w14:textId="602BE033" w:rsidR="008041FB" w:rsidRPr="00FF6E12" w:rsidRDefault="008041FB">
      <w:pPr>
        <w:pStyle w:val="FootnoteText"/>
      </w:pPr>
      <w:r w:rsidRPr="00FF6E12">
        <w:rPr>
          <w:rStyle w:val="FootnoteReference"/>
        </w:rPr>
        <w:footnoteRef/>
      </w:r>
      <w:r w:rsidRPr="00FF6E12">
        <w:t xml:space="preserve"> </w:t>
      </w:r>
      <w:r w:rsidR="002A786C" w:rsidRPr="00FF6E12">
        <w:t>Participant</w:t>
      </w:r>
      <w:r w:rsidR="00141AFF" w:rsidRPr="00FF6E12">
        <w:t xml:space="preserve"> 29</w:t>
      </w:r>
      <w:r w:rsidRPr="00FF6E12">
        <w:t>.</w:t>
      </w:r>
    </w:p>
  </w:footnote>
  <w:footnote w:id="886">
    <w:p w14:paraId="39121168" w14:textId="42218D35" w:rsidR="004F207F" w:rsidRPr="00FF6E12" w:rsidRDefault="004F207F">
      <w:pPr>
        <w:pStyle w:val="FootnoteText"/>
      </w:pPr>
      <w:r w:rsidRPr="00FF6E12">
        <w:rPr>
          <w:rStyle w:val="FootnoteReference"/>
        </w:rPr>
        <w:footnoteRef/>
      </w:r>
      <w:r w:rsidRPr="00FF6E12">
        <w:t xml:space="preserve"> </w:t>
      </w:r>
      <w:r w:rsidR="002A786C" w:rsidRPr="00FF6E12">
        <w:t>Participant</w:t>
      </w:r>
      <w:r w:rsidR="00141AFF" w:rsidRPr="00FF6E12">
        <w:t xml:space="preserve"> 17</w:t>
      </w:r>
      <w:r w:rsidR="00772C7F" w:rsidRPr="00FF6E12">
        <w:t xml:space="preserve">, </w:t>
      </w:r>
      <w:r w:rsidR="002A786C" w:rsidRPr="00FF6E12">
        <w:t>Participant</w:t>
      </w:r>
      <w:r w:rsidR="00141AFF" w:rsidRPr="00FF6E12">
        <w:t xml:space="preserve"> 18</w:t>
      </w:r>
      <w:r w:rsidR="00772C7F" w:rsidRPr="00FF6E12">
        <w:t>.</w:t>
      </w:r>
    </w:p>
  </w:footnote>
  <w:footnote w:id="887">
    <w:p w14:paraId="5B24F29F" w14:textId="6A98B0C1" w:rsidR="00772C7F" w:rsidRPr="00FF6E12" w:rsidRDefault="00772C7F">
      <w:pPr>
        <w:pStyle w:val="FootnoteText"/>
      </w:pPr>
      <w:r w:rsidRPr="00FF6E12">
        <w:rPr>
          <w:rStyle w:val="FootnoteReference"/>
        </w:rPr>
        <w:footnoteRef/>
      </w:r>
      <w:r w:rsidRPr="00FF6E12">
        <w:t xml:space="preserve"> </w:t>
      </w:r>
      <w:r w:rsidR="002A786C" w:rsidRPr="00FF6E12">
        <w:t>Participant</w:t>
      </w:r>
      <w:r w:rsidR="00141AFF" w:rsidRPr="00FF6E12">
        <w:t xml:space="preserve"> 12</w:t>
      </w:r>
      <w:r w:rsidRPr="00FF6E12">
        <w:t>.</w:t>
      </w:r>
    </w:p>
  </w:footnote>
  <w:footnote w:id="888">
    <w:p w14:paraId="4D65BA04" w14:textId="69D29346" w:rsidR="004F331E" w:rsidRPr="00FF6E12" w:rsidRDefault="004F331E">
      <w:pPr>
        <w:pStyle w:val="FootnoteText"/>
      </w:pPr>
      <w:r w:rsidRPr="00FF6E12">
        <w:rPr>
          <w:rStyle w:val="FootnoteReference"/>
        </w:rPr>
        <w:footnoteRef/>
      </w:r>
      <w:r w:rsidRPr="00FF6E12">
        <w:t xml:space="preserve"> </w:t>
      </w:r>
      <w:r w:rsidR="002A786C" w:rsidRPr="00FF6E12">
        <w:t>Participant</w:t>
      </w:r>
      <w:r w:rsidR="00141AFF" w:rsidRPr="00FF6E12">
        <w:t xml:space="preserve"> 16</w:t>
      </w:r>
      <w:r w:rsidRPr="00FF6E12">
        <w:t>.</w:t>
      </w:r>
    </w:p>
  </w:footnote>
  <w:footnote w:id="889">
    <w:p w14:paraId="752B33F9" w14:textId="27CF719E" w:rsidR="0029392E" w:rsidRPr="00FF6E12" w:rsidRDefault="0029392E" w:rsidP="00A920EC">
      <w:pPr>
        <w:pStyle w:val="FootnoteText"/>
      </w:pPr>
      <w:r w:rsidRPr="00FF6E12">
        <w:rPr>
          <w:rStyle w:val="FootnoteReference"/>
        </w:rPr>
        <w:footnoteRef/>
      </w:r>
      <w:r w:rsidRPr="00FF6E12">
        <w:t xml:space="preserve"> </w:t>
      </w:r>
      <w:r w:rsidR="002A786C" w:rsidRPr="00FF6E12">
        <w:t>Participant</w:t>
      </w:r>
      <w:r w:rsidR="004434D2" w:rsidRPr="00FF6E12">
        <w:t xml:space="preserve"> 2</w:t>
      </w:r>
      <w:r w:rsidRPr="00FF6E12">
        <w:t xml:space="preserve">, </w:t>
      </w:r>
      <w:r w:rsidR="002A786C" w:rsidRPr="00FF6E12">
        <w:t>Participant</w:t>
      </w:r>
      <w:r w:rsidR="00141AFF" w:rsidRPr="00FF6E12">
        <w:t xml:space="preserve"> 9</w:t>
      </w:r>
      <w:r w:rsidRPr="00FF6E12">
        <w:t xml:space="preserve">, </w:t>
      </w:r>
      <w:r w:rsidR="002A786C" w:rsidRPr="00FF6E12">
        <w:t>Participant</w:t>
      </w:r>
      <w:r w:rsidR="00141AFF" w:rsidRPr="00FF6E12">
        <w:t xml:space="preserve"> 13</w:t>
      </w:r>
      <w:r w:rsidRPr="00FF6E12">
        <w:t xml:space="preserve">, </w:t>
      </w:r>
      <w:r w:rsidR="002A786C" w:rsidRPr="00FF6E12">
        <w:t>Participant</w:t>
      </w:r>
      <w:r w:rsidR="00141AFF" w:rsidRPr="00FF6E12">
        <w:t xml:space="preserve"> 31</w:t>
      </w:r>
      <w:r w:rsidRPr="00FF6E12">
        <w:t>.</w:t>
      </w:r>
    </w:p>
  </w:footnote>
  <w:footnote w:id="890">
    <w:p w14:paraId="06630DB4" w14:textId="541CEF8B" w:rsidR="00C11893" w:rsidRPr="00FF6E12" w:rsidRDefault="00C11893"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33</w:t>
      </w:r>
      <w:r w:rsidR="00B31578" w:rsidRPr="00FF6E12">
        <w:t>.</w:t>
      </w:r>
    </w:p>
  </w:footnote>
  <w:footnote w:id="891">
    <w:p w14:paraId="49C32CA6" w14:textId="5CCF0EA7" w:rsidR="008359A4" w:rsidRPr="00FF6E12" w:rsidRDefault="008359A4" w:rsidP="00A920EC">
      <w:pPr>
        <w:pStyle w:val="FootnoteText"/>
      </w:pPr>
      <w:r w:rsidRPr="00FF6E12">
        <w:rPr>
          <w:rStyle w:val="FootnoteReference"/>
        </w:rPr>
        <w:footnoteRef/>
      </w:r>
      <w:r w:rsidRPr="00FF6E12">
        <w:t xml:space="preserve"> </w:t>
      </w:r>
      <w:r w:rsidR="002A786C" w:rsidRPr="00FF6E12">
        <w:t>Participant</w:t>
      </w:r>
      <w:r w:rsidR="00141AFF" w:rsidRPr="00FF6E12">
        <w:t xml:space="preserve"> 37</w:t>
      </w:r>
      <w:r w:rsidRPr="00FF6E12">
        <w:t>.</w:t>
      </w:r>
    </w:p>
  </w:footnote>
  <w:footnote w:id="892">
    <w:p w14:paraId="09663248" w14:textId="46AB96D9" w:rsidR="00C3340E" w:rsidRPr="00FF6E12" w:rsidRDefault="00C3340E" w:rsidP="00A920EC">
      <w:pPr>
        <w:pStyle w:val="FootnoteText"/>
      </w:pPr>
      <w:r w:rsidRPr="00FF6E12">
        <w:rPr>
          <w:rStyle w:val="FootnoteReference"/>
        </w:rPr>
        <w:footnoteRef/>
      </w:r>
      <w:r w:rsidRPr="00FF6E12">
        <w:t xml:space="preserve"> </w:t>
      </w:r>
      <w:r w:rsidR="00053A3B" w:rsidRPr="00FF6E12">
        <w:t xml:space="preserve">YJRT </w:t>
      </w:r>
      <w:r w:rsidR="00053A3B" w:rsidRPr="00A920EC">
        <w:rPr>
          <w:i/>
          <w:iCs/>
        </w:rPr>
        <w:t>Framework</w:t>
      </w:r>
      <w:r w:rsidR="00053A3B" w:rsidRPr="00FF6E12">
        <w:t xml:space="preserve"> (n </w:t>
      </w:r>
      <w:r w:rsidR="00053A3B" w:rsidRPr="00FF6E12">
        <w:fldChar w:fldCharType="begin"/>
      </w:r>
      <w:r w:rsidR="00053A3B" w:rsidRPr="00FF6E12">
        <w:instrText xml:space="preserve"> NOTEREF _Ref217903737 \h </w:instrText>
      </w:r>
      <w:r w:rsidR="00053A3B" w:rsidRPr="00FF6E12">
        <w:fldChar w:fldCharType="separate"/>
      </w:r>
      <w:r w:rsidR="007D7830">
        <w:t>37</w:t>
      </w:r>
      <w:r w:rsidR="00053A3B" w:rsidRPr="00FF6E12">
        <w:fldChar w:fldCharType="end"/>
      </w:r>
      <w:r w:rsidR="00053A3B" w:rsidRPr="00FF6E12">
        <w:t>)</w:t>
      </w:r>
      <w:r w:rsidRPr="00FF6E12">
        <w:t xml:space="preserve"> 11</w:t>
      </w:r>
      <w:r w:rsidR="00CF5288" w:rsidRPr="00FF6E12">
        <w:t xml:space="preserve">. See also </w:t>
      </w:r>
      <w:r w:rsidR="00053A3B" w:rsidRPr="00FF6E12">
        <w:t xml:space="preserve">YJRT </w:t>
      </w:r>
      <w:r w:rsidR="00053A3B" w:rsidRPr="00A920EC">
        <w:rPr>
          <w:i/>
          <w:iCs/>
        </w:rPr>
        <w:t>Model of Care</w:t>
      </w:r>
      <w:r w:rsidR="00053A3B" w:rsidRPr="00FF6E12">
        <w:t xml:space="preserve"> (n </w:t>
      </w:r>
      <w:r w:rsidR="00053A3B" w:rsidRPr="00FF6E12">
        <w:fldChar w:fldCharType="begin"/>
      </w:r>
      <w:r w:rsidR="00053A3B" w:rsidRPr="00FF6E12">
        <w:instrText xml:space="preserve"> NOTEREF _Ref217905264 \h </w:instrText>
      </w:r>
      <w:r w:rsidR="00053A3B" w:rsidRPr="00FF6E12">
        <w:fldChar w:fldCharType="separate"/>
      </w:r>
      <w:r w:rsidR="007D7830">
        <w:t>38</w:t>
      </w:r>
      <w:r w:rsidR="00053A3B" w:rsidRPr="00FF6E12">
        <w:fldChar w:fldCharType="end"/>
      </w:r>
      <w:r w:rsidR="00053A3B" w:rsidRPr="00FF6E12">
        <w:t>).</w:t>
      </w:r>
    </w:p>
  </w:footnote>
  <w:footnote w:id="893">
    <w:p w14:paraId="5C5B10FF" w14:textId="7B498515" w:rsidR="00A76AE6" w:rsidRPr="00FF6E12" w:rsidRDefault="00A76AE6">
      <w:pPr>
        <w:pStyle w:val="FootnoteText"/>
      </w:pPr>
      <w:r w:rsidRPr="00FF6E12">
        <w:rPr>
          <w:rStyle w:val="FootnoteReference"/>
        </w:rPr>
        <w:footnoteRef/>
      </w:r>
      <w:r w:rsidRPr="00FF6E12">
        <w:t xml:space="preserve"> See further detail in Appendix </w:t>
      </w:r>
      <w:r w:rsidR="00AA2A84" w:rsidRPr="00FF6E12">
        <w:t xml:space="preserve">J and </w:t>
      </w:r>
      <w:r w:rsidR="00053A3B" w:rsidRPr="00FF6E12">
        <w:t xml:space="preserve">Appendix </w:t>
      </w:r>
      <w:r w:rsidR="00AA2A84" w:rsidRPr="00FF6E12">
        <w:t>L</w:t>
      </w:r>
      <w:r w:rsidRPr="00FF6E12">
        <w:t>.</w:t>
      </w:r>
    </w:p>
  </w:footnote>
  <w:footnote w:id="894">
    <w:p w14:paraId="703F8838" w14:textId="4B9C3DB1" w:rsidR="006863E6" w:rsidRPr="00FF6E12" w:rsidRDefault="006863E6">
      <w:pPr>
        <w:pStyle w:val="FootnoteText"/>
      </w:pPr>
      <w:r w:rsidRPr="00FF6E12">
        <w:rPr>
          <w:rStyle w:val="FootnoteReference"/>
        </w:rPr>
        <w:footnoteRef/>
      </w:r>
      <w:r w:rsidRPr="00FF6E12">
        <w:t xml:space="preserve"> See </w:t>
      </w:r>
      <w:r w:rsidR="00540213" w:rsidRPr="00FF6E12">
        <w:t>Tasmania</w:t>
      </w:r>
      <w:r w:rsidR="00053A3B" w:rsidRPr="00FF6E12">
        <w:t>n</w:t>
      </w:r>
      <w:r w:rsidR="00540213" w:rsidRPr="00FF6E12">
        <w:t xml:space="preserve"> Government</w:t>
      </w:r>
      <w:r w:rsidR="00053A3B" w:rsidRPr="00FF6E12">
        <w:t xml:space="preserve"> (n </w:t>
      </w:r>
      <w:r w:rsidR="00053A3B" w:rsidRPr="00FF6E12">
        <w:fldChar w:fldCharType="begin"/>
      </w:r>
      <w:r w:rsidR="00053A3B" w:rsidRPr="00FF6E12">
        <w:instrText xml:space="preserve"> NOTEREF _Ref217905183 \h </w:instrText>
      </w:r>
      <w:r w:rsidR="00053A3B" w:rsidRPr="00FF6E12">
        <w:fldChar w:fldCharType="separate"/>
      </w:r>
      <w:r w:rsidR="007D7830">
        <w:t>11</w:t>
      </w:r>
      <w:r w:rsidR="00053A3B" w:rsidRPr="00FF6E12">
        <w:fldChar w:fldCharType="end"/>
      </w:r>
      <w:r w:rsidR="00053A3B" w:rsidRPr="00FF6E12">
        <w:t>)</w:t>
      </w:r>
      <w:r w:rsidR="00540213" w:rsidRPr="00FF6E12">
        <w:t>.</w:t>
      </w:r>
    </w:p>
  </w:footnote>
  <w:footnote w:id="895">
    <w:p w14:paraId="1C8B743F" w14:textId="6B2E5250" w:rsidR="00377390" w:rsidRPr="00FF6E12" w:rsidRDefault="00377390">
      <w:pPr>
        <w:pStyle w:val="FootnoteText"/>
      </w:pPr>
      <w:r w:rsidRPr="00FF6E12">
        <w:rPr>
          <w:rStyle w:val="FootnoteReference"/>
        </w:rPr>
        <w:footnoteRef/>
      </w:r>
      <w:r w:rsidRPr="00FF6E12">
        <w:t xml:space="preserve"> See</w:t>
      </w:r>
      <w:r w:rsidR="00631EFE" w:rsidRPr="00FF6E12">
        <w:t>,</w:t>
      </w:r>
      <w:r w:rsidRPr="00FF6E12">
        <w:t xml:space="preserve"> for example</w:t>
      </w:r>
      <w:r w:rsidR="00631EFE" w:rsidRPr="00FF6E12">
        <w:t>,</w:t>
      </w:r>
      <w:r w:rsidRPr="00FF6E12">
        <w:t xml:space="preserve"> discussion of </w:t>
      </w:r>
      <w:r w:rsidR="00816E21" w:rsidRPr="00FF6E12">
        <w:t xml:space="preserve">factors relating to </w:t>
      </w:r>
      <w:r w:rsidRPr="00FF6E12">
        <w:t>delay</w:t>
      </w:r>
      <w:r w:rsidR="00816E21" w:rsidRPr="00FF6E12">
        <w:t xml:space="preserve"> in </w:t>
      </w:r>
      <w:r w:rsidR="001C7A37" w:rsidRPr="00FF6E12">
        <w:t xml:space="preserve">the context of </w:t>
      </w:r>
      <w:r w:rsidR="00816E21" w:rsidRPr="00FF6E12">
        <w:t xml:space="preserve">sexual offence cases </w:t>
      </w:r>
      <w:r w:rsidR="00CD4356" w:rsidRPr="00FF6E12">
        <w:t>involving</w:t>
      </w:r>
      <w:r w:rsidR="001C7A37" w:rsidRPr="00FF6E12">
        <w:t xml:space="preserve"> child complainants, </w:t>
      </w:r>
      <w:r w:rsidR="00CD4356" w:rsidRPr="00FF6E12">
        <w:t>Supreme</w:t>
      </w:r>
      <w:r w:rsidR="001C7A37" w:rsidRPr="00FF6E12">
        <w:t xml:space="preserve"> Court of Tasmania, </w:t>
      </w:r>
      <w:r w:rsidR="00CD4356" w:rsidRPr="00FF6E12">
        <w:rPr>
          <w:i/>
          <w:iCs/>
        </w:rPr>
        <w:t>Annual</w:t>
      </w:r>
      <w:r w:rsidR="001C7A37" w:rsidRPr="00FF6E12">
        <w:rPr>
          <w:i/>
          <w:iCs/>
        </w:rPr>
        <w:t xml:space="preserve"> Report</w:t>
      </w:r>
      <w:r w:rsidR="004970FB" w:rsidRPr="00FF6E12">
        <w:rPr>
          <w:i/>
          <w:iCs/>
        </w:rPr>
        <w:t xml:space="preserve"> 2024</w:t>
      </w:r>
      <w:r w:rsidR="00053A3B" w:rsidRPr="00FF6E12">
        <w:rPr>
          <w:i/>
          <w:iCs/>
        </w:rPr>
        <w:t xml:space="preserve"> </w:t>
      </w:r>
      <w:r w:rsidR="004970FB" w:rsidRPr="00FF6E12">
        <w:rPr>
          <w:i/>
          <w:iCs/>
        </w:rPr>
        <w:t>/</w:t>
      </w:r>
      <w:r w:rsidR="00053A3B" w:rsidRPr="00FF6E12">
        <w:rPr>
          <w:i/>
          <w:iCs/>
        </w:rPr>
        <w:t xml:space="preserve"> </w:t>
      </w:r>
      <w:r w:rsidR="004970FB" w:rsidRPr="00FF6E12">
        <w:rPr>
          <w:i/>
          <w:iCs/>
        </w:rPr>
        <w:t>2025</w:t>
      </w:r>
      <w:r w:rsidR="004970FB" w:rsidRPr="00FF6E12">
        <w:t xml:space="preserve">, </w:t>
      </w:r>
      <w:r w:rsidR="00EA1300" w:rsidRPr="00FF6E12">
        <w:t>(</w:t>
      </w:r>
      <w:r w:rsidR="00053A3B" w:rsidRPr="00FF6E12">
        <w:t xml:space="preserve">Supreme Court of Tasmania, </w:t>
      </w:r>
      <w:r w:rsidR="00EA1300" w:rsidRPr="00FF6E12">
        <w:t xml:space="preserve">2025) </w:t>
      </w:r>
      <w:r w:rsidR="004970FB" w:rsidRPr="00FF6E12">
        <w:t>43.</w:t>
      </w:r>
    </w:p>
  </w:footnote>
  <w:footnote w:id="896">
    <w:p w14:paraId="04CC5759" w14:textId="524528DD" w:rsidR="002E0E23" w:rsidRPr="00FF6E12" w:rsidRDefault="002E0E23">
      <w:pPr>
        <w:pStyle w:val="FootnoteText"/>
      </w:pPr>
      <w:r w:rsidRPr="00FF6E12">
        <w:rPr>
          <w:rStyle w:val="FootnoteReference"/>
        </w:rPr>
        <w:footnoteRef/>
      </w:r>
      <w:r w:rsidRPr="00FF6E12">
        <w:t xml:space="preserve"> See </w:t>
      </w:r>
      <w:r w:rsidR="001A38C4" w:rsidRPr="00FF6E12">
        <w:rPr>
          <w:i/>
          <w:iCs/>
        </w:rPr>
        <w:t>Director</w:t>
      </w:r>
      <w:r w:rsidRPr="00FF6E12">
        <w:rPr>
          <w:i/>
          <w:iCs/>
        </w:rPr>
        <w:t xml:space="preserve"> of </w:t>
      </w:r>
      <w:r w:rsidR="001A38C4" w:rsidRPr="00FF6E12">
        <w:rPr>
          <w:i/>
          <w:iCs/>
        </w:rPr>
        <w:t>Public</w:t>
      </w:r>
      <w:r w:rsidRPr="00FF6E12">
        <w:rPr>
          <w:i/>
          <w:iCs/>
        </w:rPr>
        <w:t xml:space="preserve"> Prosecutions v JAP </w:t>
      </w:r>
      <w:r w:rsidRPr="00FF6E12">
        <w:t xml:space="preserve">[2025] TASCCA </w:t>
      </w:r>
      <w:r w:rsidR="004616E3" w:rsidRPr="00FF6E12">
        <w:t xml:space="preserve">9, [27] </w:t>
      </w:r>
      <w:r w:rsidR="00CF2D22">
        <w:t>(</w:t>
      </w:r>
      <w:r w:rsidR="004616E3" w:rsidRPr="00FF6E12">
        <w:t>Brett J</w:t>
      </w:r>
      <w:r w:rsidR="00CF2D22">
        <w:t>;</w:t>
      </w:r>
      <w:r w:rsidR="004616E3" w:rsidRPr="00FF6E12">
        <w:t xml:space="preserve"> Wood and </w:t>
      </w:r>
      <w:r w:rsidR="001A38C4" w:rsidRPr="00FF6E12">
        <w:t>Cuthbertson</w:t>
      </w:r>
      <w:r w:rsidR="004616E3" w:rsidRPr="00FF6E12">
        <w:t xml:space="preserve"> JJ </w:t>
      </w:r>
      <w:r w:rsidR="001A38C4" w:rsidRPr="00FF6E12">
        <w:t>a</w:t>
      </w:r>
      <w:r w:rsidR="004616E3" w:rsidRPr="00FF6E12">
        <w:t>greeing)</w:t>
      </w:r>
      <w:r w:rsidR="00A959D9" w:rsidRPr="00FF6E12">
        <w:t xml:space="preserve">. </w:t>
      </w:r>
    </w:p>
  </w:footnote>
  <w:footnote w:id="897">
    <w:p w14:paraId="26AD83B5" w14:textId="0821951A" w:rsidR="00EA1300" w:rsidRPr="00FF6E12" w:rsidRDefault="00EA1300">
      <w:pPr>
        <w:pStyle w:val="FootnoteText"/>
      </w:pPr>
      <w:r w:rsidRPr="00FF6E12">
        <w:rPr>
          <w:rStyle w:val="FootnoteReference"/>
        </w:rPr>
        <w:footnoteRef/>
      </w:r>
      <w:r w:rsidRPr="00FF6E12">
        <w:t xml:space="preserve"> See Supreme Court of Tasmania</w:t>
      </w:r>
      <w:r w:rsidR="00631EFE" w:rsidRPr="00FF6E12">
        <w:t xml:space="preserve"> (n </w:t>
      </w:r>
      <w:r w:rsidR="00631EFE" w:rsidRPr="00FF6E12">
        <w:fldChar w:fldCharType="begin"/>
      </w:r>
      <w:r w:rsidR="00631EFE" w:rsidRPr="00FF6E12">
        <w:instrText xml:space="preserve"> NOTEREF _Ref218016401 \h </w:instrText>
      </w:r>
      <w:r w:rsidR="00631EFE" w:rsidRPr="00FF6E12">
        <w:fldChar w:fldCharType="separate"/>
      </w:r>
      <w:r w:rsidR="007D7830">
        <w:t>894</w:t>
      </w:r>
      <w:r w:rsidR="00631EFE" w:rsidRPr="00FF6E12">
        <w:fldChar w:fldCharType="end"/>
      </w:r>
      <w:r w:rsidR="00631EFE" w:rsidRPr="00FF6E12">
        <w:t>)</w:t>
      </w:r>
      <w:r w:rsidRPr="00FF6E12">
        <w:t xml:space="preserve"> 4</w:t>
      </w:r>
      <w:r w:rsidR="00B63F09" w:rsidRPr="00FF6E12">
        <w:t>2</w:t>
      </w:r>
      <w:r w:rsidR="00AA2A84" w:rsidRPr="00FF6E12">
        <w:t>–</w:t>
      </w:r>
      <w:r w:rsidR="00B63F09" w:rsidRPr="00FF6E12">
        <w:t>4</w:t>
      </w:r>
      <w:r w:rsidR="001A38C4" w:rsidRPr="00FF6E12">
        <w:t>8</w:t>
      </w:r>
      <w:r w:rsidR="00AA2A84" w:rsidRPr="00FF6E12">
        <w:t>.</w:t>
      </w:r>
    </w:p>
  </w:footnote>
  <w:footnote w:id="898">
    <w:p w14:paraId="12C2EC27" w14:textId="2BCC8B55" w:rsidR="00B12986" w:rsidRPr="00FF6E12" w:rsidRDefault="00B12986">
      <w:pPr>
        <w:pStyle w:val="FootnoteText"/>
      </w:pPr>
      <w:r w:rsidRPr="00FF6E12">
        <w:rPr>
          <w:rStyle w:val="FootnoteReference"/>
        </w:rPr>
        <w:footnoteRef/>
      </w:r>
      <w:r w:rsidRPr="00FF6E12">
        <w:t xml:space="preserve"> </w:t>
      </w:r>
      <w:r w:rsidR="001A44CE" w:rsidRPr="00FF6E12">
        <w:t>Supreme</w:t>
      </w:r>
      <w:r w:rsidR="00E06F18" w:rsidRPr="00FF6E12">
        <w:t xml:space="preserve"> Court of Tasmania,</w:t>
      </w:r>
      <w:r w:rsidR="0082786F" w:rsidRPr="00FF6E12">
        <w:t xml:space="preserve"> </w:t>
      </w:r>
      <w:r w:rsidR="0082786F" w:rsidRPr="00FF6E12">
        <w:rPr>
          <w:i/>
          <w:iCs/>
        </w:rPr>
        <w:t>P</w:t>
      </w:r>
      <w:r w:rsidR="00E06F18" w:rsidRPr="00FF6E12">
        <w:rPr>
          <w:i/>
          <w:iCs/>
        </w:rPr>
        <w:t xml:space="preserve">ractice </w:t>
      </w:r>
      <w:r w:rsidR="0082786F" w:rsidRPr="00FF6E12">
        <w:rPr>
          <w:i/>
          <w:iCs/>
        </w:rPr>
        <w:t>Direction</w:t>
      </w:r>
      <w:r w:rsidR="00CF5A5D" w:rsidRPr="00A920EC">
        <w:rPr>
          <w:i/>
          <w:iCs/>
        </w:rPr>
        <w:t xml:space="preserve"> No</w:t>
      </w:r>
      <w:r w:rsidR="00E06F18" w:rsidRPr="00FF6E12">
        <w:rPr>
          <w:i/>
          <w:iCs/>
        </w:rPr>
        <w:t xml:space="preserve"> </w:t>
      </w:r>
      <w:r w:rsidR="00E06F18" w:rsidRPr="00A920EC">
        <w:rPr>
          <w:i/>
          <w:iCs/>
        </w:rPr>
        <w:t>1 of 2025</w:t>
      </w:r>
      <w:r w:rsidR="00DE35CE" w:rsidRPr="00A920EC">
        <w:rPr>
          <w:i/>
          <w:iCs/>
        </w:rPr>
        <w:t>: Criminal Case Management List</w:t>
      </w:r>
      <w:r w:rsidR="00DE35CE" w:rsidRPr="00FF6E12">
        <w:t>,</w:t>
      </w:r>
      <w:r w:rsidR="00E06F18" w:rsidRPr="00FF6E12">
        <w:t xml:space="preserve"> </w:t>
      </w:r>
      <w:r w:rsidR="001A44CE" w:rsidRPr="00FF6E12">
        <w:t>7 July 2025</w:t>
      </w:r>
      <w:r w:rsidR="0082786F" w:rsidRPr="00FF6E12">
        <w:t>.</w:t>
      </w:r>
    </w:p>
  </w:footnote>
  <w:footnote w:id="899">
    <w:p w14:paraId="05D3EA94" w14:textId="7E6921AB" w:rsidR="006F56A5" w:rsidRPr="00FF6E12" w:rsidRDefault="006F56A5">
      <w:pPr>
        <w:pStyle w:val="FootnoteText"/>
      </w:pPr>
      <w:r w:rsidRPr="00FF6E12">
        <w:rPr>
          <w:rStyle w:val="FootnoteReference"/>
        </w:rPr>
        <w:footnoteRef/>
      </w:r>
      <w:r w:rsidRPr="00FF6E12">
        <w:t xml:space="preserve"> See </w:t>
      </w:r>
      <w:r w:rsidR="007F1586" w:rsidRPr="00FF6E12">
        <w:t>[</w:t>
      </w:r>
      <w:r w:rsidR="001A5EEE">
        <w:fldChar w:fldCharType="begin"/>
      </w:r>
      <w:r w:rsidR="001A5EEE">
        <w:instrText xml:space="preserve"> REF _Ref218242055 \r \h </w:instrText>
      </w:r>
      <w:r w:rsidR="001A5EEE">
        <w:fldChar w:fldCharType="separate"/>
      </w:r>
      <w:r w:rsidR="007D7830">
        <w:t>5.6</w:t>
      </w:r>
      <w:r w:rsidR="001A5EEE">
        <w:fldChar w:fldCharType="end"/>
      </w:r>
      <w:r w:rsidR="007F1586" w:rsidRPr="00FF6E12">
        <w:t>]</w:t>
      </w:r>
      <w:r w:rsidR="00541577" w:rsidRPr="00FF6E12">
        <w:t>, [</w:t>
      </w:r>
      <w:r w:rsidR="001A5EEE">
        <w:fldChar w:fldCharType="begin"/>
      </w:r>
      <w:r w:rsidR="001A5EEE">
        <w:instrText xml:space="preserve"> REF _Ref218242068 \r \h </w:instrText>
      </w:r>
      <w:r w:rsidR="001A5EEE">
        <w:fldChar w:fldCharType="separate"/>
      </w:r>
      <w:r w:rsidR="007D7830">
        <w:t>8.2</w:t>
      </w:r>
      <w:r w:rsidR="001A5EEE">
        <w:fldChar w:fldCharType="end"/>
      </w:r>
      <w:r w:rsidR="00C23023" w:rsidRPr="00FF6E12">
        <w:t>].</w:t>
      </w:r>
      <w:r w:rsidRPr="00FF6E12">
        <w:t xml:space="preserve"> </w:t>
      </w:r>
    </w:p>
  </w:footnote>
  <w:footnote w:id="900">
    <w:p w14:paraId="7741207B" w14:textId="2E902482" w:rsidR="00282B0E" w:rsidRPr="00FF6E12" w:rsidRDefault="00282B0E">
      <w:pPr>
        <w:pStyle w:val="FootnoteText"/>
      </w:pPr>
      <w:r w:rsidRPr="00FF6E12">
        <w:rPr>
          <w:rStyle w:val="FootnoteReference"/>
        </w:rPr>
        <w:footnoteRef/>
      </w:r>
      <w:r w:rsidRPr="00FF6E12">
        <w:t xml:space="preserve"> See </w:t>
      </w:r>
      <w:r w:rsidR="00C23023" w:rsidRPr="00FF6E12">
        <w:t>[</w:t>
      </w:r>
      <w:r w:rsidR="001A5EEE">
        <w:fldChar w:fldCharType="begin"/>
      </w:r>
      <w:r w:rsidR="001A5EEE">
        <w:instrText xml:space="preserve"> REF _Ref218242079 \r \h </w:instrText>
      </w:r>
      <w:r w:rsidR="001A5EEE">
        <w:fldChar w:fldCharType="separate"/>
      </w:r>
      <w:r w:rsidR="007D7830">
        <w:t>8.3</w:t>
      </w:r>
      <w:r w:rsidR="001A5EEE">
        <w:fldChar w:fldCharType="end"/>
      </w:r>
      <w:r w:rsidR="00C23023" w:rsidRPr="00FF6E12">
        <w:t>].</w:t>
      </w:r>
    </w:p>
  </w:footnote>
  <w:footnote w:id="901">
    <w:p w14:paraId="2C8D3302" w14:textId="0ABB375C" w:rsidR="00B60272" w:rsidRPr="00FF6E12" w:rsidRDefault="00B60272" w:rsidP="00A920EC">
      <w:pPr>
        <w:pStyle w:val="FootnoteText"/>
      </w:pPr>
      <w:r w:rsidRPr="00FF6E12">
        <w:rPr>
          <w:rStyle w:val="FootnoteReference"/>
        </w:rPr>
        <w:footnoteRef/>
      </w:r>
      <w:r w:rsidRPr="00FF6E12">
        <w:t xml:space="preserve"> </w:t>
      </w:r>
      <w:r w:rsidR="006214F2" w:rsidRPr="00A920EC">
        <w:rPr>
          <w:i/>
          <w:iCs/>
        </w:rPr>
        <w:t>Youth Justice</w:t>
      </w:r>
      <w:r w:rsidRPr="00A920EC">
        <w:rPr>
          <w:i/>
          <w:iCs/>
        </w:rPr>
        <w:t xml:space="preserve"> Act 1992</w:t>
      </w:r>
      <w:r w:rsidRPr="00FF6E12">
        <w:t xml:space="preserve"> (Qld) s 24A</w:t>
      </w:r>
      <w:r w:rsidR="00441AE2" w:rsidRPr="00FF6E12">
        <w:t>.</w:t>
      </w:r>
    </w:p>
  </w:footnote>
  <w:footnote w:id="902">
    <w:p w14:paraId="4499F374" w14:textId="67F8C093" w:rsidR="007B4237" w:rsidRPr="00FF6E12" w:rsidRDefault="007B4237" w:rsidP="00A920EC">
      <w:pPr>
        <w:pStyle w:val="FootnoteText"/>
      </w:pPr>
      <w:r w:rsidRPr="00FF6E12">
        <w:rPr>
          <w:rStyle w:val="FootnoteReference"/>
        </w:rPr>
        <w:footnoteRef/>
      </w:r>
      <w:r w:rsidRPr="00FF6E12">
        <w:t xml:space="preserve"> </w:t>
      </w:r>
      <w:r w:rsidR="00A04A70" w:rsidRPr="00A920EC">
        <w:rPr>
          <w:i/>
          <w:iCs/>
        </w:rPr>
        <w:t>Youth Justice Act 1992</w:t>
      </w:r>
      <w:r w:rsidR="00A04A70" w:rsidRPr="00FF6E12">
        <w:t xml:space="preserve"> (Qld) s </w:t>
      </w:r>
      <w:r w:rsidRPr="00FF6E12">
        <w:t>162(1)</w:t>
      </w:r>
      <w:r w:rsidR="00A04A70" w:rsidRPr="00FF6E12">
        <w:t>.</w:t>
      </w:r>
    </w:p>
  </w:footnote>
  <w:footnote w:id="903">
    <w:p w14:paraId="0A7B11DF" w14:textId="453FC811" w:rsidR="007B4237" w:rsidRPr="00FF6E12" w:rsidRDefault="007B4237" w:rsidP="00A920EC">
      <w:pPr>
        <w:pStyle w:val="FootnoteText"/>
      </w:pPr>
      <w:r w:rsidRPr="00FF6E12">
        <w:rPr>
          <w:rStyle w:val="FootnoteReference"/>
        </w:rPr>
        <w:footnoteRef/>
      </w:r>
      <w:r w:rsidRPr="00FF6E12">
        <w:t xml:space="preserve"> </w:t>
      </w:r>
      <w:r w:rsidR="00A04A70" w:rsidRPr="00A920EC">
        <w:rPr>
          <w:i/>
          <w:iCs/>
        </w:rPr>
        <w:t>Youth Justice Act 1992</w:t>
      </w:r>
      <w:r w:rsidR="00A04A70" w:rsidRPr="00FF6E12">
        <w:t xml:space="preserve"> (Qld) s </w:t>
      </w:r>
      <w:r w:rsidRPr="00FF6E12">
        <w:t>162(2)</w:t>
      </w:r>
      <w:r w:rsidR="00A04A70" w:rsidRPr="00FF6E12">
        <w:t>.</w:t>
      </w:r>
    </w:p>
  </w:footnote>
  <w:footnote w:id="904">
    <w:p w14:paraId="39B262C1" w14:textId="62B7582A" w:rsidR="00784A0F" w:rsidRPr="00FF6E12" w:rsidRDefault="00784A0F" w:rsidP="00A920EC">
      <w:pPr>
        <w:pStyle w:val="FootnoteText"/>
      </w:pPr>
      <w:r w:rsidRPr="00FF6E12">
        <w:rPr>
          <w:rStyle w:val="FootnoteReference"/>
        </w:rPr>
        <w:footnoteRef/>
      </w:r>
      <w:r w:rsidRPr="00FF6E12">
        <w:t xml:space="preserve"> </w:t>
      </w:r>
      <w:r w:rsidRPr="00A920EC">
        <w:rPr>
          <w:i/>
          <w:iCs/>
        </w:rPr>
        <w:t>Youth Justice Act 1992</w:t>
      </w:r>
      <w:r w:rsidRPr="00FF6E12">
        <w:t xml:space="preserve"> (Qld) s 163.</w:t>
      </w:r>
    </w:p>
  </w:footnote>
  <w:footnote w:id="905">
    <w:p w14:paraId="39F24796" w14:textId="14F387F8" w:rsidR="00020294" w:rsidRPr="00FF6E12" w:rsidRDefault="00020294" w:rsidP="00A920EC">
      <w:pPr>
        <w:pStyle w:val="FootnoteText"/>
      </w:pPr>
      <w:r w:rsidRPr="00FF6E12">
        <w:rPr>
          <w:rStyle w:val="FootnoteReference"/>
        </w:rPr>
        <w:footnoteRef/>
      </w:r>
      <w:r w:rsidRPr="00FF6E12">
        <w:t xml:space="preserve"> </w:t>
      </w:r>
      <w:r w:rsidR="00631EFE" w:rsidRPr="00FF6E12">
        <w:t xml:space="preserve">Queensland Sentencing Advisory Council (n </w:t>
      </w:r>
      <w:r w:rsidR="00631EFE" w:rsidRPr="00FF6E12">
        <w:fldChar w:fldCharType="begin"/>
      </w:r>
      <w:r w:rsidR="00631EFE" w:rsidRPr="00FF6E12">
        <w:instrText xml:space="preserve"> NOTEREF _Ref218016536 \h </w:instrText>
      </w:r>
      <w:r w:rsidR="00631EFE" w:rsidRPr="00FF6E12">
        <w:fldChar w:fldCharType="separate"/>
      </w:r>
      <w:r w:rsidR="007D7830">
        <w:t>763</w:t>
      </w:r>
      <w:r w:rsidR="00631EFE" w:rsidRPr="00FF6E12">
        <w:fldChar w:fldCharType="end"/>
      </w:r>
      <w:r w:rsidR="00631EFE" w:rsidRPr="00FF6E12">
        <w:t>)</w:t>
      </w:r>
      <w:r w:rsidRPr="00FF6E12">
        <w:t xml:space="preserve"> 662; </w:t>
      </w:r>
      <w:r w:rsidR="00631EFE" w:rsidRPr="00FF6E12">
        <w:t xml:space="preserve">app </w:t>
      </w:r>
      <w:r w:rsidR="00E83614" w:rsidRPr="00FF6E12">
        <w:t>I</w:t>
      </w:r>
      <w:r w:rsidRPr="00FF6E12">
        <w:t>.</w:t>
      </w:r>
    </w:p>
  </w:footnote>
  <w:footnote w:id="906">
    <w:p w14:paraId="09B8C8EF" w14:textId="0354CAD0" w:rsidR="000F0BD6" w:rsidRPr="00FF6E12" w:rsidRDefault="000F0BD6" w:rsidP="00A920EC">
      <w:pPr>
        <w:pStyle w:val="FootnoteText"/>
      </w:pPr>
      <w:r w:rsidRPr="00FF6E12">
        <w:rPr>
          <w:rStyle w:val="FootnoteReference"/>
        </w:rPr>
        <w:footnoteRef/>
      </w:r>
      <w:r w:rsidRPr="00FF6E12">
        <w:t xml:space="preserve"> </w:t>
      </w:r>
      <w:r w:rsidR="00DB3B42" w:rsidRPr="00A920EC">
        <w:rPr>
          <w:i/>
          <w:iCs/>
        </w:rPr>
        <w:t>Crimes (Restorative Justice) Act 2004</w:t>
      </w:r>
      <w:r w:rsidR="00DB3B42" w:rsidRPr="00FF6E12">
        <w:t xml:space="preserve"> (ACT) s</w:t>
      </w:r>
      <w:r w:rsidR="00F83F58" w:rsidRPr="00FF6E12">
        <w:t xml:space="preserve"> 16(2)</w:t>
      </w:r>
      <w:r w:rsidR="00BB6EAB" w:rsidRPr="00FF6E12">
        <w:t xml:space="preserve">. </w:t>
      </w:r>
    </w:p>
  </w:footnote>
  <w:footnote w:id="907">
    <w:p w14:paraId="3303880F" w14:textId="58E5869C" w:rsidR="00794592" w:rsidRPr="00FF6E12" w:rsidRDefault="00794592">
      <w:pPr>
        <w:pStyle w:val="FootnoteText"/>
      </w:pPr>
      <w:r w:rsidRPr="00FF6E12">
        <w:rPr>
          <w:rStyle w:val="FootnoteReference"/>
        </w:rPr>
        <w:footnoteRef/>
      </w:r>
      <w:r w:rsidRPr="00FF6E12">
        <w:t xml:space="preserve"> </w:t>
      </w:r>
      <w:r w:rsidR="00DB3B42" w:rsidRPr="00A920EC">
        <w:rPr>
          <w:rFonts w:cs="Times New Roman"/>
          <w:i/>
          <w:iCs/>
        </w:rPr>
        <w:t>Crimes (Restorative Justice) Act 2004</w:t>
      </w:r>
      <w:r w:rsidR="00DB3B42" w:rsidRPr="00FF6E12">
        <w:rPr>
          <w:rFonts w:cs="Times New Roman"/>
        </w:rPr>
        <w:t xml:space="preserve"> (ACT) s </w:t>
      </w:r>
      <w:r w:rsidRPr="00FF6E12">
        <w:t>16(</w:t>
      </w:r>
      <w:r w:rsidR="00D6037D" w:rsidRPr="00FF6E12">
        <w:t>4)</w:t>
      </w:r>
      <w:r w:rsidR="00631EFE" w:rsidRPr="00FF6E12">
        <w:t>;</w:t>
      </w:r>
      <w:r w:rsidR="0075288F" w:rsidRPr="00FF6E12">
        <w:t xml:space="preserve"> </w:t>
      </w:r>
      <w:r w:rsidR="00631EFE" w:rsidRPr="00FF6E12">
        <w:t>s</w:t>
      </w:r>
      <w:r w:rsidR="0075288F" w:rsidRPr="00FF6E12">
        <w:t xml:space="preserve">ee </w:t>
      </w:r>
      <w:r w:rsidR="00631EFE" w:rsidRPr="00FF6E12">
        <w:t xml:space="preserve">Lawler et al (n </w:t>
      </w:r>
      <w:r w:rsidR="00631EFE" w:rsidRPr="00FF6E12">
        <w:fldChar w:fldCharType="begin"/>
      </w:r>
      <w:r w:rsidR="00631EFE" w:rsidRPr="00FF6E12">
        <w:instrText xml:space="preserve"> NOTEREF _Ref218005998 \h </w:instrText>
      </w:r>
      <w:r w:rsidR="00631EFE" w:rsidRPr="00FF6E12">
        <w:fldChar w:fldCharType="separate"/>
      </w:r>
      <w:r w:rsidR="007D7830">
        <w:t>757</w:t>
      </w:r>
      <w:r w:rsidR="00631EFE" w:rsidRPr="00FF6E12">
        <w:fldChar w:fldCharType="end"/>
      </w:r>
      <w:r w:rsidR="00631EFE" w:rsidRPr="00FF6E12">
        <w:t xml:space="preserve">) </w:t>
      </w:r>
      <w:r w:rsidR="0075288F" w:rsidRPr="00FF6E12">
        <w:t>38</w:t>
      </w:r>
      <w:r w:rsidR="00A22447" w:rsidRPr="00FF6E12">
        <w:t>–</w:t>
      </w:r>
      <w:r w:rsidR="00816F63" w:rsidRPr="00FF6E12">
        <w:t>39</w:t>
      </w:r>
      <w:r w:rsidR="00A22447" w:rsidRPr="00FF6E12">
        <w:t>.</w:t>
      </w:r>
    </w:p>
  </w:footnote>
  <w:footnote w:id="908">
    <w:p w14:paraId="791D799D" w14:textId="114C03CD" w:rsidR="007532CF" w:rsidRPr="00FF6E12" w:rsidRDefault="007532CF">
      <w:pPr>
        <w:pStyle w:val="FootnoteText"/>
      </w:pPr>
      <w:r w:rsidRPr="00FF6E12">
        <w:rPr>
          <w:rStyle w:val="FootnoteReference"/>
        </w:rPr>
        <w:footnoteRef/>
      </w:r>
      <w:r w:rsidRPr="00FF6E12">
        <w:t xml:space="preserve"> </w:t>
      </w:r>
      <w:r w:rsidR="00CA6391" w:rsidRPr="00A920EC">
        <w:rPr>
          <w:rFonts w:cs="Times New Roman"/>
          <w:i/>
          <w:iCs/>
        </w:rPr>
        <w:t xml:space="preserve">Crimes (Restorative Justice) Act 2004 </w:t>
      </w:r>
      <w:r w:rsidR="00CA6391" w:rsidRPr="00FF6E12">
        <w:rPr>
          <w:rFonts w:cs="Times New Roman"/>
        </w:rPr>
        <w:t xml:space="preserve">(ACT) </w:t>
      </w:r>
      <w:r w:rsidR="00631EFE" w:rsidRPr="00FF6E12">
        <w:rPr>
          <w:rFonts w:cs="Times New Roman"/>
        </w:rPr>
        <w:t>s</w:t>
      </w:r>
      <w:r w:rsidR="002E5813" w:rsidRPr="00FF6E12">
        <w:rPr>
          <w:rFonts w:cs="Times New Roman"/>
        </w:rPr>
        <w:t>s 6(d), 7(2), 25(f)</w:t>
      </w:r>
      <w:r w:rsidR="004B2FAB" w:rsidRPr="00FF6E12">
        <w:rPr>
          <w:rFonts w:cs="Times New Roman"/>
        </w:rPr>
        <w:t>(</w:t>
      </w:r>
      <w:r w:rsidR="002E5813" w:rsidRPr="00FF6E12">
        <w:rPr>
          <w:rFonts w:cs="Times New Roman"/>
        </w:rPr>
        <w:t>i)</w:t>
      </w:r>
      <w:r w:rsidR="00AE6BB7" w:rsidRPr="00FF6E12">
        <w:rPr>
          <w:rFonts w:cs="Times New Roman"/>
        </w:rPr>
        <w:t xml:space="preserve">; </w:t>
      </w:r>
      <w:r w:rsidR="00631EFE" w:rsidRPr="00FF6E12">
        <w:t xml:space="preserve">Lawler et al (n </w:t>
      </w:r>
      <w:r w:rsidR="00631EFE" w:rsidRPr="00FF6E12">
        <w:fldChar w:fldCharType="begin"/>
      </w:r>
      <w:r w:rsidR="00631EFE" w:rsidRPr="00FF6E12">
        <w:instrText xml:space="preserve"> NOTEREF _Ref218005998 \h </w:instrText>
      </w:r>
      <w:r w:rsidR="00631EFE" w:rsidRPr="00FF6E12">
        <w:fldChar w:fldCharType="separate"/>
      </w:r>
      <w:r w:rsidR="007D7830">
        <w:t>757</w:t>
      </w:r>
      <w:r w:rsidR="00631EFE" w:rsidRPr="00FF6E12">
        <w:fldChar w:fldCharType="end"/>
      </w:r>
      <w:r w:rsidR="00631EFE" w:rsidRPr="00FF6E12">
        <w:t>)</w:t>
      </w:r>
      <w:r w:rsidR="00A80FF8" w:rsidRPr="00FF6E12">
        <w:t xml:space="preserve"> 104</w:t>
      </w:r>
      <w:r w:rsidR="00A22447" w:rsidRPr="00FF6E12">
        <w:t>.</w:t>
      </w:r>
    </w:p>
  </w:footnote>
  <w:footnote w:id="909">
    <w:p w14:paraId="77D2444F" w14:textId="336513EF" w:rsidR="00077EC5" w:rsidRPr="00FF6E12" w:rsidRDefault="00077EC5">
      <w:pPr>
        <w:pStyle w:val="FootnoteText"/>
      </w:pPr>
      <w:r w:rsidRPr="00FF6E12">
        <w:rPr>
          <w:rStyle w:val="FootnoteReference"/>
        </w:rPr>
        <w:footnoteRef/>
      </w:r>
      <w:r w:rsidRPr="00FF6E12">
        <w:t xml:space="preserve"> </w:t>
      </w:r>
      <w:r w:rsidRPr="00A920EC">
        <w:rPr>
          <w:i/>
          <w:iCs/>
        </w:rPr>
        <w:t>Crimes (Restorative Justice) Act 2004</w:t>
      </w:r>
      <w:r w:rsidRPr="00FF6E12">
        <w:t xml:space="preserve"> (ACT) s 25(f)(i).</w:t>
      </w:r>
    </w:p>
  </w:footnote>
  <w:footnote w:id="910">
    <w:p w14:paraId="019592A1" w14:textId="5C3170C6" w:rsidR="00124AEC" w:rsidRPr="00FF6E12" w:rsidRDefault="00124AEC">
      <w:pPr>
        <w:pStyle w:val="FootnoteText"/>
      </w:pPr>
      <w:r w:rsidRPr="00FF6E12">
        <w:rPr>
          <w:rStyle w:val="FootnoteReference"/>
        </w:rPr>
        <w:footnoteRef/>
      </w:r>
      <w:r w:rsidRPr="00FF6E12">
        <w:t xml:space="preserve"> </w:t>
      </w:r>
      <w:r w:rsidR="00631EFE" w:rsidRPr="00FF6E12">
        <w:t xml:space="preserve">Lawler et al (n </w:t>
      </w:r>
      <w:r w:rsidR="00631EFE" w:rsidRPr="00FF6E12">
        <w:fldChar w:fldCharType="begin"/>
      </w:r>
      <w:r w:rsidR="00631EFE" w:rsidRPr="00FF6E12">
        <w:instrText xml:space="preserve"> NOTEREF _Ref218005998 \h </w:instrText>
      </w:r>
      <w:r w:rsidR="00631EFE" w:rsidRPr="00FF6E12">
        <w:fldChar w:fldCharType="separate"/>
      </w:r>
      <w:r w:rsidR="007D7830">
        <w:t>757</w:t>
      </w:r>
      <w:r w:rsidR="00631EFE" w:rsidRPr="00FF6E12">
        <w:fldChar w:fldCharType="end"/>
      </w:r>
      <w:r w:rsidR="00631EFE" w:rsidRPr="00FF6E12">
        <w:t xml:space="preserve">) </w:t>
      </w:r>
      <w:r w:rsidRPr="00FF6E12">
        <w:t>104</w:t>
      </w:r>
      <w:r w:rsidR="00A22447" w:rsidRPr="00FF6E12">
        <w:t>.</w:t>
      </w:r>
    </w:p>
  </w:footnote>
  <w:footnote w:id="911">
    <w:p w14:paraId="659312BA" w14:textId="4E29514B" w:rsidR="000925C7" w:rsidRPr="00FF6E12" w:rsidRDefault="000925C7">
      <w:pPr>
        <w:pStyle w:val="FootnoteText"/>
      </w:pPr>
      <w:r w:rsidRPr="00FF6E12">
        <w:rPr>
          <w:rStyle w:val="FootnoteReference"/>
        </w:rPr>
        <w:footnoteRef/>
      </w:r>
      <w:r w:rsidRPr="00FF6E12">
        <w:t xml:space="preserve"> </w:t>
      </w:r>
      <w:r w:rsidRPr="00A920EC">
        <w:rPr>
          <w:i/>
          <w:iCs/>
        </w:rPr>
        <w:t>Young Offenders Act 1994</w:t>
      </w:r>
      <w:r w:rsidRPr="00FF6E12">
        <w:t xml:space="preserve"> (WA) s </w:t>
      </w:r>
      <w:r w:rsidR="006C0734" w:rsidRPr="00FF6E12">
        <w:t>28</w:t>
      </w:r>
      <w:r w:rsidR="00A22447" w:rsidRPr="00FF6E12">
        <w:t>.</w:t>
      </w:r>
    </w:p>
  </w:footnote>
  <w:footnote w:id="912">
    <w:p w14:paraId="44843561" w14:textId="342E6991" w:rsidR="009E56B5" w:rsidRPr="00FF6E12" w:rsidRDefault="009E56B5">
      <w:pPr>
        <w:pStyle w:val="FootnoteText"/>
      </w:pPr>
      <w:r w:rsidRPr="00FF6E12">
        <w:rPr>
          <w:rStyle w:val="FootnoteReference"/>
        </w:rPr>
        <w:footnoteRef/>
      </w:r>
      <w:r w:rsidRPr="00FF6E12">
        <w:t xml:space="preserve"> </w:t>
      </w:r>
      <w:r w:rsidRPr="00A920EC">
        <w:rPr>
          <w:i/>
          <w:iCs/>
        </w:rPr>
        <w:t>Young Offenders Act 1994</w:t>
      </w:r>
      <w:r w:rsidRPr="00FF6E12">
        <w:t xml:space="preserve"> (WA) s 25(1).</w:t>
      </w:r>
    </w:p>
  </w:footnote>
  <w:footnote w:id="913">
    <w:p w14:paraId="676635C3" w14:textId="0E0BD93E" w:rsidR="005A1F7E" w:rsidRPr="00FF6E12" w:rsidRDefault="005A1F7E" w:rsidP="00A920EC">
      <w:pPr>
        <w:pStyle w:val="FootnoteText"/>
        <w:jc w:val="left"/>
      </w:pPr>
      <w:r w:rsidRPr="00FF6E12">
        <w:rPr>
          <w:rStyle w:val="FootnoteReference"/>
        </w:rPr>
        <w:footnoteRef/>
      </w:r>
      <w:r w:rsidRPr="00FF6E12">
        <w:t xml:space="preserve"> </w:t>
      </w:r>
      <w:r w:rsidRPr="00A920EC">
        <w:t xml:space="preserve">See </w:t>
      </w:r>
      <w:r w:rsidR="00631EFE" w:rsidRPr="00FF6E12">
        <w:t xml:space="preserve">Children’s Court of Western Australia, </w:t>
      </w:r>
      <w:r w:rsidR="00631EFE" w:rsidRPr="00A920EC">
        <w:rPr>
          <w:i/>
          <w:iCs/>
        </w:rPr>
        <w:t>Practice Direction 1 of 2023: Court Conferencing Referral to Youth Justice Services</w:t>
      </w:r>
      <w:r w:rsidR="00631EFE" w:rsidRPr="00FF6E12">
        <w:t xml:space="preserve"> (31 March 2023) </w:t>
      </w:r>
      <w:r w:rsidR="007F0D08" w:rsidRPr="00A920EC">
        <w:t>&lt;</w:t>
      </w:r>
      <w:r w:rsidRPr="00A920EC">
        <w:t>https://www.childrenscourt.wa.gov.au/P/practice_direction_1_of_2023.aspx</w:t>
      </w:r>
      <w:r w:rsidR="007F0D08" w:rsidRPr="00A920EC">
        <w:t>&gt;</w:t>
      </w:r>
      <w:r w:rsidR="001A5EEE">
        <w:t>.</w:t>
      </w:r>
    </w:p>
  </w:footnote>
  <w:footnote w:id="914">
    <w:p w14:paraId="35DFAEFB" w14:textId="0394D791" w:rsidR="00732CBF" w:rsidRPr="00FF6E12" w:rsidRDefault="00732CBF">
      <w:pPr>
        <w:pStyle w:val="FootnoteText"/>
      </w:pPr>
      <w:r w:rsidRPr="00FF6E12">
        <w:rPr>
          <w:rStyle w:val="FootnoteReference"/>
        </w:rPr>
        <w:footnoteRef/>
      </w:r>
      <w:r w:rsidRPr="00FF6E12">
        <w:t xml:space="preserve"> </w:t>
      </w:r>
      <w:r w:rsidR="0046576D" w:rsidRPr="00A920EC">
        <w:rPr>
          <w:i/>
          <w:iCs/>
        </w:rPr>
        <w:t>Children, Youth and Families Act 2005</w:t>
      </w:r>
      <w:r w:rsidR="0046576D" w:rsidRPr="00FF6E12">
        <w:t xml:space="preserve"> (Vic)</w:t>
      </w:r>
      <w:r w:rsidR="00CD15CF" w:rsidRPr="00FF6E12">
        <w:t xml:space="preserve"> s 354A.</w:t>
      </w:r>
    </w:p>
  </w:footnote>
  <w:footnote w:id="915">
    <w:p w14:paraId="78809D64" w14:textId="5BDDDAA2" w:rsidR="00814F2D" w:rsidRPr="00FF6E12" w:rsidRDefault="00814F2D">
      <w:pPr>
        <w:pStyle w:val="FootnoteText"/>
      </w:pPr>
      <w:r w:rsidRPr="00FF6E12">
        <w:rPr>
          <w:rStyle w:val="FootnoteReference"/>
        </w:rPr>
        <w:footnoteRef/>
      </w:r>
      <w:r w:rsidRPr="00FF6E12">
        <w:t xml:space="preserve"> </w:t>
      </w:r>
      <w:r w:rsidR="00882942" w:rsidRPr="00A920EC">
        <w:rPr>
          <w:i/>
          <w:iCs/>
        </w:rPr>
        <w:t>Children, Youth and Families Act 2005</w:t>
      </w:r>
      <w:r w:rsidR="00882942" w:rsidRPr="00FF6E12">
        <w:t xml:space="preserve"> (Vic) s</w:t>
      </w:r>
      <w:r w:rsidR="00631EFE" w:rsidRPr="00FF6E12">
        <w:t>s</w:t>
      </w:r>
      <w:r w:rsidR="00882942" w:rsidRPr="00FF6E12">
        <w:t xml:space="preserve"> </w:t>
      </w:r>
      <w:r w:rsidR="00AA3954" w:rsidRPr="00FF6E12">
        <w:t>349(2), 352</w:t>
      </w:r>
      <w:r w:rsidR="006931CE" w:rsidRPr="00FF6E12">
        <w:t>.</w:t>
      </w:r>
    </w:p>
  </w:footnote>
  <w:footnote w:id="916">
    <w:p w14:paraId="209E23A1" w14:textId="00FEB54F" w:rsidR="000C272A" w:rsidRPr="00FF6E12" w:rsidRDefault="000C272A">
      <w:pPr>
        <w:pStyle w:val="FootnoteText"/>
      </w:pPr>
      <w:r w:rsidRPr="00FF6E12">
        <w:rPr>
          <w:rStyle w:val="FootnoteReference"/>
        </w:rPr>
        <w:footnoteRef/>
      </w:r>
      <w:r w:rsidRPr="00FF6E12">
        <w:t xml:space="preserve"> </w:t>
      </w:r>
      <w:r w:rsidR="00882942" w:rsidRPr="00A920EC">
        <w:rPr>
          <w:i/>
          <w:iCs/>
        </w:rPr>
        <w:t>Children, Youth and Families Act 2005</w:t>
      </w:r>
      <w:r w:rsidR="00882942" w:rsidRPr="00FF6E12">
        <w:t xml:space="preserve"> (Vic) s</w:t>
      </w:r>
      <w:r w:rsidRPr="00FF6E12">
        <w:t xml:space="preserve"> 35</w:t>
      </w:r>
      <w:r w:rsidR="001137B0" w:rsidRPr="00FF6E12">
        <w:t>2A</w:t>
      </w:r>
      <w:r w:rsidR="00882942" w:rsidRPr="00FF6E12">
        <w:t>.</w:t>
      </w:r>
    </w:p>
  </w:footnote>
  <w:footnote w:id="917">
    <w:p w14:paraId="722B3E85" w14:textId="0D473D13" w:rsidR="00B434BD" w:rsidRPr="00FF6E12" w:rsidRDefault="00B434BD">
      <w:pPr>
        <w:pStyle w:val="FootnoteText"/>
      </w:pPr>
      <w:r w:rsidRPr="00FF6E12">
        <w:rPr>
          <w:rStyle w:val="FootnoteReference"/>
        </w:rPr>
        <w:footnoteRef/>
      </w:r>
      <w:r w:rsidRPr="00FF6E12">
        <w:t xml:space="preserve"> </w:t>
      </w:r>
      <w:r w:rsidR="00882942" w:rsidRPr="00A920EC">
        <w:rPr>
          <w:i/>
          <w:iCs/>
        </w:rPr>
        <w:t>Children, Youth and Families Act 2005</w:t>
      </w:r>
      <w:r w:rsidR="00882942" w:rsidRPr="00FF6E12">
        <w:t xml:space="preserve"> (Vic) s</w:t>
      </w:r>
      <w:r w:rsidRPr="00FF6E12">
        <w:t xml:space="preserve"> </w:t>
      </w:r>
      <w:r w:rsidR="00520455" w:rsidRPr="00FF6E12">
        <w:t>353</w:t>
      </w:r>
      <w:r w:rsidR="00882942" w:rsidRPr="00FF6E12">
        <w:t>.</w:t>
      </w:r>
    </w:p>
  </w:footnote>
  <w:footnote w:id="918">
    <w:p w14:paraId="5925C3BC" w14:textId="5C72DB4E" w:rsidR="00D21795" w:rsidRPr="00FF6E12" w:rsidRDefault="00D21795">
      <w:pPr>
        <w:pStyle w:val="FootnoteText"/>
      </w:pPr>
      <w:r w:rsidRPr="00FF6E12">
        <w:rPr>
          <w:rStyle w:val="FootnoteReference"/>
        </w:rPr>
        <w:footnoteRef/>
      </w:r>
      <w:r w:rsidRPr="00FF6E12">
        <w:t xml:space="preserve"> </w:t>
      </w:r>
      <w:r w:rsidR="00882942" w:rsidRPr="00A920EC">
        <w:rPr>
          <w:i/>
          <w:iCs/>
        </w:rPr>
        <w:t>Children, Youth and Families Act 2005</w:t>
      </w:r>
      <w:r w:rsidR="00882942" w:rsidRPr="00FF6E12">
        <w:t xml:space="preserve"> (</w:t>
      </w:r>
      <w:r w:rsidR="00882942" w:rsidRPr="00815792">
        <w:t xml:space="preserve">Vic) </w:t>
      </w:r>
      <w:r w:rsidR="0034612E" w:rsidRPr="00815792">
        <w:t xml:space="preserve">ss </w:t>
      </w:r>
      <w:r w:rsidRPr="00815792">
        <w:t>356(3)(b)</w:t>
      </w:r>
      <w:r w:rsidR="00631EFE" w:rsidRPr="00815792">
        <w:t>, 516</w:t>
      </w:r>
      <w:r w:rsidRPr="00815792">
        <w:t>.</w:t>
      </w:r>
    </w:p>
  </w:footnote>
  <w:footnote w:id="919">
    <w:p w14:paraId="759CE6A2" w14:textId="670D2498" w:rsidR="00414874" w:rsidRPr="00FF6E12" w:rsidRDefault="00414874">
      <w:pPr>
        <w:pStyle w:val="FootnoteText"/>
      </w:pPr>
      <w:r w:rsidRPr="00FF6E12">
        <w:rPr>
          <w:rStyle w:val="FootnoteReference"/>
        </w:rPr>
        <w:footnoteRef/>
      </w:r>
      <w:r w:rsidRPr="00FF6E12">
        <w:t xml:space="preserve"> </w:t>
      </w:r>
      <w:r w:rsidR="0034612E" w:rsidRPr="00A920EC">
        <w:rPr>
          <w:i/>
          <w:iCs/>
        </w:rPr>
        <w:t>Children, Youth and Families Act 2005</w:t>
      </w:r>
      <w:r w:rsidR="0034612E" w:rsidRPr="00FF6E12">
        <w:t xml:space="preserve"> (Vic) ss</w:t>
      </w:r>
      <w:r w:rsidRPr="00FF6E12">
        <w:t xml:space="preserve"> 3(1), 356(3), </w:t>
      </w:r>
      <w:r w:rsidR="00631EFE" w:rsidRPr="00FF6E12">
        <w:t>356</w:t>
      </w:r>
      <w:r w:rsidRPr="00FF6E12">
        <w:t>(8).</w:t>
      </w:r>
    </w:p>
  </w:footnote>
  <w:footnote w:id="920">
    <w:p w14:paraId="74E6DA1D" w14:textId="01A7A743" w:rsidR="00CF4358" w:rsidRPr="00FF6E12" w:rsidRDefault="00CF4358">
      <w:pPr>
        <w:pStyle w:val="FootnoteText"/>
      </w:pPr>
      <w:r w:rsidRPr="00FF6E12">
        <w:rPr>
          <w:rStyle w:val="FootnoteReference"/>
        </w:rPr>
        <w:footnoteRef/>
      </w:r>
      <w:r w:rsidRPr="00FF6E12">
        <w:t xml:space="preserve"> </w:t>
      </w:r>
      <w:r w:rsidR="003C73D4" w:rsidRPr="00FF6E12">
        <w:t xml:space="preserve">Department of Justice and Community Safety (Vic), </w:t>
      </w:r>
      <w:r w:rsidR="003C73D4" w:rsidRPr="00FF6E12">
        <w:rPr>
          <w:i/>
          <w:iCs/>
        </w:rPr>
        <w:t>Review of the Children and Justice Legislation Amendment (Youth Justice Reform) Act 2017</w:t>
      </w:r>
      <w:r w:rsidR="003C73D4" w:rsidRPr="00FF6E12">
        <w:t xml:space="preserve"> (Report, May 2022).</w:t>
      </w:r>
    </w:p>
  </w:footnote>
  <w:footnote w:id="921">
    <w:p w14:paraId="0549ED7F" w14:textId="00280CB0" w:rsidR="00A73B63" w:rsidRPr="00FF6E12" w:rsidRDefault="00A73B63">
      <w:pPr>
        <w:pStyle w:val="FootnoteText"/>
      </w:pPr>
      <w:r w:rsidRPr="00FF6E12">
        <w:rPr>
          <w:rStyle w:val="FootnoteReference"/>
        </w:rPr>
        <w:footnoteRef/>
      </w:r>
      <w:r w:rsidRPr="00FF6E12">
        <w:t xml:space="preserve"> </w:t>
      </w:r>
      <w:r w:rsidR="0034612E" w:rsidRPr="00A920EC">
        <w:rPr>
          <w:i/>
          <w:iCs/>
        </w:rPr>
        <w:t>Children, Youth and Families Act 2005</w:t>
      </w:r>
      <w:r w:rsidR="0034612E" w:rsidRPr="00FF6E12">
        <w:t xml:space="preserve"> (Vic) s</w:t>
      </w:r>
      <w:r w:rsidR="00CA2E82" w:rsidRPr="00FF6E12">
        <w:t xml:space="preserve"> 356D(4).</w:t>
      </w:r>
    </w:p>
  </w:footnote>
  <w:footnote w:id="922">
    <w:p w14:paraId="1EAB19F8" w14:textId="1AEA0597" w:rsidR="001903CF" w:rsidRPr="00FF6E12" w:rsidRDefault="001903CF">
      <w:pPr>
        <w:pStyle w:val="FootnoteText"/>
      </w:pPr>
      <w:r w:rsidRPr="00FF6E12">
        <w:rPr>
          <w:rStyle w:val="FootnoteReference"/>
        </w:rPr>
        <w:footnoteRef/>
      </w:r>
      <w:r w:rsidRPr="00FF6E12">
        <w:t xml:space="preserve"> </w:t>
      </w:r>
      <w:r w:rsidR="0034612E" w:rsidRPr="00A920EC">
        <w:rPr>
          <w:i/>
          <w:iCs/>
        </w:rPr>
        <w:t>Children, Youth and Families Act 2005</w:t>
      </w:r>
      <w:r w:rsidR="0034612E" w:rsidRPr="00FF6E12">
        <w:t xml:space="preserve"> (Vic) s</w:t>
      </w:r>
      <w:r w:rsidRPr="00FF6E12">
        <w:t xml:space="preserve"> 356F</w:t>
      </w:r>
      <w:r w:rsidR="001A5EEE">
        <w:t>.</w:t>
      </w:r>
    </w:p>
  </w:footnote>
  <w:footnote w:id="923">
    <w:p w14:paraId="1006CDFB" w14:textId="448980CB" w:rsidR="00670C14" w:rsidRPr="00FF6E12" w:rsidRDefault="00670C14">
      <w:pPr>
        <w:pStyle w:val="FootnoteText"/>
      </w:pPr>
      <w:r w:rsidRPr="00FF6E12">
        <w:rPr>
          <w:rStyle w:val="FootnoteReference"/>
        </w:rPr>
        <w:footnoteRef/>
      </w:r>
      <w:r w:rsidRPr="00FF6E12">
        <w:t xml:space="preserve"> </w:t>
      </w:r>
      <w:r w:rsidR="0034612E" w:rsidRPr="00A920EC">
        <w:rPr>
          <w:i/>
          <w:iCs/>
        </w:rPr>
        <w:t>Children, Youth and Families Act 2005</w:t>
      </w:r>
      <w:r w:rsidR="0034612E" w:rsidRPr="00FF6E12">
        <w:t xml:space="preserve"> (Vic) s</w:t>
      </w:r>
      <w:r w:rsidRPr="00FF6E12">
        <w:t xml:space="preserve"> 356G</w:t>
      </w:r>
      <w:r w:rsidR="001A5EEE">
        <w:t>.</w:t>
      </w:r>
    </w:p>
  </w:footnote>
  <w:footnote w:id="924">
    <w:p w14:paraId="2F5127BC" w14:textId="3FD52A75" w:rsidR="00C46599" w:rsidRPr="00FF6E12" w:rsidRDefault="00C46599">
      <w:pPr>
        <w:pStyle w:val="FootnoteText"/>
      </w:pPr>
      <w:r w:rsidRPr="00FF6E12">
        <w:rPr>
          <w:rStyle w:val="FootnoteReference"/>
        </w:rPr>
        <w:footnoteRef/>
      </w:r>
      <w:r w:rsidR="00235336" w:rsidRPr="00FF6E12">
        <w:t xml:space="preserve"> Department of Justice and Community Safety (Vic)</w:t>
      </w:r>
      <w:r w:rsidR="003C73D4" w:rsidRPr="00FF6E12">
        <w:t xml:space="preserve"> (n </w:t>
      </w:r>
      <w:r w:rsidR="003C73D4" w:rsidRPr="00FF6E12">
        <w:fldChar w:fldCharType="begin"/>
      </w:r>
      <w:r w:rsidR="003C73D4" w:rsidRPr="00FF6E12">
        <w:instrText xml:space="preserve"> NOTEREF _Ref218017039 \h </w:instrText>
      </w:r>
      <w:r w:rsidR="003C73D4" w:rsidRPr="00FF6E12">
        <w:fldChar w:fldCharType="separate"/>
      </w:r>
      <w:r w:rsidR="007D7830">
        <w:t>919</w:t>
      </w:r>
      <w:r w:rsidR="003C73D4" w:rsidRPr="00FF6E12">
        <w:fldChar w:fldCharType="end"/>
      </w:r>
      <w:r w:rsidR="003C73D4" w:rsidRPr="00FF6E12">
        <w:t xml:space="preserve">) </w:t>
      </w:r>
      <w:r w:rsidR="00502203" w:rsidRPr="00FF6E12">
        <w:t>41. The category of offences includ</w:t>
      </w:r>
      <w:r w:rsidR="003C73D4" w:rsidRPr="00FF6E12">
        <w:t>ed</w:t>
      </w:r>
      <w:r w:rsidR="00502203" w:rsidRPr="00FF6E12">
        <w:t xml:space="preserve"> rape, </w:t>
      </w:r>
      <w:r w:rsidR="00DB298F" w:rsidRPr="00FF6E12">
        <w:t>indecent</w:t>
      </w:r>
      <w:r w:rsidR="00502203" w:rsidRPr="00FF6E12">
        <w:t xml:space="preserve"> assault</w:t>
      </w:r>
      <w:r w:rsidR="00AF2F54" w:rsidRPr="00FF6E12">
        <w:t>, incest, sexual offences against children</w:t>
      </w:r>
      <w:r w:rsidR="003C73D4" w:rsidRPr="00FF6E12">
        <w:t>,</w:t>
      </w:r>
      <w:r w:rsidR="00AF2F54" w:rsidRPr="00FF6E12">
        <w:t xml:space="preserve"> and </w:t>
      </w:r>
      <w:r w:rsidR="00DB298F" w:rsidRPr="00FF6E12">
        <w:t>other</w:t>
      </w:r>
      <w:r w:rsidR="00AF2F54" w:rsidRPr="00FF6E12">
        <w:t xml:space="preserve"> sexual offences.</w:t>
      </w:r>
    </w:p>
  </w:footnote>
  <w:footnote w:id="925">
    <w:p w14:paraId="669C01EE" w14:textId="32D5A234" w:rsidR="00505644" w:rsidRPr="00FF6E12" w:rsidRDefault="00505644">
      <w:pPr>
        <w:pStyle w:val="FootnoteText"/>
      </w:pPr>
      <w:r w:rsidRPr="00FF6E12">
        <w:rPr>
          <w:rStyle w:val="FootnoteReference"/>
        </w:rPr>
        <w:footnoteRef/>
      </w:r>
      <w:r w:rsidRPr="00FF6E12">
        <w:t xml:space="preserve"> </w:t>
      </w:r>
      <w:r w:rsidRPr="00FF6E12">
        <w:rPr>
          <w:i/>
          <w:iCs/>
        </w:rPr>
        <w:t>Youth Justice Act</w:t>
      </w:r>
      <w:r w:rsidRPr="00FF6E12">
        <w:t xml:space="preserve"> </w:t>
      </w:r>
      <w:r w:rsidRPr="00FF6E12">
        <w:rPr>
          <w:i/>
          <w:iCs/>
        </w:rPr>
        <w:t xml:space="preserve">1992 </w:t>
      </w:r>
      <w:r w:rsidRPr="00FF6E12">
        <w:t>(Qld) s 175(d)(b).</w:t>
      </w:r>
    </w:p>
  </w:footnote>
  <w:footnote w:id="926">
    <w:p w14:paraId="0A03050B" w14:textId="3BE9962D" w:rsidR="00505644" w:rsidRPr="00FF6E12" w:rsidRDefault="00505644">
      <w:pPr>
        <w:pStyle w:val="FootnoteText"/>
      </w:pPr>
      <w:r w:rsidRPr="00FF6E12">
        <w:rPr>
          <w:rStyle w:val="FootnoteReference"/>
        </w:rPr>
        <w:footnoteRef/>
      </w:r>
      <w:r w:rsidRPr="00FF6E12">
        <w:t xml:space="preserve"> See P</w:t>
      </w:r>
      <w:r w:rsidR="003C73D4" w:rsidRPr="00FF6E12">
        <w:t>enny</w:t>
      </w:r>
      <w:r w:rsidRPr="00FF6E12">
        <w:t xml:space="preserve"> Cooper, </w:t>
      </w:r>
      <w:r w:rsidRPr="00FF6E12">
        <w:rPr>
          <w:i/>
          <w:iCs/>
        </w:rPr>
        <w:t xml:space="preserve">Building on Solid Foundations: The 2024 Review of Tasmania’s Witness Intermediary Scheme Pilot </w:t>
      </w:r>
      <w:r w:rsidRPr="00FF6E12">
        <w:t>(</w:t>
      </w:r>
      <w:r w:rsidR="003C73D4" w:rsidRPr="00FF6E12">
        <w:t xml:space="preserve">Report, Department of Justice, Tasmania, 2024) </w:t>
      </w:r>
      <w:r w:rsidRPr="00FF6E12">
        <w:t>&lt;</w:t>
      </w:r>
      <w:r w:rsidR="003C4BA3" w:rsidRPr="00A920EC">
        <w:t>https://www.justice.tas.gov.au/carcru/witness-intermediary-scheme</w:t>
      </w:r>
      <w:r w:rsidRPr="00FF6E12">
        <w:t>&gt;.</w:t>
      </w:r>
    </w:p>
  </w:footnote>
  <w:footnote w:id="927">
    <w:p w14:paraId="1916D062" w14:textId="0B330DE0" w:rsidR="00744393" w:rsidRPr="00FF6E12" w:rsidRDefault="00744393">
      <w:pPr>
        <w:pStyle w:val="FootnoteText"/>
      </w:pPr>
      <w:r w:rsidRPr="00FF6E12">
        <w:rPr>
          <w:rStyle w:val="FootnoteReference"/>
        </w:rPr>
        <w:footnoteRef/>
      </w:r>
      <w:r w:rsidRPr="00FF6E12">
        <w:t xml:space="preserve"> </w:t>
      </w:r>
      <w:r w:rsidR="003C73D4" w:rsidRPr="00FF6E12">
        <w:t>Ibid</w:t>
      </w:r>
      <w:r w:rsidR="00031F24" w:rsidRPr="00FF6E12">
        <w:t xml:space="preserve"> </w:t>
      </w:r>
      <w:r w:rsidRPr="00FF6E12">
        <w:t>3.</w:t>
      </w:r>
    </w:p>
  </w:footnote>
  <w:footnote w:id="928">
    <w:p w14:paraId="1B451133" w14:textId="40A7EF77" w:rsidR="00744393" w:rsidRPr="00FF6E12" w:rsidRDefault="00744393">
      <w:pPr>
        <w:pStyle w:val="FootnoteText"/>
      </w:pPr>
      <w:r w:rsidRPr="00FF6E12">
        <w:rPr>
          <w:rStyle w:val="FootnoteReference"/>
        </w:rPr>
        <w:footnoteRef/>
      </w:r>
      <w:r w:rsidRPr="00FF6E12">
        <w:t xml:space="preserve"> </w:t>
      </w:r>
      <w:r w:rsidR="003C73D4" w:rsidRPr="00FF6E12">
        <w:t xml:space="preserve">TLRI, </w:t>
      </w:r>
      <w:r w:rsidR="003C73D4" w:rsidRPr="00A920EC">
        <w:rPr>
          <w:i/>
          <w:iCs/>
        </w:rPr>
        <w:t>Facilitating Equal Access to Justice: An Intermediary/Communication Assistant Scheme for Tasmania</w:t>
      </w:r>
      <w:r w:rsidR="003C73D4" w:rsidRPr="00FF6E12">
        <w:t xml:space="preserve"> (Final </w:t>
      </w:r>
      <w:r w:rsidRPr="00FF6E12">
        <w:t>Report 23</w:t>
      </w:r>
      <w:r w:rsidR="003C73D4" w:rsidRPr="00FF6E12">
        <w:t xml:space="preserve">, </w:t>
      </w:r>
      <w:r w:rsidRPr="00FF6E12">
        <w:t>2018)</w:t>
      </w:r>
      <w:r w:rsidR="005E6053" w:rsidRPr="00FF6E12">
        <w:t>.</w:t>
      </w:r>
    </w:p>
  </w:footnote>
  <w:footnote w:id="929">
    <w:p w14:paraId="43B1A3F3" w14:textId="12FB6409" w:rsidR="00744393" w:rsidRPr="00FF6E12" w:rsidRDefault="00744393">
      <w:pPr>
        <w:pStyle w:val="FootnoteText"/>
        <w:rPr>
          <w:highlight w:val="yellow"/>
        </w:rPr>
      </w:pPr>
      <w:r w:rsidRPr="00FF6E12">
        <w:rPr>
          <w:rStyle w:val="FootnoteReference"/>
        </w:rPr>
        <w:footnoteRef/>
      </w:r>
      <w:r w:rsidR="003C73D4" w:rsidRPr="00FF6E12">
        <w:t xml:space="preserve"> Ibid</w:t>
      </w:r>
      <w:r w:rsidRPr="00FF6E12">
        <w:t xml:space="preserve"> Recommendation 16.10</w:t>
      </w:r>
      <w:r w:rsidR="005E6053" w:rsidRPr="00FF6E12">
        <w:t>.</w:t>
      </w:r>
    </w:p>
  </w:footnote>
  <w:footnote w:id="930">
    <w:p w14:paraId="7E5BC4BC" w14:textId="4BD6183A" w:rsidR="00E51FAE" w:rsidRPr="00FF6E12" w:rsidRDefault="00E51FAE">
      <w:pPr>
        <w:pStyle w:val="FootnoteText"/>
        <w:rPr>
          <w:highlight w:val="yellow"/>
        </w:rPr>
      </w:pPr>
      <w:r w:rsidRPr="00FF6E12">
        <w:rPr>
          <w:rStyle w:val="FootnoteReference"/>
        </w:rPr>
        <w:footnoteRef/>
      </w:r>
      <w:r w:rsidRPr="00FF6E12">
        <w:t xml:space="preserve"> See </w:t>
      </w:r>
      <w:r w:rsidR="00FC303F" w:rsidRPr="00FF6E12">
        <w:t>[</w:t>
      </w:r>
      <w:r w:rsidR="00CA443E">
        <w:fldChar w:fldCharType="begin"/>
      </w:r>
      <w:r w:rsidR="00CA443E">
        <w:instrText xml:space="preserve"> REF _Ref218253121 \r \h </w:instrText>
      </w:r>
      <w:r w:rsidR="00CA443E">
        <w:fldChar w:fldCharType="separate"/>
      </w:r>
      <w:r w:rsidR="007D7830">
        <w:t>5.3</w:t>
      </w:r>
      <w:r w:rsidR="00CA443E">
        <w:fldChar w:fldCharType="end"/>
      </w:r>
      <w:r w:rsidR="00FC303F" w:rsidRPr="00FF6E12">
        <w:t>].</w:t>
      </w:r>
    </w:p>
  </w:footnote>
  <w:footnote w:id="931">
    <w:p w14:paraId="1C2B2D1A" w14:textId="281EAD02" w:rsidR="00335C66" w:rsidRPr="00FF6E12" w:rsidRDefault="00335C66">
      <w:pPr>
        <w:pStyle w:val="FootnoteText"/>
      </w:pPr>
      <w:r w:rsidRPr="00FF6E12">
        <w:rPr>
          <w:rStyle w:val="FootnoteReference"/>
        </w:rPr>
        <w:footnoteRef/>
      </w:r>
      <w:r w:rsidRPr="00FF6E12">
        <w:t xml:space="preserve"> See </w:t>
      </w:r>
      <w:r w:rsidR="00996BCB" w:rsidRPr="00FF6E12">
        <w:t>[</w:t>
      </w:r>
      <w:r w:rsidR="00CA443E">
        <w:fldChar w:fldCharType="begin"/>
      </w:r>
      <w:r w:rsidR="00CA443E">
        <w:instrText xml:space="preserve"> REF _Ref218253132 \r \h </w:instrText>
      </w:r>
      <w:r w:rsidR="00CA443E">
        <w:fldChar w:fldCharType="separate"/>
      </w:r>
      <w:r w:rsidR="007D7830">
        <w:t>5.2</w:t>
      </w:r>
      <w:r w:rsidR="00CA443E">
        <w:fldChar w:fldCharType="end"/>
      </w:r>
      <w:r w:rsidR="00996BCB" w:rsidRPr="00FF6E12">
        <w:t>]</w:t>
      </w:r>
      <w:r w:rsidRPr="00FF6E12">
        <w:t>.</w:t>
      </w:r>
    </w:p>
  </w:footnote>
  <w:footnote w:id="932">
    <w:p w14:paraId="0ED0B712" w14:textId="1717E07F" w:rsidR="00FE296D" w:rsidRPr="00FF6E12" w:rsidRDefault="00FE296D">
      <w:pPr>
        <w:pStyle w:val="FootnoteText"/>
      </w:pPr>
      <w:r w:rsidRPr="00FF6E12">
        <w:rPr>
          <w:rStyle w:val="FootnoteReference"/>
        </w:rPr>
        <w:footnoteRef/>
      </w:r>
      <w:r w:rsidRPr="00FF6E12">
        <w:t xml:space="preserve"> See </w:t>
      </w:r>
      <w:r w:rsidR="00A80F65" w:rsidRPr="00FF6E12">
        <w:t>[</w:t>
      </w:r>
      <w:r w:rsidR="001A5EEE">
        <w:fldChar w:fldCharType="begin"/>
      </w:r>
      <w:r w:rsidR="001A5EEE">
        <w:instrText xml:space="preserve"> REF _Ref218242214 \r \h </w:instrText>
      </w:r>
      <w:r w:rsidR="001A5EEE">
        <w:fldChar w:fldCharType="separate"/>
      </w:r>
      <w:r w:rsidR="007D7830">
        <w:t>8.3</w:t>
      </w:r>
      <w:r w:rsidR="001A5EEE">
        <w:fldChar w:fldCharType="end"/>
      </w:r>
      <w:r w:rsidR="00A80F65" w:rsidRPr="00FF6E12">
        <w:t>]</w:t>
      </w:r>
      <w:r w:rsidRPr="00FF6E12">
        <w:t>.</w:t>
      </w:r>
    </w:p>
  </w:footnote>
  <w:footnote w:id="933">
    <w:p w14:paraId="750F7CB3" w14:textId="77777777" w:rsidR="00005D48" w:rsidRPr="00FF6E12" w:rsidRDefault="00005D48">
      <w:pPr>
        <w:pStyle w:val="FootnoteText"/>
      </w:pPr>
      <w:r w:rsidRPr="00FF6E12">
        <w:rPr>
          <w:rStyle w:val="FootnoteReference"/>
        </w:rPr>
        <w:footnoteRef/>
      </w:r>
      <w:r w:rsidRPr="00FF6E12">
        <w:t xml:space="preserve"> See </w:t>
      </w:r>
      <w:r w:rsidRPr="00A920EC">
        <w:rPr>
          <w:i/>
          <w:iCs/>
        </w:rPr>
        <w:t>Child Protection (Offenders Registration) Act 2000</w:t>
      </w:r>
      <w:r w:rsidRPr="00FF6E12">
        <w:t xml:space="preserve"> (NSW); </w:t>
      </w:r>
      <w:r w:rsidRPr="00A920EC">
        <w:rPr>
          <w:i/>
          <w:iCs/>
        </w:rPr>
        <w:t>Sex Offender Registration Act 2004</w:t>
      </w:r>
      <w:r w:rsidRPr="00FF6E12">
        <w:t xml:space="preserve"> (Vic); </w:t>
      </w:r>
      <w:r w:rsidRPr="00A920EC">
        <w:rPr>
          <w:i/>
          <w:iCs/>
        </w:rPr>
        <w:t>Child Protection (Offender Reporting and Offender Prohibition Order) Act 2004</w:t>
      </w:r>
      <w:r w:rsidRPr="00FF6E12">
        <w:t xml:space="preserve"> (Qld); </w:t>
      </w:r>
      <w:r w:rsidRPr="00A920EC">
        <w:rPr>
          <w:i/>
          <w:iCs/>
        </w:rPr>
        <w:t>Community Protection (Offender Reporting) Act 2004</w:t>
      </w:r>
      <w:r w:rsidRPr="00FF6E12">
        <w:t xml:space="preserve"> (WA); </w:t>
      </w:r>
      <w:r w:rsidRPr="00A920EC">
        <w:rPr>
          <w:i/>
          <w:iCs/>
        </w:rPr>
        <w:t>Child Protection (Offender Reporting and Registration) Act 2004</w:t>
      </w:r>
      <w:r w:rsidRPr="00FF6E12">
        <w:t xml:space="preserve"> (NT); </w:t>
      </w:r>
      <w:r w:rsidRPr="00A920EC">
        <w:rPr>
          <w:i/>
          <w:iCs/>
        </w:rPr>
        <w:t>Crimes (Child Sex Offenders) Act 2005</w:t>
      </w:r>
      <w:r w:rsidRPr="00FF6E12">
        <w:t xml:space="preserve"> (ACT); </w:t>
      </w:r>
      <w:r w:rsidRPr="00A920EC">
        <w:rPr>
          <w:i/>
          <w:iCs/>
        </w:rPr>
        <w:t>Child Sex Offenders Registration Act 2006</w:t>
      </w:r>
      <w:r w:rsidRPr="00FF6E12">
        <w:t xml:space="preserve"> (SA).</w:t>
      </w:r>
    </w:p>
  </w:footnote>
  <w:footnote w:id="934">
    <w:p w14:paraId="57C682B4" w14:textId="4F14A259" w:rsidR="00EC3B60" w:rsidRPr="00FF6E12" w:rsidRDefault="00EC3B60">
      <w:pPr>
        <w:pStyle w:val="FootnoteText"/>
      </w:pPr>
      <w:r w:rsidRPr="00FF6E12">
        <w:rPr>
          <w:rStyle w:val="FootnoteReference"/>
        </w:rPr>
        <w:footnoteRef/>
      </w:r>
      <w:r w:rsidRPr="00FF6E12">
        <w:t xml:space="preserve"> </w:t>
      </w:r>
      <w:r w:rsidRPr="00A920EC">
        <w:rPr>
          <w:i/>
          <w:iCs/>
        </w:rPr>
        <w:t>Crimes (Child Sex Offenders) Act 2005</w:t>
      </w:r>
      <w:r w:rsidRPr="00FF6E12">
        <w:t xml:space="preserve"> (ACT) s 9(1)(c).</w:t>
      </w:r>
    </w:p>
  </w:footnote>
  <w:footnote w:id="935">
    <w:p w14:paraId="774522EC" w14:textId="6AFAB69B" w:rsidR="009539FE" w:rsidRPr="00FF6E12" w:rsidRDefault="009539FE">
      <w:pPr>
        <w:pStyle w:val="FootnoteText"/>
      </w:pPr>
      <w:r w:rsidRPr="00FF6E12">
        <w:rPr>
          <w:rStyle w:val="FootnoteReference"/>
        </w:rPr>
        <w:footnoteRef/>
      </w:r>
      <w:r w:rsidRPr="00FF6E12">
        <w:t xml:space="preserve"> </w:t>
      </w:r>
      <w:r w:rsidR="00D103C6" w:rsidRPr="00FF6E12">
        <w:rPr>
          <w:i/>
          <w:iCs/>
        </w:rPr>
        <w:t xml:space="preserve">Child Sex Offenders Registration Act 2006 </w:t>
      </w:r>
      <w:r w:rsidR="00D103C6" w:rsidRPr="00FF6E12">
        <w:t>(SA)</w:t>
      </w:r>
      <w:r w:rsidR="00711966" w:rsidRPr="00FF6E12">
        <w:t xml:space="preserve"> s</w:t>
      </w:r>
      <w:r w:rsidR="00933EA1" w:rsidRPr="00FF6E12">
        <w:t>s</w:t>
      </w:r>
      <w:r w:rsidRPr="00FF6E12">
        <w:t xml:space="preserve"> 9(3)(b), </w:t>
      </w:r>
      <w:r w:rsidR="00933EA1" w:rsidRPr="00FF6E12">
        <w:t>9</w:t>
      </w:r>
      <w:r w:rsidRPr="00FF6E12">
        <w:t>(4)</w:t>
      </w:r>
      <w:r w:rsidR="00711966" w:rsidRPr="00FF6E12">
        <w:t xml:space="preserve">. </w:t>
      </w:r>
      <w:r w:rsidR="000E190D">
        <w:t>Sch</w:t>
      </w:r>
      <w:r w:rsidR="000E190D" w:rsidRPr="00FF6E12">
        <w:t xml:space="preserve"> </w:t>
      </w:r>
      <w:r w:rsidR="00711966" w:rsidRPr="00FF6E12">
        <w:t xml:space="preserve">1 </w:t>
      </w:r>
      <w:r w:rsidR="00933EA1" w:rsidRPr="00FF6E12">
        <w:t xml:space="preserve">pts </w:t>
      </w:r>
      <w:r w:rsidR="00711966" w:rsidRPr="00FF6E12">
        <w:t xml:space="preserve">1 and 2 set out the class 1 and </w:t>
      </w:r>
      <w:r w:rsidR="00933EA1" w:rsidRPr="00FF6E12">
        <w:t xml:space="preserve">class </w:t>
      </w:r>
      <w:r w:rsidR="00711966" w:rsidRPr="00FF6E12">
        <w:t xml:space="preserve">2 offences, which include </w:t>
      </w:r>
      <w:r w:rsidR="00B302A7" w:rsidRPr="00FF6E12">
        <w:t>physical and online sexual offending.</w:t>
      </w:r>
    </w:p>
  </w:footnote>
  <w:footnote w:id="936">
    <w:p w14:paraId="21F3A73C" w14:textId="2C125DE2" w:rsidR="00B250B5" w:rsidRPr="00FF6E12" w:rsidRDefault="00B250B5">
      <w:pPr>
        <w:pStyle w:val="FootnoteText"/>
      </w:pPr>
      <w:r w:rsidRPr="00FF6E12">
        <w:rPr>
          <w:rStyle w:val="FootnoteReference"/>
        </w:rPr>
        <w:footnoteRef/>
      </w:r>
      <w:r w:rsidRPr="00FF6E12">
        <w:t xml:space="preserve"> </w:t>
      </w:r>
      <w:r w:rsidRPr="00A920EC">
        <w:rPr>
          <w:i/>
          <w:iCs/>
        </w:rPr>
        <w:t>Child Sex Offenders Registration Act 2006</w:t>
      </w:r>
      <w:r w:rsidRPr="00FF6E12">
        <w:t xml:space="preserve"> (SA) s 6(</w:t>
      </w:r>
      <w:r w:rsidR="00AE5D1E" w:rsidRPr="00FF6E12">
        <w:t>30(a)</w:t>
      </w:r>
      <w:r w:rsidR="00650132" w:rsidRPr="00FF6E12">
        <w:t>.</w:t>
      </w:r>
    </w:p>
  </w:footnote>
  <w:footnote w:id="937">
    <w:p w14:paraId="5CAB54FD" w14:textId="0A4C950E" w:rsidR="00233546" w:rsidRPr="00FF6E12" w:rsidRDefault="00233546">
      <w:pPr>
        <w:pStyle w:val="FootnoteText"/>
      </w:pPr>
      <w:r w:rsidRPr="00FF6E12">
        <w:rPr>
          <w:rStyle w:val="FootnoteReference"/>
        </w:rPr>
        <w:footnoteRef/>
      </w:r>
      <w:r w:rsidRPr="00FF6E12">
        <w:t xml:space="preserve"> </w:t>
      </w:r>
      <w:r w:rsidR="005D3158" w:rsidRPr="00A920EC">
        <w:rPr>
          <w:i/>
          <w:iCs/>
        </w:rPr>
        <w:t>Sex Offender</w:t>
      </w:r>
      <w:r w:rsidR="00EA251A" w:rsidRPr="00A920EC">
        <w:rPr>
          <w:i/>
          <w:iCs/>
        </w:rPr>
        <w:t>s</w:t>
      </w:r>
      <w:r w:rsidR="005D3158" w:rsidRPr="00A920EC">
        <w:rPr>
          <w:i/>
          <w:iCs/>
        </w:rPr>
        <w:t xml:space="preserve"> Registration Act </w:t>
      </w:r>
      <w:r w:rsidR="00EA251A" w:rsidRPr="00A920EC">
        <w:rPr>
          <w:i/>
          <w:iCs/>
        </w:rPr>
        <w:t>2004</w:t>
      </w:r>
      <w:r w:rsidR="00EA251A" w:rsidRPr="00FF6E12">
        <w:t xml:space="preserve"> (Vic)</w:t>
      </w:r>
      <w:r w:rsidR="005D3158" w:rsidRPr="00FF6E12">
        <w:t xml:space="preserve"> s </w:t>
      </w:r>
      <w:r w:rsidR="006A7548" w:rsidRPr="00FF6E12">
        <w:t>11(2)</w:t>
      </w:r>
      <w:r w:rsidR="005D3158" w:rsidRPr="00FF6E12">
        <w:t>.</w:t>
      </w:r>
    </w:p>
  </w:footnote>
  <w:footnote w:id="938">
    <w:p w14:paraId="5BDB00BB" w14:textId="0C727462" w:rsidR="0084237A" w:rsidRPr="00FF6E12" w:rsidRDefault="0084237A">
      <w:pPr>
        <w:pStyle w:val="FootnoteText"/>
      </w:pPr>
      <w:r w:rsidRPr="00FF6E12">
        <w:rPr>
          <w:rStyle w:val="FootnoteReference"/>
        </w:rPr>
        <w:footnoteRef/>
      </w:r>
      <w:r w:rsidRPr="00FF6E12">
        <w:t xml:space="preserve">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00233546" w:rsidRPr="00FF6E12">
        <w:t>[13.73].</w:t>
      </w:r>
    </w:p>
  </w:footnote>
  <w:footnote w:id="939">
    <w:p w14:paraId="6CB53222" w14:textId="07231506" w:rsidR="00ED4956" w:rsidRPr="00FF6E12" w:rsidRDefault="00ED4956">
      <w:pPr>
        <w:pStyle w:val="FootnoteText"/>
      </w:pPr>
      <w:r w:rsidRPr="00FF6E12">
        <w:rPr>
          <w:rStyle w:val="FootnoteReference"/>
        </w:rPr>
        <w:footnoteRef/>
      </w:r>
      <w:r w:rsidRPr="00FF6E12">
        <w:t xml:space="preserve"> VLRC, </w:t>
      </w:r>
      <w:r w:rsidRPr="00FF6E12">
        <w:rPr>
          <w:i/>
          <w:iCs/>
        </w:rPr>
        <w:t xml:space="preserve">Sex Offender </w:t>
      </w:r>
      <w:r w:rsidRPr="00A920EC">
        <w:rPr>
          <w:i/>
          <w:iCs/>
        </w:rPr>
        <w:t>Registration</w:t>
      </w:r>
      <w:r w:rsidRPr="00FF6E12">
        <w:t xml:space="preserve"> </w:t>
      </w:r>
      <w:r w:rsidR="00EB74F6" w:rsidRPr="00FF6E12">
        <w:t>(</w:t>
      </w:r>
      <w:r w:rsidRPr="00FF6E12">
        <w:t>Final Report</w:t>
      </w:r>
      <w:r w:rsidR="00EB74F6" w:rsidRPr="00FF6E12">
        <w:t>,</w:t>
      </w:r>
      <w:r w:rsidRPr="00FF6E12">
        <w:t xml:space="preserve"> 2012) [5.115].</w:t>
      </w:r>
    </w:p>
  </w:footnote>
  <w:footnote w:id="940">
    <w:p w14:paraId="5382C0CE" w14:textId="49F8F079" w:rsidR="009D4ABC" w:rsidRPr="00FF6E12" w:rsidRDefault="009D4ABC">
      <w:pPr>
        <w:pStyle w:val="FootnoteText"/>
      </w:pPr>
      <w:r w:rsidRPr="00FF6E12">
        <w:rPr>
          <w:rStyle w:val="FootnoteReference"/>
        </w:rPr>
        <w:footnoteRef/>
      </w:r>
      <w:r w:rsidRPr="00FF6E12">
        <w:t xml:space="preserve"> </w:t>
      </w:r>
      <w:r w:rsidR="00EB74F6" w:rsidRPr="00FF6E12">
        <w:t>Ibid</w:t>
      </w:r>
      <w:r w:rsidR="005D3158" w:rsidRPr="00FF6E12">
        <w:t xml:space="preserve"> </w:t>
      </w:r>
      <w:r w:rsidR="00F84E5A" w:rsidRPr="00FF6E12">
        <w:t xml:space="preserve">[5.124]; </w:t>
      </w:r>
      <w:r w:rsidR="005D3158" w:rsidRPr="00FF6E12">
        <w:t>Recommendation</w:t>
      </w:r>
      <w:r w:rsidRPr="00FF6E12">
        <w:t xml:space="preserve"> 13.</w:t>
      </w:r>
    </w:p>
  </w:footnote>
  <w:footnote w:id="941">
    <w:p w14:paraId="11F8490C" w14:textId="592CB9CB" w:rsidR="00D924A5" w:rsidRPr="00FF6E12" w:rsidRDefault="00D924A5">
      <w:pPr>
        <w:pStyle w:val="FootnoteText"/>
      </w:pPr>
      <w:r w:rsidRPr="00FF6E12">
        <w:rPr>
          <w:rStyle w:val="FootnoteReference"/>
        </w:rPr>
        <w:footnoteRef/>
      </w:r>
      <w:r w:rsidRPr="00FF6E12">
        <w:t xml:space="preserve"> </w:t>
      </w:r>
      <w:r w:rsidR="00EB74F6" w:rsidRPr="00FF6E12">
        <w:t xml:space="preserve">VLRC (n </w:t>
      </w:r>
      <w:r w:rsidR="00EB74F6" w:rsidRPr="00FF6E12">
        <w:fldChar w:fldCharType="begin"/>
      </w:r>
      <w:r w:rsidR="00EB74F6" w:rsidRPr="00FF6E12">
        <w:instrText xml:space="preserve"> NOTEREF _Ref217998775 \h </w:instrText>
      </w:r>
      <w:r w:rsidR="00EB74F6" w:rsidRPr="00FF6E12">
        <w:fldChar w:fldCharType="separate"/>
      </w:r>
      <w:r w:rsidR="007D7830">
        <w:t>243</w:t>
      </w:r>
      <w:r w:rsidR="00EB74F6" w:rsidRPr="00FF6E12">
        <w:fldChar w:fldCharType="end"/>
      </w:r>
      <w:r w:rsidR="00EB74F6" w:rsidRPr="00FF6E12">
        <w:t xml:space="preserve">) </w:t>
      </w:r>
      <w:r w:rsidRPr="00FF6E12">
        <w:t>[</w:t>
      </w:r>
      <w:r w:rsidR="00FA658F" w:rsidRPr="00FF6E12">
        <w:t>13.74]</w:t>
      </w:r>
      <w:r w:rsidR="0031077F" w:rsidRPr="00FF6E12">
        <w:t>; Recommendation 49</w:t>
      </w:r>
      <w:r w:rsidR="00CE4084" w:rsidRPr="00FF6E12">
        <w:t>c.</w:t>
      </w:r>
    </w:p>
  </w:footnote>
  <w:footnote w:id="942">
    <w:p w14:paraId="0059D0E0" w14:textId="2C3559CB" w:rsidR="002708EC" w:rsidRPr="00FF6E12" w:rsidRDefault="002708EC">
      <w:pPr>
        <w:pStyle w:val="FootnoteText"/>
      </w:pPr>
      <w:r w:rsidRPr="00FF6E12">
        <w:rPr>
          <w:rStyle w:val="FootnoteReference"/>
        </w:rPr>
        <w:footnoteRef/>
      </w:r>
      <w:r w:rsidRPr="00FF6E12">
        <w:t xml:space="preserve"> In this table</w:t>
      </w:r>
      <w:r w:rsidR="00A31EFC" w:rsidRPr="00FF6E12">
        <w:t xml:space="preserve"> and </w:t>
      </w:r>
      <w:r w:rsidR="0029763C" w:rsidRPr="00FF6E12">
        <w:t xml:space="preserve">in </w:t>
      </w:r>
      <w:r w:rsidR="00A31EFC" w:rsidRPr="00FF6E12">
        <w:t>Table B.2</w:t>
      </w:r>
      <w:r w:rsidR="006A6E79" w:rsidRPr="00FF6E12">
        <w:t xml:space="preserve">: </w:t>
      </w:r>
      <w:r w:rsidR="000E190D">
        <w:t>‘</w:t>
      </w:r>
      <w:r w:rsidR="006A6E79" w:rsidRPr="00FF6E12">
        <w:t>A</w:t>
      </w:r>
      <w:r w:rsidR="000E190D">
        <w:t>’</w:t>
      </w:r>
      <w:r w:rsidR="006A6E79" w:rsidRPr="00FF6E12">
        <w:t xml:space="preserve"> is Accused,</w:t>
      </w:r>
      <w:r w:rsidRPr="00FF6E12">
        <w:t xml:space="preserve"> </w:t>
      </w:r>
      <w:r w:rsidR="000E190D">
        <w:t>‘</w:t>
      </w:r>
      <w:r w:rsidRPr="00FF6E12">
        <w:t>C</w:t>
      </w:r>
      <w:r w:rsidR="000E190D">
        <w:t>’</w:t>
      </w:r>
      <w:r w:rsidRPr="00FF6E12">
        <w:t xml:space="preserve"> is Comp</w:t>
      </w:r>
      <w:r w:rsidR="006A6E79" w:rsidRPr="00FF6E12">
        <w:t>lainant.</w:t>
      </w:r>
    </w:p>
  </w:footnote>
  <w:footnote w:id="943">
    <w:p w14:paraId="58A00E2B" w14:textId="4B3DD3C1" w:rsidR="002E104E" w:rsidRPr="00FF6E12" w:rsidRDefault="002E104E" w:rsidP="00A920EC">
      <w:pPr>
        <w:pStyle w:val="FootnoteText"/>
      </w:pPr>
      <w:r w:rsidRPr="00FF6E12">
        <w:rPr>
          <w:rStyle w:val="FootnoteReference"/>
        </w:rPr>
        <w:footnoteRef/>
      </w:r>
      <w:r w:rsidRPr="00FF6E12">
        <w:t xml:space="preserve"> Note that co</w:t>
      </w:r>
      <w:r w:rsidR="00BB6460" w:rsidRPr="00FF6E12">
        <w:t xml:space="preserve">nduct that was included in the offence of </w:t>
      </w:r>
      <w:r w:rsidRPr="00FF6E12">
        <w:t>aggravated sexual assault</w:t>
      </w:r>
      <w:r w:rsidR="008B46B6" w:rsidRPr="00FF6E12">
        <w:t>,</w:t>
      </w:r>
      <w:r w:rsidR="00BB6460" w:rsidRPr="00FF6E12">
        <w:t xml:space="preserve"> set out in </w:t>
      </w:r>
      <w:r w:rsidR="00A31EFC" w:rsidRPr="00A920EC">
        <w:rPr>
          <w:i/>
          <w:iCs/>
        </w:rPr>
        <w:t>Criminal Code</w:t>
      </w:r>
      <w:r w:rsidR="00A31EFC" w:rsidRPr="00FF6E12">
        <w:t xml:space="preserve"> (Tas) </w:t>
      </w:r>
      <w:r w:rsidR="00BB6460" w:rsidRPr="00FF6E12">
        <w:t>s 127A</w:t>
      </w:r>
      <w:r w:rsidR="008B46B6" w:rsidRPr="00FF6E12">
        <w:t>,</w:t>
      </w:r>
      <w:r w:rsidR="00BB6460" w:rsidRPr="00FF6E12">
        <w:t xml:space="preserve"> is now included in the offence of rape</w:t>
      </w:r>
      <w:r w:rsidR="00AF3C42" w:rsidRPr="00FF6E12">
        <w:t xml:space="preserve">, and the provision </w:t>
      </w:r>
      <w:r w:rsidR="008B46B6" w:rsidRPr="00FF6E12">
        <w:t xml:space="preserve">has been </w:t>
      </w:r>
      <w:r w:rsidR="00AF3C42" w:rsidRPr="00FF6E12">
        <w:t xml:space="preserve">repealed. </w:t>
      </w:r>
      <w:r w:rsidR="006F576D" w:rsidRPr="00FF6E12">
        <w:t xml:space="preserve">Aggravated sexual assault </w:t>
      </w:r>
      <w:r w:rsidR="00AF3C42" w:rsidRPr="00FF6E12">
        <w:t>remains a</w:t>
      </w:r>
      <w:r w:rsidR="006F576D" w:rsidRPr="00FF6E12">
        <w:t xml:space="preserve"> prescribed offence for youths aged 14–17</w:t>
      </w:r>
      <w:r w:rsidR="00AF3C42" w:rsidRPr="00FF6E12">
        <w:t>.</w:t>
      </w:r>
    </w:p>
  </w:footnote>
  <w:footnote w:id="944">
    <w:p w14:paraId="23D7C884" w14:textId="79693485" w:rsidR="008D1099" w:rsidRPr="00FF6E12" w:rsidRDefault="008D1099" w:rsidP="00A920EC">
      <w:pPr>
        <w:pStyle w:val="FootnoteText"/>
      </w:pPr>
      <w:r w:rsidRPr="00FF6E12">
        <w:rPr>
          <w:rStyle w:val="FootnoteReference"/>
          <w:rFonts w:cs="Times New Roman"/>
        </w:rPr>
        <w:footnoteRef/>
      </w:r>
      <w:r w:rsidRPr="00FF6E12">
        <w:t xml:space="preserve"> </w:t>
      </w:r>
      <w:r w:rsidR="008B46B6" w:rsidRPr="00FF6E12">
        <w:t xml:space="preserve">Siria, Echeburúa and Amor (n </w:t>
      </w:r>
      <w:r w:rsidR="008B46B6" w:rsidRPr="00FF6E12">
        <w:fldChar w:fldCharType="begin"/>
      </w:r>
      <w:r w:rsidR="008B46B6" w:rsidRPr="00FF6E12">
        <w:instrText xml:space="preserve"> NOTEREF _Ref217930211 \h </w:instrText>
      </w:r>
      <w:r w:rsidR="008B46B6" w:rsidRPr="00FF6E12">
        <w:fldChar w:fldCharType="separate"/>
      </w:r>
      <w:r w:rsidR="007D7830">
        <w:t>98</w:t>
      </w:r>
      <w:r w:rsidR="008B46B6" w:rsidRPr="00FF6E12">
        <w:fldChar w:fldCharType="end"/>
      </w:r>
      <w:r w:rsidR="008B46B6" w:rsidRPr="00FF6E12">
        <w:t>)</w:t>
      </w:r>
      <w:r w:rsidRPr="00FF6E12">
        <w:t xml:space="preserve">; Gerald Zeng et al, </w:t>
      </w:r>
      <w:r w:rsidR="008B46B6" w:rsidRPr="00FF6E12">
        <w:t>‘</w:t>
      </w:r>
      <w:r w:rsidRPr="00FF6E12">
        <w:t>Risk and criminogenic needs of youth who sexually offended in Singapore: An examination of two typologies</w:t>
      </w:r>
      <w:r w:rsidR="008B46B6" w:rsidRPr="00FF6E12">
        <w:t>’</w:t>
      </w:r>
      <w:r w:rsidRPr="00FF6E12">
        <w:t xml:space="preserve"> (2015) 27(5) </w:t>
      </w:r>
      <w:r w:rsidRPr="00FF6E12">
        <w:rPr>
          <w:i/>
        </w:rPr>
        <w:t>Sexual Abuse: A Journal of Research and Treatment</w:t>
      </w:r>
      <w:r w:rsidRPr="00FF6E12">
        <w:t xml:space="preserve"> 479</w:t>
      </w:r>
      <w:r w:rsidR="008B46B6" w:rsidRPr="00FF6E12">
        <w:t>–</w:t>
      </w:r>
      <w:r w:rsidRPr="00FF6E12">
        <w:t>495.</w:t>
      </w:r>
    </w:p>
  </w:footnote>
  <w:footnote w:id="945">
    <w:p w14:paraId="2834327E" w14:textId="298F9204" w:rsidR="008D1099" w:rsidRPr="00FF6E12" w:rsidRDefault="008D1099" w:rsidP="00A920EC">
      <w:pPr>
        <w:pStyle w:val="FootnoteText"/>
      </w:pPr>
      <w:r w:rsidRPr="00FF6E12">
        <w:rPr>
          <w:rStyle w:val="FootnoteReference"/>
          <w:rFonts w:cs="Times New Roman"/>
        </w:rPr>
        <w:footnoteRef/>
      </w:r>
      <w:r w:rsidRPr="00FF6E12">
        <w:t xml:space="preserve"> Jesse Cale et al, </w:t>
      </w:r>
      <w:r w:rsidR="008B46B6" w:rsidRPr="00FF6E12">
        <w:t>‘</w:t>
      </w:r>
      <w:r w:rsidRPr="00FF6E12">
        <w:t>Offense trajectories, the unfolding of sexual and non-sexual criminal activity, and sex offense characteristics of adolescent sex offenders</w:t>
      </w:r>
      <w:r w:rsidR="00581D00" w:rsidRPr="00FF6E12">
        <w:t>’</w:t>
      </w:r>
      <w:r w:rsidRPr="00FF6E12">
        <w:t xml:space="preserve"> (2016) 28(8) </w:t>
      </w:r>
      <w:r w:rsidRPr="00FF6E12">
        <w:rPr>
          <w:i/>
        </w:rPr>
        <w:t>Sexual Abuse: A Journal of Research and Treatment</w:t>
      </w:r>
      <w:r w:rsidRPr="00FF6E12">
        <w:t xml:space="preserve"> 791</w:t>
      </w:r>
      <w:r w:rsidR="00581D00" w:rsidRPr="00FF6E12">
        <w:t>–</w:t>
      </w:r>
      <w:r w:rsidRPr="00FF6E12">
        <w:t>812.</w:t>
      </w:r>
    </w:p>
  </w:footnote>
  <w:footnote w:id="946">
    <w:p w14:paraId="7581CAA3" w14:textId="10EA5080" w:rsidR="008D1099" w:rsidRPr="00FF6E12" w:rsidRDefault="008D1099" w:rsidP="00A920EC">
      <w:pPr>
        <w:pStyle w:val="FootnoteText"/>
      </w:pPr>
      <w:r w:rsidRPr="00FF6E12">
        <w:rPr>
          <w:rStyle w:val="FootnoteReference"/>
          <w:rFonts w:cs="Times New Roman"/>
        </w:rPr>
        <w:footnoteRef/>
      </w:r>
      <w:r w:rsidRPr="00FF6E12">
        <w:t xml:space="preserve"> </w:t>
      </w:r>
      <w:r w:rsidR="001905FB" w:rsidRPr="00FF6E12">
        <w:t xml:space="preserve">Stephen Smallbone and Jesse Cale, </w:t>
      </w:r>
      <w:r w:rsidR="00581D00" w:rsidRPr="00FF6E12">
        <w:t>‘</w:t>
      </w:r>
      <w:r w:rsidR="001905FB" w:rsidRPr="00FF6E12">
        <w:t>An integrated life-course developmental theory of sexual offending</w:t>
      </w:r>
      <w:r w:rsidR="00581D00" w:rsidRPr="00FF6E12">
        <w:t>’</w:t>
      </w:r>
      <w:r w:rsidR="001905FB" w:rsidRPr="00FF6E12">
        <w:t xml:space="preserve"> in Arjan Blokland and Patrick Lussier (eds), </w:t>
      </w:r>
      <w:r w:rsidR="001905FB" w:rsidRPr="00FF6E12">
        <w:rPr>
          <w:i/>
        </w:rPr>
        <w:t>Sex Offenders: A Criminal Career Approach</w:t>
      </w:r>
      <w:r w:rsidR="001905FB" w:rsidRPr="00FF6E12">
        <w:t xml:space="preserve"> (Wiley Blackwell, 2015) 43</w:t>
      </w:r>
      <w:r w:rsidR="00581D00" w:rsidRPr="00FF6E12">
        <w:t>–</w:t>
      </w:r>
      <w:r w:rsidR="001905FB" w:rsidRPr="00FF6E12">
        <w:t>70.</w:t>
      </w:r>
    </w:p>
  </w:footnote>
  <w:footnote w:id="947">
    <w:p w14:paraId="0F47B845" w14:textId="20F3B1E6" w:rsidR="008D1099" w:rsidRPr="00FF6E12" w:rsidRDefault="008D1099" w:rsidP="00A920EC">
      <w:pPr>
        <w:pStyle w:val="FootnoteText"/>
      </w:pPr>
      <w:r w:rsidRPr="00FF6E12">
        <w:rPr>
          <w:rStyle w:val="FootnoteReference"/>
          <w:rFonts w:cs="Times New Roman"/>
        </w:rPr>
        <w:footnoteRef/>
      </w:r>
      <w:r w:rsidRPr="00FF6E12">
        <w:t xml:space="preserve"> See also Molnar et al</w:t>
      </w:r>
      <w:r w:rsidR="00581D00" w:rsidRPr="00FF6E12">
        <w:t xml:space="preserve"> (n </w:t>
      </w:r>
      <w:r w:rsidR="00581D00" w:rsidRPr="00FF6E12">
        <w:fldChar w:fldCharType="begin"/>
      </w:r>
      <w:r w:rsidR="00581D00" w:rsidRPr="00FF6E12">
        <w:instrText xml:space="preserve"> NOTEREF _Ref218017699 \h </w:instrText>
      </w:r>
      <w:r w:rsidR="00581D00" w:rsidRPr="00FF6E12">
        <w:fldChar w:fldCharType="separate"/>
      </w:r>
      <w:r w:rsidR="007D7830">
        <w:t>230</w:t>
      </w:r>
      <w:r w:rsidR="00581D00" w:rsidRPr="00FF6E12">
        <w:fldChar w:fldCharType="end"/>
      </w:r>
      <w:r w:rsidR="00581D00" w:rsidRPr="00FF6E12">
        <w:t>)</w:t>
      </w:r>
      <w:r w:rsidRPr="00FF6E12">
        <w:t>.</w:t>
      </w:r>
    </w:p>
  </w:footnote>
  <w:footnote w:id="948">
    <w:p w14:paraId="4D74D5A7" w14:textId="550E2BA3" w:rsidR="008D1099" w:rsidRPr="00FF6E12" w:rsidRDefault="008D1099" w:rsidP="00A920EC">
      <w:pPr>
        <w:pStyle w:val="FootnoteText"/>
      </w:pPr>
      <w:r w:rsidRPr="00FF6E12">
        <w:rPr>
          <w:rStyle w:val="FootnoteReference"/>
          <w:rFonts w:cs="Times New Roman"/>
        </w:rPr>
        <w:footnoteRef/>
      </w:r>
      <w:r w:rsidRPr="00FF6E12">
        <w:t xml:space="preserve"> Brown</w:t>
      </w:r>
      <w:r w:rsidR="00581D00" w:rsidRPr="00FF6E12">
        <w:t xml:space="preserve"> (n </w:t>
      </w:r>
      <w:r w:rsidR="00581D00" w:rsidRPr="00FF6E12">
        <w:fldChar w:fldCharType="begin"/>
      </w:r>
      <w:r w:rsidR="00581D00" w:rsidRPr="00FF6E12">
        <w:instrText xml:space="preserve"> NOTEREF _Ref218017754 \h </w:instrText>
      </w:r>
      <w:r w:rsidR="00581D00" w:rsidRPr="00FF6E12">
        <w:fldChar w:fldCharType="separate"/>
      </w:r>
      <w:r w:rsidR="007D7830">
        <w:t>96</w:t>
      </w:r>
      <w:r w:rsidR="00581D00" w:rsidRPr="00FF6E12">
        <w:fldChar w:fldCharType="end"/>
      </w:r>
      <w:r w:rsidR="00581D00" w:rsidRPr="00FF6E12">
        <w:t>)</w:t>
      </w:r>
      <w:r w:rsidRPr="00FF6E12">
        <w:t>.</w:t>
      </w:r>
    </w:p>
  </w:footnote>
  <w:footnote w:id="949">
    <w:p w14:paraId="1635566A" w14:textId="14EE1379" w:rsidR="008D1099" w:rsidRPr="00FF6E12" w:rsidRDefault="008D1099" w:rsidP="00A920EC">
      <w:pPr>
        <w:pStyle w:val="FootnoteText"/>
      </w:pPr>
      <w:r w:rsidRPr="00FF6E12">
        <w:rPr>
          <w:rStyle w:val="FootnoteReference"/>
          <w:rFonts w:cs="Times New Roman"/>
        </w:rPr>
        <w:footnoteRef/>
      </w:r>
      <w:r w:rsidRPr="00FF6E12">
        <w:t xml:space="preserve"> Bryanna Fox and Matt DeLisi, </w:t>
      </w:r>
      <w:r w:rsidR="00581D00" w:rsidRPr="00FF6E12">
        <w:t>‘</w:t>
      </w:r>
      <w:r w:rsidRPr="00FF6E12">
        <w:t>From criminological heterogeneity to coherent classes: Developing a typology of juvenile sex offenders</w:t>
      </w:r>
      <w:r w:rsidR="00581D00" w:rsidRPr="00FF6E12">
        <w:t>’</w:t>
      </w:r>
      <w:r w:rsidRPr="00FF6E12">
        <w:t xml:space="preserve"> (2018) 16(3) </w:t>
      </w:r>
      <w:r w:rsidRPr="00FF6E12">
        <w:rPr>
          <w:i/>
        </w:rPr>
        <w:t>Youth Violence and Juvenile Justice</w:t>
      </w:r>
      <w:r w:rsidRPr="00FF6E12">
        <w:t xml:space="preserve"> 299</w:t>
      </w:r>
      <w:r w:rsidR="00581D00" w:rsidRPr="00FF6E12">
        <w:t>–</w:t>
      </w:r>
      <w:r w:rsidRPr="00FF6E12">
        <w:t>318.</w:t>
      </w:r>
    </w:p>
  </w:footnote>
  <w:footnote w:id="950">
    <w:p w14:paraId="1740E5D2" w14:textId="5D50E17E" w:rsidR="008D1099" w:rsidRPr="00FF6E12" w:rsidRDefault="008D1099" w:rsidP="00A920EC">
      <w:pPr>
        <w:pStyle w:val="FootnoteText"/>
      </w:pPr>
      <w:r w:rsidRPr="00FF6E12">
        <w:rPr>
          <w:rStyle w:val="FootnoteReference"/>
          <w:rFonts w:cs="Times New Roman"/>
        </w:rPr>
        <w:footnoteRef/>
      </w:r>
      <w:r w:rsidRPr="00FF6E12">
        <w:t xml:space="preserve"> This also aligns with findings of another study, which reported female adolescent group sex offenders had high rates of interpersonal problems and sexual abuse experiences. See Miriam Wijkman et al, </w:t>
      </w:r>
      <w:r w:rsidR="00581D00" w:rsidRPr="00FF6E12">
        <w:t>‘</w:t>
      </w:r>
      <w:r w:rsidRPr="00FF6E12">
        <w:t>Group sexual offending by juvenile females</w:t>
      </w:r>
      <w:r w:rsidR="00581D00" w:rsidRPr="00FF6E12">
        <w:t>’</w:t>
      </w:r>
      <w:r w:rsidRPr="00FF6E12">
        <w:t xml:space="preserve"> (2015) 27(3) </w:t>
      </w:r>
      <w:r w:rsidRPr="00FF6E12">
        <w:rPr>
          <w:i/>
        </w:rPr>
        <w:t>Sexual Abuse: A Journal of Research and Treatment</w:t>
      </w:r>
      <w:r w:rsidRPr="00FF6E12">
        <w:t xml:space="preserve"> 335</w:t>
      </w:r>
      <w:r w:rsidR="00581D00" w:rsidRPr="00FF6E12">
        <w:t>–</w:t>
      </w:r>
      <w:r w:rsidRPr="00FF6E12">
        <w:t>356.</w:t>
      </w:r>
    </w:p>
  </w:footnote>
  <w:footnote w:id="951">
    <w:p w14:paraId="32B0EDE1" w14:textId="1631369F" w:rsidR="00F90A77" w:rsidRPr="00FF6E12" w:rsidRDefault="00F90A77" w:rsidP="00A920EC">
      <w:pPr>
        <w:pStyle w:val="FootnoteText"/>
      </w:pPr>
      <w:r w:rsidRPr="00FF6E12">
        <w:rPr>
          <w:rStyle w:val="FootnoteReference"/>
        </w:rPr>
        <w:footnoteRef/>
      </w:r>
      <w:r w:rsidRPr="00FF6E12">
        <w:t xml:space="preserve"> </w:t>
      </w:r>
      <w:r w:rsidR="006F06BE" w:rsidRPr="00A920EC">
        <w:rPr>
          <w:i/>
          <w:iCs/>
        </w:rPr>
        <w:t>Oranga Tamariki Act</w:t>
      </w:r>
      <w:r w:rsidR="006F06BE" w:rsidRPr="00FF6E12">
        <w:t xml:space="preserve"> 1989</w:t>
      </w:r>
      <w:r w:rsidR="0029763C" w:rsidRPr="00FF6E12">
        <w:t xml:space="preserve"> </w:t>
      </w:r>
      <w:r w:rsidR="006F06BE" w:rsidRPr="00FF6E12">
        <w:t>(NZ) s 5(1). The</w:t>
      </w:r>
      <w:r w:rsidR="0029763C" w:rsidRPr="00FF6E12">
        <w:t xml:space="preserve"> </w:t>
      </w:r>
      <w:r w:rsidR="006F06BE" w:rsidRPr="00A920EC">
        <w:rPr>
          <w:i/>
          <w:iCs/>
        </w:rPr>
        <w:t>Oranga Tamariki Act 1989</w:t>
      </w:r>
      <w:r w:rsidR="0029763C" w:rsidRPr="00FF6E12">
        <w:t xml:space="preserve"> </w:t>
      </w:r>
      <w:r w:rsidR="006F06BE" w:rsidRPr="00FF6E12">
        <w:t>(NZ) is also known as the</w:t>
      </w:r>
      <w:r w:rsidR="0029763C" w:rsidRPr="00FF6E12">
        <w:t xml:space="preserve"> </w:t>
      </w:r>
      <w:r w:rsidR="006F06BE" w:rsidRPr="00A920EC">
        <w:rPr>
          <w:i/>
          <w:iCs/>
        </w:rPr>
        <w:t>Children and Young People’s Well-being Act 1989</w:t>
      </w:r>
      <w:r w:rsidR="0029763C" w:rsidRPr="00A920EC">
        <w:rPr>
          <w:i/>
          <w:iCs/>
        </w:rPr>
        <w:t xml:space="preserve"> </w:t>
      </w:r>
      <w:r w:rsidR="006F06BE" w:rsidRPr="00FF6E12">
        <w:t>(NZ).</w:t>
      </w:r>
    </w:p>
  </w:footnote>
  <w:footnote w:id="952">
    <w:p w14:paraId="159321CD" w14:textId="58D827C4" w:rsidR="007E1DB5" w:rsidRPr="00FF6E12" w:rsidRDefault="007E1DB5">
      <w:pPr>
        <w:pStyle w:val="FootnoteText"/>
      </w:pPr>
      <w:r w:rsidRPr="00FF6E12">
        <w:rPr>
          <w:rStyle w:val="FootnoteReference"/>
        </w:rPr>
        <w:footnoteRef/>
      </w:r>
      <w:r w:rsidRPr="00FF6E12">
        <w:t xml:space="preserve"> </w:t>
      </w:r>
      <w:r w:rsidR="006F06BE" w:rsidRPr="00FF6E12">
        <w:t xml:space="preserve">Sam Bookman and Andrew Becroft, ‘The New Principles of the Oranga Tamariki Legislation Act: </w:t>
      </w:r>
      <w:r w:rsidR="004B2FAB" w:rsidRPr="00FF6E12">
        <w:t>Crocodile</w:t>
      </w:r>
      <w:r w:rsidR="006F06BE" w:rsidRPr="00FF6E12">
        <w:t xml:space="preserve"> Tears or Provisions with Bite?’ (21 May 2019)</w:t>
      </w:r>
      <w:r w:rsidR="0029763C" w:rsidRPr="00FF6E12">
        <w:t xml:space="preserve"> </w:t>
      </w:r>
      <w:r w:rsidR="006F06BE" w:rsidRPr="00FF6E12">
        <w:rPr>
          <w:i/>
          <w:iCs/>
        </w:rPr>
        <w:t>SSRN Electronic Journal</w:t>
      </w:r>
      <w:r w:rsidR="00581D00" w:rsidRPr="00FF6E12">
        <w:t xml:space="preserve"> </w:t>
      </w:r>
      <w:r w:rsidR="006F06BE" w:rsidRPr="00FF6E12">
        <w:t>15 &lt;</w:t>
      </w:r>
      <w:r w:rsidR="0029763C" w:rsidRPr="00A920EC">
        <w:t>https://ssrn.com/abstract=3391878</w:t>
      </w:r>
      <w:r w:rsidR="006F06BE" w:rsidRPr="00FF6E12">
        <w:t>&gt;.</w:t>
      </w:r>
    </w:p>
  </w:footnote>
  <w:footnote w:id="953">
    <w:p w14:paraId="18C9BC7E" w14:textId="777A7E90" w:rsidR="007E1DB5" w:rsidRPr="00FF6E12" w:rsidRDefault="007E1DB5">
      <w:pPr>
        <w:pStyle w:val="FootnoteText"/>
      </w:pPr>
      <w:r w:rsidRPr="00FF6E12">
        <w:rPr>
          <w:rStyle w:val="FootnoteReference"/>
        </w:rPr>
        <w:footnoteRef/>
      </w:r>
      <w:r w:rsidRPr="00FF6E12">
        <w:t xml:space="preserve"> </w:t>
      </w:r>
      <w:r w:rsidR="00F90A77" w:rsidRPr="00A920EC">
        <w:rPr>
          <w:i/>
          <w:iCs/>
        </w:rPr>
        <w:t>Oranga Tamariki Act 1989</w:t>
      </w:r>
      <w:r w:rsidR="0029763C" w:rsidRPr="00FF6E12">
        <w:t xml:space="preserve"> </w:t>
      </w:r>
      <w:r w:rsidR="00F90A77" w:rsidRPr="00FF6E12">
        <w:t>(NZ) s 5(1).</w:t>
      </w:r>
    </w:p>
  </w:footnote>
  <w:footnote w:id="954">
    <w:p w14:paraId="713FC51F" w14:textId="31565DE3" w:rsidR="006F06BE" w:rsidRPr="00FF6E12" w:rsidRDefault="006F06BE">
      <w:pPr>
        <w:pStyle w:val="FootnoteText"/>
      </w:pPr>
      <w:r w:rsidRPr="00FF6E12">
        <w:rPr>
          <w:rStyle w:val="FootnoteReference"/>
        </w:rPr>
        <w:footnoteRef/>
      </w:r>
      <w:r w:rsidRPr="00FF6E12">
        <w:t xml:space="preserve"> </w:t>
      </w:r>
      <w:r w:rsidR="007172CF" w:rsidRPr="00A920EC">
        <w:rPr>
          <w:i/>
          <w:iCs/>
        </w:rPr>
        <w:t>Oranga Tamariki Act 1989</w:t>
      </w:r>
      <w:r w:rsidR="0029763C" w:rsidRPr="00FF6E12">
        <w:t xml:space="preserve"> </w:t>
      </w:r>
      <w:r w:rsidR="007172CF" w:rsidRPr="00FF6E12">
        <w:t>(NZ) s 208(2)</w:t>
      </w:r>
      <w:r w:rsidR="00F54228" w:rsidRPr="00FF6E12">
        <w:t>.</w:t>
      </w:r>
    </w:p>
  </w:footnote>
  <w:footnote w:id="955">
    <w:p w14:paraId="566FE5B0" w14:textId="595CA5CE" w:rsidR="007172CF" w:rsidRPr="00FF6E12" w:rsidRDefault="007172CF">
      <w:pPr>
        <w:pStyle w:val="FootnoteText"/>
      </w:pPr>
      <w:r w:rsidRPr="00FF6E12">
        <w:rPr>
          <w:rStyle w:val="FootnoteReference"/>
        </w:rPr>
        <w:footnoteRef/>
      </w:r>
      <w:r w:rsidRPr="00FF6E12">
        <w:t xml:space="preserve"> </w:t>
      </w:r>
      <w:r w:rsidRPr="00A920EC">
        <w:rPr>
          <w:i/>
          <w:iCs/>
        </w:rPr>
        <w:t>Oranga Tamariki Act 1989</w:t>
      </w:r>
      <w:r w:rsidR="00581D00" w:rsidRPr="00FF6E12">
        <w:t xml:space="preserve"> </w:t>
      </w:r>
      <w:r w:rsidRPr="00FF6E12">
        <w:t>(NZ) s 208(2)</w:t>
      </w:r>
      <w:r w:rsidR="00F54228" w:rsidRPr="00FF6E12">
        <w:t>.</w:t>
      </w:r>
    </w:p>
  </w:footnote>
  <w:footnote w:id="956">
    <w:p w14:paraId="1E9F2BC8" w14:textId="5251AF98" w:rsidR="00B3121D" w:rsidRPr="00FF6E12" w:rsidRDefault="00B3121D">
      <w:pPr>
        <w:pStyle w:val="FootnoteText"/>
      </w:pPr>
      <w:r w:rsidRPr="00FF6E12">
        <w:rPr>
          <w:rStyle w:val="FootnoteReference"/>
        </w:rPr>
        <w:footnoteRef/>
      </w:r>
      <w:r w:rsidRPr="00FF6E12">
        <w:t xml:space="preserve"> </w:t>
      </w:r>
      <w:r w:rsidR="00F54228" w:rsidRPr="00FF6E12">
        <w:rPr>
          <w:i/>
          <w:iCs/>
        </w:rPr>
        <w:t>Oranga Tamariki Act 1989</w:t>
      </w:r>
      <w:r w:rsidR="00581D00" w:rsidRPr="00FF6E12">
        <w:t xml:space="preserve"> </w:t>
      </w:r>
      <w:r w:rsidR="00F54228" w:rsidRPr="00FF6E12">
        <w:t>(NZ) ss 4A(2), 208(1).</w:t>
      </w:r>
    </w:p>
  </w:footnote>
  <w:footnote w:id="957">
    <w:p w14:paraId="01E3F23A" w14:textId="22CA394E" w:rsidR="00B61209" w:rsidRPr="00FF6E12" w:rsidRDefault="00B61209" w:rsidP="00A920EC">
      <w:pPr>
        <w:pStyle w:val="FootnoteText"/>
      </w:pPr>
      <w:r w:rsidRPr="00FF6E12">
        <w:rPr>
          <w:rStyle w:val="FootnoteReference"/>
        </w:rPr>
        <w:footnoteRef/>
      </w:r>
      <w:r w:rsidRPr="00FF6E12">
        <w:t xml:space="preserve"> </w:t>
      </w:r>
      <w:r w:rsidR="0043487E" w:rsidRPr="00FF6E12">
        <w:rPr>
          <w:i/>
          <w:iCs/>
        </w:rPr>
        <w:t xml:space="preserve">Criminal Code </w:t>
      </w:r>
      <w:r w:rsidR="0043487E" w:rsidRPr="00FF6E12">
        <w:t>(Tas) s</w:t>
      </w:r>
      <w:r w:rsidRPr="00FF6E12">
        <w:t xml:space="preserve"> 105A(6).</w:t>
      </w:r>
    </w:p>
  </w:footnote>
  <w:footnote w:id="958">
    <w:p w14:paraId="20D0451B" w14:textId="43052C12" w:rsidR="00B61209" w:rsidRPr="00FF6E12" w:rsidRDefault="00B61209" w:rsidP="00A920EC">
      <w:pPr>
        <w:pStyle w:val="FootnoteText"/>
      </w:pPr>
      <w:r w:rsidRPr="00FF6E12">
        <w:rPr>
          <w:rStyle w:val="FootnoteReference"/>
        </w:rPr>
        <w:footnoteRef/>
      </w:r>
      <w:r w:rsidRPr="00FF6E12">
        <w:t xml:space="preserve"> </w:t>
      </w:r>
      <w:r w:rsidR="0043487E" w:rsidRPr="00FF6E12">
        <w:rPr>
          <w:i/>
          <w:iCs/>
        </w:rPr>
        <w:t xml:space="preserve">Criminal Code </w:t>
      </w:r>
      <w:r w:rsidR="0043487E" w:rsidRPr="00FF6E12">
        <w:t>(Tas) s</w:t>
      </w:r>
      <w:r w:rsidRPr="00FF6E12">
        <w:t xml:space="preserve"> 105A(3)(a).</w:t>
      </w:r>
    </w:p>
  </w:footnote>
  <w:footnote w:id="959">
    <w:p w14:paraId="70F7F2D3" w14:textId="38787400" w:rsidR="00B61209" w:rsidRPr="00FF6E12" w:rsidRDefault="00B61209" w:rsidP="00A920EC">
      <w:pPr>
        <w:pStyle w:val="FootnoteText"/>
      </w:pPr>
      <w:r w:rsidRPr="00FF6E12">
        <w:rPr>
          <w:rStyle w:val="FootnoteReference"/>
        </w:rPr>
        <w:footnoteRef/>
      </w:r>
      <w:r w:rsidRPr="00FF6E12">
        <w:t xml:space="preserve"> </w:t>
      </w:r>
      <w:r w:rsidR="0043487E" w:rsidRPr="00FF6E12">
        <w:rPr>
          <w:i/>
          <w:iCs/>
        </w:rPr>
        <w:t xml:space="preserve">Criminal Code </w:t>
      </w:r>
      <w:r w:rsidR="0043487E" w:rsidRPr="00FF6E12">
        <w:t>(Tas) s</w:t>
      </w:r>
      <w:r w:rsidRPr="00FF6E12">
        <w:t xml:space="preserve"> 105A(3)(b).</w:t>
      </w:r>
    </w:p>
  </w:footnote>
  <w:footnote w:id="960">
    <w:p w14:paraId="732B8D93" w14:textId="0006E617" w:rsidR="00B61209" w:rsidRPr="00FF6E12" w:rsidRDefault="00B61209" w:rsidP="00A920EC">
      <w:pPr>
        <w:pStyle w:val="FootnoteText"/>
      </w:pPr>
      <w:r w:rsidRPr="00FF6E12">
        <w:rPr>
          <w:rStyle w:val="FootnoteReference"/>
        </w:rPr>
        <w:footnoteRef/>
      </w:r>
      <w:r w:rsidRPr="00FF6E12">
        <w:t xml:space="preserve"> </w:t>
      </w:r>
      <w:r w:rsidR="0043487E" w:rsidRPr="00FF6E12">
        <w:rPr>
          <w:i/>
          <w:iCs/>
        </w:rPr>
        <w:t xml:space="preserve">Criminal Code </w:t>
      </w:r>
      <w:r w:rsidR="0043487E" w:rsidRPr="00FF6E12">
        <w:t xml:space="preserve">(Tas) s </w:t>
      </w:r>
      <w:r w:rsidRPr="00FF6E12">
        <w:t>105A(4).</w:t>
      </w:r>
    </w:p>
  </w:footnote>
  <w:footnote w:id="961">
    <w:p w14:paraId="68E3233B" w14:textId="28349F6E" w:rsidR="00B61209" w:rsidRPr="00FF6E12" w:rsidRDefault="00B61209" w:rsidP="00A920EC">
      <w:pPr>
        <w:pStyle w:val="FootnoteText"/>
      </w:pPr>
      <w:r w:rsidRPr="00FF6E12">
        <w:rPr>
          <w:rStyle w:val="FootnoteReference"/>
        </w:rPr>
        <w:footnoteRef/>
      </w:r>
      <w:r w:rsidRPr="00FF6E12">
        <w:t xml:space="preserve"> </w:t>
      </w:r>
      <w:r w:rsidR="0043487E" w:rsidRPr="00FF6E12">
        <w:rPr>
          <w:i/>
          <w:iCs/>
        </w:rPr>
        <w:t xml:space="preserve">Criminal Code </w:t>
      </w:r>
      <w:r w:rsidR="0043487E" w:rsidRPr="00FF6E12">
        <w:t>(Tas) s</w:t>
      </w:r>
      <w:r w:rsidR="00903C65" w:rsidRPr="00FF6E12">
        <w:t>s</w:t>
      </w:r>
      <w:r w:rsidRPr="00FF6E12">
        <w:t xml:space="preserve"> 105A(4)(c), 104A(4)(1) (definition of </w:t>
      </w:r>
      <w:r w:rsidR="00581D00" w:rsidRPr="00FF6E12">
        <w:t>‘</w:t>
      </w:r>
      <w:r w:rsidRPr="00FF6E12">
        <w:t>proper authority</w:t>
      </w:r>
      <w:r w:rsidR="00581D00" w:rsidRPr="00FF6E12">
        <w:t>’</w:t>
      </w:r>
      <w:r w:rsidRPr="00FF6E12">
        <w:t>)</w:t>
      </w:r>
      <w:r w:rsidR="00581D00" w:rsidRPr="00FF6E12">
        <w:t>,</w:t>
      </w:r>
      <w:r w:rsidRPr="00FF6E12">
        <w:t xml:space="preserve"> 162A(1).</w:t>
      </w:r>
    </w:p>
  </w:footnote>
  <w:footnote w:id="962">
    <w:p w14:paraId="6CCB7EC0" w14:textId="0355E62A" w:rsidR="00B61209" w:rsidRPr="00FF6E12" w:rsidRDefault="00B61209" w:rsidP="00A920EC">
      <w:pPr>
        <w:pStyle w:val="FootnoteText"/>
      </w:pPr>
      <w:r w:rsidRPr="00FF6E12">
        <w:rPr>
          <w:rStyle w:val="FootnoteReference"/>
        </w:rPr>
        <w:footnoteRef/>
      </w:r>
      <w:r w:rsidRPr="00FF6E12">
        <w:t xml:space="preserve"> </w:t>
      </w:r>
      <w:r w:rsidR="00903C65" w:rsidRPr="00A920EC">
        <w:rPr>
          <w:i/>
          <w:iCs/>
        </w:rPr>
        <w:t>Children, Young Persons and Their Families Act 1997</w:t>
      </w:r>
      <w:r w:rsidR="00903C65" w:rsidRPr="00FF6E12">
        <w:t xml:space="preserve"> (Tas) s</w:t>
      </w:r>
      <w:r w:rsidRPr="00FF6E12">
        <w:t xml:space="preserve"> 14(2)</w:t>
      </w:r>
      <w:r w:rsidR="00581D00" w:rsidRPr="00FF6E12">
        <w:t>.</w:t>
      </w:r>
    </w:p>
  </w:footnote>
  <w:footnote w:id="963">
    <w:p w14:paraId="55CA704E" w14:textId="116B84B8" w:rsidR="00B61209" w:rsidRPr="00FF6E12" w:rsidRDefault="00B61209" w:rsidP="00A920EC">
      <w:pPr>
        <w:pStyle w:val="FootnoteText"/>
      </w:pPr>
      <w:r w:rsidRPr="00FF6E12">
        <w:rPr>
          <w:rStyle w:val="FootnoteReference"/>
        </w:rPr>
        <w:footnoteRef/>
      </w:r>
      <w:r w:rsidRPr="00FF6E12">
        <w:t xml:space="preserve"> </w:t>
      </w:r>
      <w:r w:rsidR="00903C65" w:rsidRPr="00A920EC">
        <w:rPr>
          <w:i/>
          <w:iCs/>
        </w:rPr>
        <w:t>Children, Young Persons and Their Families Act 1997</w:t>
      </w:r>
      <w:r w:rsidR="00903C65" w:rsidRPr="00FF6E12">
        <w:t xml:space="preserve"> (Tas) s</w:t>
      </w:r>
      <w:r w:rsidRPr="00FF6E12">
        <w:t xml:space="preserve"> 3 (definition of </w:t>
      </w:r>
      <w:r w:rsidR="00581D00" w:rsidRPr="00FF6E12">
        <w:t>‘</w:t>
      </w:r>
      <w:r w:rsidRPr="00FF6E12">
        <w:t>abuse or neglect</w:t>
      </w:r>
      <w:r w:rsidR="00581D00" w:rsidRPr="00FF6E12">
        <w:t>’</w:t>
      </w:r>
      <w:r w:rsidRPr="00FF6E12">
        <w:t>).</w:t>
      </w:r>
    </w:p>
  </w:footnote>
  <w:footnote w:id="964">
    <w:p w14:paraId="5243312F" w14:textId="7F02962E" w:rsidR="00B61209" w:rsidRPr="00FF6E12" w:rsidRDefault="00B61209" w:rsidP="00A920EC">
      <w:pPr>
        <w:pStyle w:val="FootnoteText"/>
      </w:pPr>
      <w:r w:rsidRPr="00FF6E12">
        <w:rPr>
          <w:rStyle w:val="FootnoteReference"/>
        </w:rPr>
        <w:footnoteRef/>
      </w:r>
      <w:r w:rsidRPr="00FF6E12">
        <w:t xml:space="preserve"> </w:t>
      </w:r>
      <w:r w:rsidRPr="00A920EC">
        <w:rPr>
          <w:i/>
          <w:iCs/>
        </w:rPr>
        <w:t>Children, Young Persons and Their Families Act 1997</w:t>
      </w:r>
      <w:r w:rsidRPr="00FF6E12">
        <w:t xml:space="preserve"> (Tas) s 14(1)</w:t>
      </w:r>
    </w:p>
  </w:footnote>
  <w:footnote w:id="965">
    <w:p w14:paraId="76C2B189" w14:textId="6F07D3C6" w:rsidR="00B61209" w:rsidRPr="00FF6E12" w:rsidRDefault="00B61209" w:rsidP="00A920EC">
      <w:pPr>
        <w:pStyle w:val="FootnoteText"/>
      </w:pPr>
      <w:r w:rsidRPr="00FF6E12">
        <w:rPr>
          <w:rStyle w:val="FootnoteReference"/>
        </w:rPr>
        <w:footnoteRef/>
      </w:r>
      <w:r w:rsidRPr="00FF6E12">
        <w:t xml:space="preserve"> </w:t>
      </w:r>
      <w:r w:rsidR="00903C65" w:rsidRPr="00A920EC">
        <w:rPr>
          <w:i/>
          <w:iCs/>
        </w:rPr>
        <w:t>Children, Young Persons and Their Families Act 1997</w:t>
      </w:r>
      <w:r w:rsidR="00903C65" w:rsidRPr="00FF6E12">
        <w:t xml:space="preserve"> (Tas) s</w:t>
      </w:r>
      <w:r w:rsidRPr="00FF6E12">
        <w:t xml:space="preserve"> 14(2).</w:t>
      </w:r>
    </w:p>
  </w:footnote>
  <w:footnote w:id="966">
    <w:p w14:paraId="52BFD5FA" w14:textId="2BF29FF8" w:rsidR="006D0EB8" w:rsidRPr="00FF6E12" w:rsidRDefault="006D0EB8" w:rsidP="00A920EC">
      <w:pPr>
        <w:pStyle w:val="FootnoteText"/>
      </w:pPr>
      <w:r w:rsidRPr="00FF6E12">
        <w:rPr>
          <w:rStyle w:val="FootnoteReference"/>
        </w:rPr>
        <w:footnoteRef/>
      </w:r>
      <w:r w:rsidRPr="00FF6E12">
        <w:t xml:space="preserve"> See </w:t>
      </w:r>
      <w:r w:rsidR="00581D00" w:rsidRPr="00FF6E12">
        <w:t xml:space="preserve">Children’s Court of Victoria, </w:t>
      </w:r>
      <w:r w:rsidR="00581D00" w:rsidRPr="00A920EC">
        <w:rPr>
          <w:i/>
          <w:iCs/>
        </w:rPr>
        <w:t>Sentencing/Diversionary Options for Children and Young People Charged with Sexual Offences in the Children’s Court of Victoria</w:t>
      </w:r>
      <w:r w:rsidR="00581D00" w:rsidRPr="00FF6E12">
        <w:rPr>
          <w:i/>
          <w:iCs/>
        </w:rPr>
        <w:t xml:space="preserve"> </w:t>
      </w:r>
      <w:r w:rsidR="00581D00" w:rsidRPr="00A920EC">
        <w:t>(</w:t>
      </w:r>
      <w:r w:rsidR="00581D00" w:rsidRPr="00FF6E12">
        <w:t>Jennifer Bowles, Magistrate, 12 January 2021) &lt;</w:t>
      </w:r>
      <w:r w:rsidR="00FF7D14" w:rsidRPr="00A920EC">
        <w:t>https://humanrights.gov.au/sites/default/files/magistrate_jennifer_bowles_attachment2_redacted_0.pdf</w:t>
      </w:r>
      <w:r w:rsidR="00DE1588" w:rsidRPr="00FF6E12">
        <w:t>&gt;.</w:t>
      </w:r>
    </w:p>
  </w:footnote>
  <w:footnote w:id="967">
    <w:p w14:paraId="2480BC60" w14:textId="2A95B1A9" w:rsidR="006D0EB8" w:rsidRPr="00FF6E12" w:rsidRDefault="006D0EB8" w:rsidP="00A920EC">
      <w:pPr>
        <w:pStyle w:val="FootnoteText"/>
        <w:rPr>
          <w:i/>
          <w:iCs/>
        </w:rPr>
      </w:pPr>
      <w:r w:rsidRPr="00FF6E12">
        <w:rPr>
          <w:rStyle w:val="FootnoteReference"/>
        </w:rPr>
        <w:footnoteRef/>
      </w:r>
      <w:r w:rsidRPr="00FF6E12">
        <w:t xml:space="preserve"> See Children’s Court of Victoria, </w:t>
      </w:r>
      <w:r w:rsidRPr="00FF6E12">
        <w:rPr>
          <w:i/>
          <w:iCs/>
        </w:rPr>
        <w:t xml:space="preserve">Group Conferencing </w:t>
      </w:r>
      <w:r w:rsidR="00581D00" w:rsidRPr="00A920EC">
        <w:t>(Web page,</w:t>
      </w:r>
      <w:r w:rsidR="00DE1588" w:rsidRPr="00FF6E12">
        <w:t xml:space="preserve"> nd)</w:t>
      </w:r>
      <w:r w:rsidR="00581D00" w:rsidRPr="00A920EC">
        <w:t xml:space="preserve"> </w:t>
      </w:r>
      <w:r w:rsidR="00581D00" w:rsidRPr="00FF6E12">
        <w:rPr>
          <w:i/>
          <w:iCs/>
        </w:rPr>
        <w:t>&lt;</w:t>
      </w:r>
      <w:r w:rsidR="00FF7D14" w:rsidRPr="00A920EC">
        <w:t>https://www.childrenscourt.vic.gov.au/criminal-division/group-conferencing</w:t>
      </w:r>
      <w:r w:rsidR="00581D00" w:rsidRPr="00FF6E12">
        <w:t>&gt;</w:t>
      </w:r>
      <w:r w:rsidR="00DE1588" w:rsidRPr="00FF6E12">
        <w:t>.</w:t>
      </w:r>
    </w:p>
  </w:footnote>
  <w:footnote w:id="968">
    <w:p w14:paraId="79C77F92" w14:textId="3576B5E1" w:rsidR="006D0EB8" w:rsidRPr="00FF6E12" w:rsidRDefault="006D0EB8" w:rsidP="00A920EC">
      <w:pPr>
        <w:pStyle w:val="FootnoteText"/>
      </w:pPr>
      <w:r w:rsidRPr="00FF6E12">
        <w:rPr>
          <w:rStyle w:val="FootnoteReference"/>
        </w:rPr>
        <w:footnoteRef/>
      </w:r>
      <w:r w:rsidRPr="00FF6E12">
        <w:t xml:space="preserve"> Excluded offences are </w:t>
      </w:r>
      <w:r w:rsidR="00DE1588" w:rsidRPr="00FF6E12">
        <w:t xml:space="preserve">the following </w:t>
      </w:r>
      <w:r w:rsidRPr="00FF6E12">
        <w:t>offences under</w:t>
      </w:r>
      <w:r w:rsidR="000E190D">
        <w:t xml:space="preserve"> the</w:t>
      </w:r>
      <w:r w:rsidRPr="00FF6E12">
        <w:t xml:space="preserve"> </w:t>
      </w:r>
      <w:r w:rsidR="00DE1588" w:rsidRPr="00AB59E8">
        <w:rPr>
          <w:i/>
          <w:iCs/>
        </w:rPr>
        <w:t>Crimes Act 1900</w:t>
      </w:r>
      <w:r w:rsidR="00DE1588" w:rsidRPr="00FF6E12">
        <w:t xml:space="preserve"> (NSW)</w:t>
      </w:r>
      <w:r w:rsidR="000E190D">
        <w:t>:</w:t>
      </w:r>
      <w:r w:rsidR="00DE1588" w:rsidRPr="00FF6E12">
        <w:t xml:space="preserve"> ss 8(2)(d),</w:t>
      </w:r>
      <w:r w:rsidR="001873D2" w:rsidRPr="00FF6E12">
        <w:t xml:space="preserve"> </w:t>
      </w:r>
      <w:r w:rsidRPr="00FF6E12">
        <w:t>61E, 61KC, 61KD, 61KE, 61KF, 61L, 61M, 61N, 61O (1), (1A) or (2), 66C, 66D, 66DA, 66DB, 66DC, 66DD, 66DE, 80, 81A or 81B</w:t>
      </w:r>
      <w:r w:rsidR="00DE1588" w:rsidRPr="00FF6E12">
        <w:t>.</w:t>
      </w:r>
      <w:r w:rsidRPr="00FF6E12">
        <w:t xml:space="preserve"> Other sexual offences are indictable offences that cannot be dealt with summarily</w:t>
      </w:r>
      <w:r w:rsidR="0043487E" w:rsidRPr="00FF6E12">
        <w:t xml:space="preserve">. </w:t>
      </w:r>
      <w:r w:rsidRPr="00FF6E12">
        <w:t>Several online offences</w:t>
      </w:r>
      <w:r w:rsidR="00DE1588" w:rsidRPr="00FF6E12">
        <w:t>,</w:t>
      </w:r>
      <w:r w:rsidRPr="00FF6E12">
        <w:t xml:space="preserve"> such as production, dissemination or possession of child abuse material s 91H</w:t>
      </w:r>
      <w:r w:rsidR="00DE1588" w:rsidRPr="00FF6E12">
        <w:t>,</w:t>
      </w:r>
      <w:r w:rsidRPr="00FF6E12">
        <w:t xml:space="preserve"> and distribute intimate images without consent </w:t>
      </w:r>
      <w:r w:rsidR="00DE1588" w:rsidRPr="00FF6E12">
        <w:t xml:space="preserve">s 91Q </w:t>
      </w:r>
      <w:r w:rsidRPr="00FF6E12">
        <w:t>are indictable offences that can be dealt with summarily</w:t>
      </w:r>
      <w:r w:rsidR="00DE1588" w:rsidRPr="00FF6E12">
        <w:t xml:space="preserve">: </w:t>
      </w:r>
      <w:r w:rsidRPr="00FF6E12">
        <w:t xml:space="preserve">see </w:t>
      </w:r>
      <w:r w:rsidRPr="00FF6E12">
        <w:rPr>
          <w:i/>
          <w:iCs/>
        </w:rPr>
        <w:t xml:space="preserve">Criminal Procedure Act 1986 </w:t>
      </w:r>
      <w:r w:rsidR="00DE1588" w:rsidRPr="00FF6E12">
        <w:t xml:space="preserve">(NSW) </w:t>
      </w:r>
      <w:r w:rsidRPr="00A920EC">
        <w:t xml:space="preserve">s 259, </w:t>
      </w:r>
      <w:r w:rsidR="00DE1588" w:rsidRPr="00FF6E12">
        <w:t xml:space="preserve">sch </w:t>
      </w:r>
      <w:r w:rsidRPr="00FF6E12">
        <w:t>1.</w:t>
      </w:r>
    </w:p>
  </w:footnote>
  <w:footnote w:id="969">
    <w:p w14:paraId="7575F5ED" w14:textId="70F4624D" w:rsidR="006D0EB8" w:rsidRPr="00FF6E12" w:rsidRDefault="006D0EB8" w:rsidP="00A920EC">
      <w:pPr>
        <w:pStyle w:val="FootnoteText"/>
      </w:pPr>
      <w:r w:rsidRPr="00FF6E12">
        <w:rPr>
          <w:rStyle w:val="FootnoteReference"/>
        </w:rPr>
        <w:footnoteRef/>
      </w:r>
      <w:r w:rsidRPr="00FF6E12">
        <w:t xml:space="preserve"> Note that </w:t>
      </w:r>
      <w:r w:rsidR="00053A3B" w:rsidRPr="00FF6E12">
        <w:t xml:space="preserve">the Director of Public Prosecutions </w:t>
      </w:r>
      <w:r w:rsidRPr="00FF6E12">
        <w:t xml:space="preserve">must approve proceedings for an offence against a child under </w:t>
      </w:r>
      <w:r w:rsidRPr="00FF6E12">
        <w:rPr>
          <w:i/>
          <w:iCs/>
        </w:rPr>
        <w:t xml:space="preserve">Crimes Act </w:t>
      </w:r>
      <w:r w:rsidR="00AF4D34" w:rsidRPr="00FF6E12">
        <w:rPr>
          <w:i/>
          <w:iCs/>
        </w:rPr>
        <w:t xml:space="preserve">1900 </w:t>
      </w:r>
      <w:r w:rsidR="00AF4D34" w:rsidRPr="00A920EC">
        <w:t xml:space="preserve">(NSW) </w:t>
      </w:r>
      <w:r w:rsidRPr="00FF6E12">
        <w:t>s 91H</w:t>
      </w:r>
      <w:r w:rsidR="00AF4D34" w:rsidRPr="00FF6E12">
        <w:t>.</w:t>
      </w:r>
    </w:p>
  </w:footnote>
  <w:footnote w:id="970">
    <w:p w14:paraId="496888E5" w14:textId="6A6C23B9" w:rsidR="006D0EB8" w:rsidRPr="00FF6E12" w:rsidRDefault="006D0EB8" w:rsidP="00A920EC">
      <w:pPr>
        <w:pStyle w:val="FootnoteText"/>
      </w:pPr>
      <w:r w:rsidRPr="00FF6E12">
        <w:rPr>
          <w:rStyle w:val="FootnoteReference"/>
        </w:rPr>
        <w:footnoteRef/>
      </w:r>
      <w:r w:rsidRPr="00FF6E12">
        <w:t xml:space="preserve"> A major indicatable offence is an offence where the maximum term of imprisonment is 5 years or more</w:t>
      </w:r>
      <w:r w:rsidR="00AF4D34" w:rsidRPr="00FF6E12">
        <w:t>:</w:t>
      </w:r>
      <w:r w:rsidRPr="00FF6E12">
        <w:t xml:space="preserve"> </w:t>
      </w:r>
      <w:r w:rsidRPr="00FF6E12">
        <w:rPr>
          <w:i/>
          <w:iCs/>
        </w:rPr>
        <w:t xml:space="preserve">Criminal Procedure Act 1921 </w:t>
      </w:r>
      <w:r w:rsidRPr="00A920EC">
        <w:t>(</w:t>
      </w:r>
      <w:r w:rsidRPr="00FF6E12">
        <w:t>SA) s 5.</w:t>
      </w:r>
    </w:p>
  </w:footnote>
  <w:footnote w:id="971">
    <w:p w14:paraId="4A58A683" w14:textId="5286DE51" w:rsidR="006D0EB8" w:rsidRPr="00FF6E12" w:rsidRDefault="006D0EB8" w:rsidP="00A920EC">
      <w:pPr>
        <w:pStyle w:val="FootnoteText"/>
      </w:pPr>
      <w:r w:rsidRPr="00FF6E12">
        <w:rPr>
          <w:rStyle w:val="FootnoteReference"/>
        </w:rPr>
        <w:footnoteRef/>
      </w:r>
      <w:r w:rsidRPr="00FF6E12">
        <w:t xml:space="preserve"> See </w:t>
      </w:r>
      <w:r w:rsidR="00AF4D34" w:rsidRPr="00FF6E12">
        <w:t xml:space="preserve">Lawler et al (n </w:t>
      </w:r>
      <w:r w:rsidR="00AF4D34" w:rsidRPr="00FF6E12">
        <w:fldChar w:fldCharType="begin"/>
      </w:r>
      <w:r w:rsidR="00AF4D34" w:rsidRPr="00FF6E12">
        <w:instrText xml:space="preserve"> NOTEREF _Ref218005998 \h </w:instrText>
      </w:r>
      <w:r w:rsidR="00AF4D34" w:rsidRPr="00FF6E12">
        <w:fldChar w:fldCharType="separate"/>
      </w:r>
      <w:r w:rsidR="007D7830">
        <w:t>757</w:t>
      </w:r>
      <w:r w:rsidR="00AF4D34" w:rsidRPr="00FF6E12">
        <w:fldChar w:fldCharType="end"/>
      </w:r>
      <w:r w:rsidR="00AF4D34" w:rsidRPr="00FF6E12">
        <w:t>).</w:t>
      </w:r>
    </w:p>
  </w:footnote>
  <w:footnote w:id="972">
    <w:p w14:paraId="45F8C9F4" w14:textId="45DB7562" w:rsidR="006D0EB8" w:rsidRPr="00FF6E12" w:rsidRDefault="006D0EB8" w:rsidP="00A920EC">
      <w:pPr>
        <w:pStyle w:val="FootnoteText"/>
        <w:jc w:val="left"/>
      </w:pPr>
      <w:r w:rsidRPr="00FF6E12">
        <w:rPr>
          <w:rStyle w:val="FootnoteReference"/>
        </w:rPr>
        <w:footnoteRef/>
      </w:r>
      <w:r w:rsidRPr="00FF6E12">
        <w:t xml:space="preserve"> See </w:t>
      </w:r>
      <w:r w:rsidR="00AF4D34" w:rsidRPr="00FF6E12">
        <w:t xml:space="preserve">Children’s Court of Western Australia, </w:t>
      </w:r>
      <w:r w:rsidR="00AF4D34" w:rsidRPr="00FF6E12">
        <w:rPr>
          <w:i/>
          <w:iCs/>
        </w:rPr>
        <w:t>Practice Direction 4 of 2023: Criminal Proceedings</w:t>
      </w:r>
      <w:r w:rsidR="00AF4D34" w:rsidRPr="00FF6E12">
        <w:t xml:space="preserve"> (29 June 2023) &lt;</w:t>
      </w:r>
      <w:r w:rsidRPr="00FF6E12">
        <w:t>https://www.childrenscourt.wa.gov.au/P/practice_direction_4_of_2023.aspx</w:t>
      </w:r>
      <w:r w:rsidR="00AF4D34" w:rsidRPr="00FF6E12">
        <w:t>&gt;</w:t>
      </w:r>
      <w:r w:rsidRPr="00FF6E12">
        <w:t>.</w:t>
      </w:r>
    </w:p>
  </w:footnote>
  <w:footnote w:id="973">
    <w:p w14:paraId="746871BA" w14:textId="29F0F696" w:rsidR="006D0EB8" w:rsidRPr="00FF6E12" w:rsidRDefault="006D0EB8" w:rsidP="00A920EC">
      <w:pPr>
        <w:pStyle w:val="FootnoteText"/>
        <w:jc w:val="left"/>
      </w:pPr>
      <w:r w:rsidRPr="00FF6E12">
        <w:rPr>
          <w:rStyle w:val="FootnoteReference"/>
        </w:rPr>
        <w:footnoteRef/>
      </w:r>
      <w:r w:rsidRPr="00FF6E12">
        <w:t xml:space="preserve"> See </w:t>
      </w:r>
      <w:r w:rsidR="00AF4D34" w:rsidRPr="00FF6E12">
        <w:t xml:space="preserve">Children’s Court of Western Australia, </w:t>
      </w:r>
      <w:r w:rsidR="00AF4D34" w:rsidRPr="00FF6E12">
        <w:rPr>
          <w:i/>
          <w:iCs/>
        </w:rPr>
        <w:t>Practice Direction 1 of 2023: Court Conferencing Referral to Youth Justice Services</w:t>
      </w:r>
      <w:r w:rsidR="00AF4D34" w:rsidRPr="00FF6E12">
        <w:t xml:space="preserve"> (31 March 2023) &lt;</w:t>
      </w:r>
      <w:r w:rsidRPr="00FF6E12">
        <w:t>https://www.childrenscourt.wa.gov.au/P/practice_direction_1_of_2023.aspx</w:t>
      </w:r>
      <w:r w:rsidR="00AF4D34" w:rsidRPr="00FF6E12">
        <w:t>&gt;.</w:t>
      </w:r>
    </w:p>
  </w:footnote>
  <w:footnote w:id="974">
    <w:p w14:paraId="2F2FE1A8" w14:textId="2C013128" w:rsidR="00A5577D" w:rsidRPr="00FF6E12" w:rsidRDefault="00A5577D" w:rsidP="00A920EC">
      <w:pPr>
        <w:pStyle w:val="FootnoteText"/>
      </w:pPr>
      <w:r w:rsidRPr="00FF6E12">
        <w:rPr>
          <w:rStyle w:val="FootnoteReference"/>
        </w:rPr>
        <w:footnoteRef/>
      </w:r>
      <w:r w:rsidRPr="00FF6E12">
        <w:t xml:space="preserve"> </w:t>
      </w:r>
      <w:r w:rsidR="00AF4D34" w:rsidRPr="00FF6E12">
        <w:t xml:space="preserve">Queensland Sentencing Advisory Council (n </w:t>
      </w:r>
      <w:r w:rsidR="00AF4D34" w:rsidRPr="00FF6E12">
        <w:fldChar w:fldCharType="begin"/>
      </w:r>
      <w:r w:rsidR="00AF4D34" w:rsidRPr="00FF6E12">
        <w:instrText xml:space="preserve"> NOTEREF _Ref218016536 \h </w:instrText>
      </w:r>
      <w:r w:rsidR="00AF4D34" w:rsidRPr="00FF6E12">
        <w:fldChar w:fldCharType="separate"/>
      </w:r>
      <w:r w:rsidR="007D7830">
        <w:t>763</w:t>
      </w:r>
      <w:r w:rsidR="00AF4D34" w:rsidRPr="00FF6E12">
        <w:fldChar w:fldCharType="end"/>
      </w:r>
      <w:r w:rsidR="00AF4D34" w:rsidRPr="00FF6E12">
        <w:t xml:space="preserve">) </w:t>
      </w:r>
      <w:r w:rsidR="00045312" w:rsidRPr="00FF6E12">
        <w:t>653</w:t>
      </w:r>
      <w:r w:rsidR="00AF4D34" w:rsidRPr="00FF6E12">
        <w:t>.</w:t>
      </w:r>
    </w:p>
  </w:footnote>
  <w:footnote w:id="975">
    <w:p w14:paraId="484C07BC" w14:textId="42C585DD" w:rsidR="002915AA" w:rsidRPr="00FF6E12" w:rsidRDefault="002915AA">
      <w:pPr>
        <w:pStyle w:val="FootnoteText"/>
      </w:pPr>
      <w:r w:rsidRPr="00FF6E12">
        <w:rPr>
          <w:rStyle w:val="FootnoteReference"/>
        </w:rPr>
        <w:footnoteRef/>
      </w:r>
      <w:r w:rsidRPr="00FF6E12">
        <w:t xml:space="preserve"> </w:t>
      </w:r>
      <w:r w:rsidR="00AF4D34" w:rsidRPr="00FF6E12">
        <w:t>Note</w:t>
      </w:r>
      <w:r w:rsidRPr="00FF6E12">
        <w:t xml:space="preserve"> that other recommendations of the Commission also referred to harmful sexual behaviour, as part of training and 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3729" w14:textId="77777777" w:rsidR="002334AB" w:rsidRPr="00AD5A54" w:rsidRDefault="002334AB" w:rsidP="002334AB">
    <w:pPr>
      <w:pStyle w:val="Header"/>
      <w:pBdr>
        <w:bottom w:val="single" w:sz="4" w:space="1" w:color="auto"/>
      </w:pBdr>
      <w:ind w:right="-115"/>
      <w:rPr>
        <w:i/>
        <w:iCs/>
      </w:rPr>
    </w:pPr>
    <w:r w:rsidRPr="00E73BBD">
      <w:rPr>
        <w:i/>
        <w:iCs/>
      </w:rPr>
      <w:t xml:space="preserve">Commissions of Inquiry Act 1995 </w:t>
    </w:r>
    <w:r w:rsidRPr="008769B3">
      <w:rPr>
        <w:i/>
        <w:iCs/>
      </w:rPr>
      <w:t>(Tas) and</w:t>
    </w:r>
    <w:r w:rsidRPr="00E73BBD">
      <w:rPr>
        <w:i/>
        <w:iCs/>
      </w:rPr>
      <w:t xml:space="preserve"> </w:t>
    </w:r>
    <w:r w:rsidRPr="008769B3">
      <w:rPr>
        <w:i/>
        <w:iCs/>
      </w:rPr>
      <w:t xml:space="preserve">the </w:t>
    </w:r>
    <w:r w:rsidRPr="00E73BBD">
      <w:rPr>
        <w:i/>
        <w:iCs/>
      </w:rPr>
      <w:t xml:space="preserve">Evidence Act 2001 </w:t>
    </w:r>
    <w:r w:rsidRPr="008769B3">
      <w:rPr>
        <w:i/>
        <w:iCs/>
      </w:rPr>
      <w:t>(Tas) s 194K: Research Paper No 8</w:t>
    </w:r>
  </w:p>
  <w:p w14:paraId="190AEE4A" w14:textId="77777777" w:rsidR="002334AB" w:rsidRDefault="002334A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15FE8515" w14:textId="77777777" w:rsidTr="00AD5A54">
      <w:trPr>
        <w:trHeight w:val="300"/>
        <w:jc w:val="right"/>
      </w:trPr>
      <w:tc>
        <w:tcPr>
          <w:tcW w:w="9015" w:type="dxa"/>
        </w:tcPr>
        <w:p w14:paraId="37C830A2" w14:textId="180C863D" w:rsidR="00431063" w:rsidRPr="00AD5A54" w:rsidRDefault="0034412E" w:rsidP="00A920EC">
          <w:pPr>
            <w:pStyle w:val="Header"/>
            <w:tabs>
              <w:tab w:val="left" w:pos="2839"/>
              <w:tab w:val="right" w:pos="8914"/>
            </w:tabs>
            <w:ind w:left="-107" w:right="-115"/>
            <w:jc w:val="left"/>
            <w:rPr>
              <w:i/>
              <w:iCs/>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tc>
    </w:tr>
  </w:tbl>
  <w:p w14:paraId="31AB8402" w14:textId="77777777" w:rsidR="00431063" w:rsidRDefault="00431063" w:rsidP="002334AB">
    <w:pPr>
      <w:pStyle w:val="Header"/>
    </w:pPr>
  </w:p>
  <w:p w14:paraId="1BF410E7" w14:textId="77777777" w:rsidR="00431063" w:rsidRDefault="004310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3796971C" w14:textId="77777777" w:rsidTr="00AD5A54">
      <w:trPr>
        <w:trHeight w:val="300"/>
        <w:jc w:val="right"/>
      </w:trPr>
      <w:tc>
        <w:tcPr>
          <w:tcW w:w="9015" w:type="dxa"/>
        </w:tcPr>
        <w:p w14:paraId="35A5E031" w14:textId="6E533307" w:rsidR="00431063" w:rsidRPr="00A920EC" w:rsidRDefault="00431063" w:rsidP="00431063">
          <w:pPr>
            <w:pStyle w:val="Header"/>
            <w:ind w:right="-115"/>
            <w:jc w:val="right"/>
            <w:rPr>
              <w:i/>
              <w:iCs/>
              <w:sz w:val="20"/>
              <w:szCs w:val="20"/>
            </w:rPr>
          </w:pPr>
          <w:r w:rsidRPr="00A920EC">
            <w:rPr>
              <w:i/>
              <w:iCs/>
              <w:sz w:val="20"/>
              <w:szCs w:val="20"/>
            </w:rPr>
            <w:t xml:space="preserve">Part </w:t>
          </w:r>
          <w:r w:rsidR="0034412E" w:rsidRPr="00A920EC">
            <w:rPr>
              <w:i/>
              <w:iCs/>
              <w:sz w:val="20"/>
              <w:szCs w:val="20"/>
            </w:rPr>
            <w:t>4</w:t>
          </w:r>
          <w:r w:rsidRPr="00A920EC">
            <w:rPr>
              <w:i/>
              <w:iCs/>
              <w:sz w:val="20"/>
              <w:szCs w:val="20"/>
            </w:rPr>
            <w:t xml:space="preserve">: </w:t>
          </w:r>
          <w:r w:rsidR="0034412E" w:rsidRPr="00A920EC">
            <w:rPr>
              <w:i/>
              <w:iCs/>
              <w:sz w:val="20"/>
              <w:szCs w:val="20"/>
            </w:rPr>
            <w:t>Criminal responsibility for sexual offences</w:t>
          </w:r>
        </w:p>
      </w:tc>
    </w:tr>
  </w:tbl>
  <w:p w14:paraId="61379B99" w14:textId="77777777" w:rsidR="00431063" w:rsidRPr="00431063" w:rsidRDefault="00431063" w:rsidP="00431063">
    <w:pPr>
      <w:pStyle w:val="Header"/>
    </w:pPr>
  </w:p>
  <w:p w14:paraId="70610B9F" w14:textId="77777777" w:rsidR="000F6574" w:rsidRPr="00431063" w:rsidRDefault="000F6574" w:rsidP="000F657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31F20E46" w14:textId="77777777" w:rsidTr="00AD5A54">
      <w:trPr>
        <w:trHeight w:val="300"/>
        <w:jc w:val="right"/>
      </w:trPr>
      <w:tc>
        <w:tcPr>
          <w:tcW w:w="9015" w:type="dxa"/>
        </w:tcPr>
        <w:p w14:paraId="13AB6944" w14:textId="490DA6B2" w:rsidR="00431063" w:rsidRPr="00AD5A54" w:rsidRDefault="0034412E" w:rsidP="00A920EC">
          <w:pPr>
            <w:pStyle w:val="Header"/>
            <w:tabs>
              <w:tab w:val="left" w:pos="2839"/>
              <w:tab w:val="right" w:pos="8914"/>
            </w:tabs>
            <w:ind w:left="-107" w:right="-115"/>
            <w:jc w:val="left"/>
            <w:rPr>
              <w:i/>
              <w:iCs/>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tc>
    </w:tr>
  </w:tbl>
  <w:p w14:paraId="2E1A7297" w14:textId="77777777" w:rsidR="00431063" w:rsidRDefault="00431063" w:rsidP="002334AB">
    <w:pPr>
      <w:pStyle w:val="Header"/>
    </w:pPr>
  </w:p>
  <w:p w14:paraId="0042A74A" w14:textId="77777777" w:rsidR="00431063" w:rsidRDefault="004310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05445A17" w14:textId="77777777" w:rsidTr="00AD5A54">
      <w:trPr>
        <w:trHeight w:val="300"/>
        <w:jc w:val="right"/>
      </w:trPr>
      <w:tc>
        <w:tcPr>
          <w:tcW w:w="9015" w:type="dxa"/>
        </w:tcPr>
        <w:p w14:paraId="22933AD2" w14:textId="618A2F05" w:rsidR="00431063" w:rsidRPr="00AD5A54" w:rsidRDefault="00431063" w:rsidP="00431063">
          <w:pPr>
            <w:pStyle w:val="Header"/>
            <w:ind w:right="-115"/>
            <w:jc w:val="right"/>
            <w:rPr>
              <w:i/>
              <w:iCs/>
            </w:rPr>
          </w:pPr>
          <w:r w:rsidRPr="00AD5A54">
            <w:rPr>
              <w:i/>
              <w:iCs/>
            </w:rPr>
            <w:t xml:space="preserve">Part </w:t>
          </w:r>
          <w:r w:rsidR="0034412E">
            <w:rPr>
              <w:i/>
              <w:iCs/>
            </w:rPr>
            <w:t>5</w:t>
          </w:r>
          <w:r w:rsidRPr="00AD5A54">
            <w:rPr>
              <w:i/>
              <w:iCs/>
            </w:rPr>
            <w:t xml:space="preserve">: </w:t>
          </w:r>
          <w:r w:rsidR="0034412E" w:rsidRPr="0034412E">
            <w:rPr>
              <w:i/>
              <w:iCs/>
            </w:rPr>
            <w:t xml:space="preserve">The Tasmanian </w:t>
          </w:r>
          <w:r w:rsidR="001B595A">
            <w:rPr>
              <w:i/>
              <w:iCs/>
            </w:rPr>
            <w:t>y</w:t>
          </w:r>
          <w:r w:rsidR="0034412E" w:rsidRPr="0034412E">
            <w:rPr>
              <w:i/>
              <w:iCs/>
            </w:rPr>
            <w:t xml:space="preserve">outh </w:t>
          </w:r>
          <w:r w:rsidR="001B595A">
            <w:rPr>
              <w:i/>
              <w:iCs/>
            </w:rPr>
            <w:t>j</w:t>
          </w:r>
          <w:r w:rsidR="0034412E" w:rsidRPr="0034412E">
            <w:rPr>
              <w:i/>
              <w:iCs/>
            </w:rPr>
            <w:t xml:space="preserve">ustice </w:t>
          </w:r>
          <w:r w:rsidR="001B595A">
            <w:rPr>
              <w:i/>
              <w:iCs/>
            </w:rPr>
            <w:t>s</w:t>
          </w:r>
          <w:r w:rsidR="0034412E" w:rsidRPr="0034412E">
            <w:rPr>
              <w:i/>
              <w:iCs/>
            </w:rPr>
            <w:t>ystem</w:t>
          </w:r>
        </w:p>
      </w:tc>
    </w:tr>
  </w:tbl>
  <w:p w14:paraId="2A40E8FE" w14:textId="77777777" w:rsidR="00431063" w:rsidRDefault="00431063" w:rsidP="00431063">
    <w:pPr>
      <w:pStyle w:val="Header"/>
    </w:pPr>
  </w:p>
  <w:p w14:paraId="7A9658A6" w14:textId="77777777" w:rsidR="00431063" w:rsidRPr="00431063" w:rsidRDefault="00431063" w:rsidP="004310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258A4D06" w14:textId="77777777" w:rsidTr="00AD5A54">
      <w:trPr>
        <w:trHeight w:val="300"/>
        <w:jc w:val="right"/>
      </w:trPr>
      <w:tc>
        <w:tcPr>
          <w:tcW w:w="9015" w:type="dxa"/>
        </w:tcPr>
        <w:p w14:paraId="694C0C8C" w14:textId="1A8A2DDE" w:rsidR="00431063" w:rsidRPr="00AD5A54" w:rsidRDefault="0034412E" w:rsidP="00A920EC">
          <w:pPr>
            <w:pStyle w:val="Header"/>
            <w:tabs>
              <w:tab w:val="left" w:pos="2839"/>
              <w:tab w:val="right" w:pos="8914"/>
            </w:tabs>
            <w:ind w:left="-107" w:right="-115"/>
            <w:jc w:val="left"/>
            <w:rPr>
              <w:i/>
              <w:iCs/>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tc>
    </w:tr>
  </w:tbl>
  <w:p w14:paraId="7DCE4B16" w14:textId="77777777" w:rsidR="00431063" w:rsidRDefault="00431063" w:rsidP="002334AB">
    <w:pPr>
      <w:pStyle w:val="Header"/>
    </w:pPr>
  </w:p>
  <w:p w14:paraId="6E2373BD" w14:textId="77777777" w:rsidR="00431063" w:rsidRDefault="0043106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76308593" w14:textId="77777777" w:rsidTr="00AD5A54">
      <w:trPr>
        <w:trHeight w:val="300"/>
        <w:jc w:val="right"/>
      </w:trPr>
      <w:tc>
        <w:tcPr>
          <w:tcW w:w="9015" w:type="dxa"/>
        </w:tcPr>
        <w:p w14:paraId="1C54A451" w14:textId="2C6A60A8" w:rsidR="00431063" w:rsidRPr="00AD5A54" w:rsidRDefault="00431063" w:rsidP="00431063">
          <w:pPr>
            <w:pStyle w:val="Header"/>
            <w:ind w:right="-115"/>
            <w:jc w:val="right"/>
            <w:rPr>
              <w:i/>
              <w:iCs/>
            </w:rPr>
          </w:pPr>
          <w:r w:rsidRPr="00AD5A54">
            <w:rPr>
              <w:i/>
              <w:iCs/>
            </w:rPr>
            <w:t xml:space="preserve">Part </w:t>
          </w:r>
          <w:r w:rsidR="0034412E">
            <w:rPr>
              <w:i/>
              <w:iCs/>
            </w:rPr>
            <w:t>6</w:t>
          </w:r>
          <w:r w:rsidRPr="00AD5A54">
            <w:rPr>
              <w:i/>
              <w:iCs/>
            </w:rPr>
            <w:t xml:space="preserve">: </w:t>
          </w:r>
          <w:r w:rsidR="0034412E" w:rsidRPr="0034412E">
            <w:rPr>
              <w:i/>
              <w:iCs/>
            </w:rPr>
            <w:t>Reporting allegations of sexual offending by young people and attrition</w:t>
          </w:r>
        </w:p>
      </w:tc>
    </w:tr>
  </w:tbl>
  <w:p w14:paraId="3E81438D" w14:textId="77777777" w:rsidR="00431063" w:rsidRDefault="00431063" w:rsidP="00431063">
    <w:pPr>
      <w:pStyle w:val="Header"/>
    </w:pPr>
  </w:p>
  <w:p w14:paraId="3F550D23" w14:textId="77777777" w:rsidR="00431063" w:rsidRPr="00431063" w:rsidRDefault="00431063" w:rsidP="0043106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55719905" w14:textId="77777777" w:rsidTr="00AD5A54">
      <w:trPr>
        <w:trHeight w:val="300"/>
        <w:jc w:val="right"/>
      </w:trPr>
      <w:tc>
        <w:tcPr>
          <w:tcW w:w="9015" w:type="dxa"/>
        </w:tcPr>
        <w:p w14:paraId="710B315C" w14:textId="20B61C4E" w:rsidR="00431063" w:rsidRPr="00AD5A54" w:rsidRDefault="005C3E98" w:rsidP="00A920EC">
          <w:pPr>
            <w:pStyle w:val="Header"/>
            <w:tabs>
              <w:tab w:val="left" w:pos="2839"/>
              <w:tab w:val="right" w:pos="8914"/>
            </w:tabs>
            <w:ind w:left="-107" w:right="-115"/>
            <w:jc w:val="left"/>
            <w:rPr>
              <w:i/>
              <w:iCs/>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tc>
    </w:tr>
  </w:tbl>
  <w:p w14:paraId="020845BD" w14:textId="77777777" w:rsidR="00431063" w:rsidRDefault="00431063" w:rsidP="002334AB">
    <w:pPr>
      <w:pStyle w:val="Header"/>
    </w:pPr>
  </w:p>
  <w:p w14:paraId="3CC29D1B" w14:textId="77777777" w:rsidR="00431063" w:rsidRDefault="0043106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49A8F4C0" w14:textId="77777777" w:rsidTr="00AD5A54">
      <w:trPr>
        <w:trHeight w:val="300"/>
        <w:jc w:val="right"/>
      </w:trPr>
      <w:tc>
        <w:tcPr>
          <w:tcW w:w="9015" w:type="dxa"/>
        </w:tcPr>
        <w:p w14:paraId="6336D57C" w14:textId="040E9AF6" w:rsidR="00431063" w:rsidRPr="005C3E98" w:rsidRDefault="00431063" w:rsidP="00431063">
          <w:pPr>
            <w:pStyle w:val="Header"/>
            <w:ind w:right="-115"/>
            <w:jc w:val="right"/>
            <w:rPr>
              <w:i/>
              <w:iCs/>
            </w:rPr>
          </w:pPr>
          <w:r w:rsidRPr="005C3E98">
            <w:rPr>
              <w:i/>
              <w:iCs/>
            </w:rPr>
            <w:t xml:space="preserve">Part </w:t>
          </w:r>
          <w:r w:rsidR="005C3E98" w:rsidRPr="005C3E98">
            <w:rPr>
              <w:i/>
              <w:iCs/>
            </w:rPr>
            <w:t>7</w:t>
          </w:r>
          <w:r w:rsidRPr="005C3E98">
            <w:rPr>
              <w:i/>
              <w:iCs/>
            </w:rPr>
            <w:t xml:space="preserve">: </w:t>
          </w:r>
          <w:r w:rsidR="005C3E98" w:rsidRPr="00A920EC">
            <w:rPr>
              <w:i/>
              <w:iCs/>
            </w:rPr>
            <w:t>Pre-plea diversion in the Tasmanian youth justice system and sexual offending</w:t>
          </w:r>
        </w:p>
      </w:tc>
    </w:tr>
  </w:tbl>
  <w:p w14:paraId="71C24981" w14:textId="77777777" w:rsidR="00431063" w:rsidRDefault="00431063" w:rsidP="00431063">
    <w:pPr>
      <w:pStyle w:val="Header"/>
    </w:pPr>
  </w:p>
  <w:p w14:paraId="09681E05" w14:textId="77777777" w:rsidR="00431063" w:rsidRPr="00431063" w:rsidRDefault="00431063" w:rsidP="0043106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3C63AE0C" w14:textId="77777777" w:rsidTr="00AD5A54">
      <w:trPr>
        <w:trHeight w:val="300"/>
        <w:jc w:val="right"/>
      </w:trPr>
      <w:tc>
        <w:tcPr>
          <w:tcW w:w="9015" w:type="dxa"/>
        </w:tcPr>
        <w:p w14:paraId="661B3240" w14:textId="4517B25B" w:rsidR="00431063" w:rsidRPr="00AD5A54" w:rsidRDefault="00431063" w:rsidP="00431063">
          <w:pPr>
            <w:pStyle w:val="Header"/>
            <w:ind w:right="-115"/>
            <w:jc w:val="right"/>
            <w:rPr>
              <w:i/>
              <w:iCs/>
            </w:rPr>
          </w:pPr>
          <w:r w:rsidRPr="00AD5A54">
            <w:rPr>
              <w:i/>
              <w:iCs/>
            </w:rPr>
            <w:t xml:space="preserve">Part </w:t>
          </w:r>
          <w:r w:rsidR="000B6656">
            <w:rPr>
              <w:i/>
              <w:iCs/>
            </w:rPr>
            <w:t>8</w:t>
          </w:r>
          <w:r w:rsidRPr="00AD5A54">
            <w:rPr>
              <w:i/>
              <w:iCs/>
            </w:rPr>
            <w:t xml:space="preserve">: </w:t>
          </w:r>
          <w:r w:rsidR="000B6656" w:rsidRPr="00A920EC">
            <w:rPr>
              <w:bCs/>
              <w:i/>
              <w:iCs/>
            </w:rPr>
            <w:t>Tasmanian courts and sexual offending by young people</w:t>
          </w:r>
        </w:p>
      </w:tc>
    </w:tr>
  </w:tbl>
  <w:p w14:paraId="5718D24F" w14:textId="77777777" w:rsidR="00431063" w:rsidRDefault="00431063" w:rsidP="00431063">
    <w:pPr>
      <w:pStyle w:val="Header"/>
    </w:pPr>
  </w:p>
  <w:p w14:paraId="392C6C93" w14:textId="77777777" w:rsidR="00431063" w:rsidRPr="00431063" w:rsidRDefault="00431063" w:rsidP="0043106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6A22B688" w14:textId="77777777" w:rsidTr="00235F0F">
      <w:trPr>
        <w:trHeight w:val="300"/>
        <w:jc w:val="right"/>
      </w:trPr>
      <w:tc>
        <w:tcPr>
          <w:tcW w:w="9015" w:type="dxa"/>
        </w:tcPr>
        <w:p w14:paraId="3420D1F0" w14:textId="13839213" w:rsidR="00920034" w:rsidRPr="00AD5A54" w:rsidRDefault="00920034" w:rsidP="00920034">
          <w:pPr>
            <w:pStyle w:val="Header"/>
            <w:ind w:right="-115"/>
            <w:jc w:val="right"/>
            <w:rPr>
              <w:i/>
              <w:iCs/>
            </w:rPr>
          </w:pPr>
          <w:r>
            <w:rPr>
              <w:i/>
              <w:iCs/>
            </w:rPr>
            <w:t>Appendix A</w:t>
          </w:r>
          <w:r w:rsidRPr="00AD5A54">
            <w:rPr>
              <w:i/>
              <w:iCs/>
            </w:rPr>
            <w:t xml:space="preserve">: </w:t>
          </w:r>
          <w:r>
            <w:rPr>
              <w:bCs/>
              <w:i/>
              <w:iCs/>
            </w:rPr>
            <w:t>Method</w:t>
          </w:r>
        </w:p>
      </w:tc>
    </w:tr>
  </w:tbl>
  <w:p w14:paraId="50C17126" w14:textId="77777777" w:rsidR="00920034" w:rsidRDefault="00920034" w:rsidP="00920034">
    <w:pPr>
      <w:pStyle w:val="Header"/>
    </w:pPr>
  </w:p>
  <w:p w14:paraId="48382647" w14:textId="77777777" w:rsidR="00431063" w:rsidRPr="002441DD" w:rsidRDefault="00431063" w:rsidP="00244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21E1" w14:textId="77777777" w:rsidR="00105F70" w:rsidRDefault="00105F7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04DBFD16" w14:textId="77777777" w:rsidTr="00235F0F">
      <w:trPr>
        <w:trHeight w:val="300"/>
        <w:jc w:val="right"/>
      </w:trPr>
      <w:tc>
        <w:tcPr>
          <w:tcW w:w="9015" w:type="dxa"/>
        </w:tcPr>
        <w:p w14:paraId="038AF4BF" w14:textId="77777777" w:rsidR="00920034" w:rsidRPr="00AD5A54" w:rsidRDefault="00920034" w:rsidP="00920034">
          <w:pPr>
            <w:pStyle w:val="Header"/>
            <w:tabs>
              <w:tab w:val="left" w:pos="2839"/>
              <w:tab w:val="right" w:pos="8914"/>
            </w:tabs>
            <w:ind w:left="-107" w:right="-115"/>
            <w:jc w:val="left"/>
            <w:rPr>
              <w:i/>
              <w:iCs/>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tc>
    </w:tr>
  </w:tbl>
  <w:p w14:paraId="0688E33A" w14:textId="77777777" w:rsidR="00920034" w:rsidRDefault="00920034" w:rsidP="00920034">
    <w:pPr>
      <w:pStyle w:val="Header"/>
    </w:pPr>
  </w:p>
  <w:p w14:paraId="6FB29B8E" w14:textId="77777777" w:rsidR="002441DD" w:rsidRPr="002441DD" w:rsidRDefault="002441DD" w:rsidP="002441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06A3520A" w14:textId="77777777" w:rsidTr="00235F0F">
      <w:trPr>
        <w:trHeight w:val="300"/>
        <w:jc w:val="right"/>
      </w:trPr>
      <w:tc>
        <w:tcPr>
          <w:tcW w:w="9015" w:type="dxa"/>
        </w:tcPr>
        <w:p w14:paraId="2856024F" w14:textId="706D24D1" w:rsidR="00920034" w:rsidRPr="00AD5A54" w:rsidRDefault="00920034" w:rsidP="00920034">
          <w:pPr>
            <w:pStyle w:val="Header"/>
            <w:ind w:right="-115"/>
            <w:jc w:val="right"/>
            <w:rPr>
              <w:i/>
              <w:iCs/>
            </w:rPr>
          </w:pPr>
          <w:r>
            <w:rPr>
              <w:i/>
              <w:iCs/>
            </w:rPr>
            <w:t>Appendix B</w:t>
          </w:r>
          <w:r w:rsidRPr="00AD5A54">
            <w:rPr>
              <w:i/>
              <w:iCs/>
            </w:rPr>
            <w:t xml:space="preserve">: </w:t>
          </w:r>
          <w:r>
            <w:rPr>
              <w:bCs/>
              <w:i/>
              <w:iCs/>
            </w:rPr>
            <w:t>Criminal offences in Tasmania</w:t>
          </w:r>
        </w:p>
      </w:tc>
    </w:tr>
  </w:tbl>
  <w:p w14:paraId="428F0C18" w14:textId="77777777" w:rsidR="00920034" w:rsidRDefault="00920034" w:rsidP="00920034">
    <w:pPr>
      <w:pStyle w:val="Header"/>
    </w:pPr>
  </w:p>
  <w:p w14:paraId="33DDADFE" w14:textId="77777777" w:rsidR="00920034" w:rsidRPr="002441DD" w:rsidRDefault="00920034" w:rsidP="002441D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561A7A63" w14:textId="77777777" w:rsidTr="00235F0F">
      <w:trPr>
        <w:trHeight w:val="300"/>
        <w:jc w:val="right"/>
      </w:trPr>
      <w:tc>
        <w:tcPr>
          <w:tcW w:w="9015" w:type="dxa"/>
        </w:tcPr>
        <w:p w14:paraId="57398E71" w14:textId="230A72BD" w:rsidR="00920034" w:rsidRPr="00AD5A54" w:rsidRDefault="00920034" w:rsidP="00920034">
          <w:pPr>
            <w:pStyle w:val="Header"/>
            <w:ind w:right="-115"/>
            <w:jc w:val="right"/>
            <w:rPr>
              <w:i/>
              <w:iCs/>
            </w:rPr>
          </w:pPr>
          <w:r>
            <w:rPr>
              <w:i/>
              <w:iCs/>
            </w:rPr>
            <w:t>Appendix C</w:t>
          </w:r>
          <w:r w:rsidRPr="00AD5A54">
            <w:rPr>
              <w:i/>
              <w:iCs/>
            </w:rPr>
            <w:t xml:space="preserve">: </w:t>
          </w:r>
          <w:r>
            <w:rPr>
              <w:bCs/>
              <w:i/>
              <w:iCs/>
            </w:rPr>
            <w:t xml:space="preserve">Prescribed offences </w:t>
          </w:r>
          <w:r w:rsidR="002B67A5">
            <w:rPr>
              <w:bCs/>
              <w:i/>
              <w:iCs/>
            </w:rPr>
            <w:t xml:space="preserve">– </w:t>
          </w:r>
          <w:r>
            <w:rPr>
              <w:bCs/>
              <w:i/>
              <w:iCs/>
            </w:rPr>
            <w:t>Youth Justice Act 1997 (Tas)</w:t>
          </w:r>
        </w:p>
      </w:tc>
    </w:tr>
  </w:tbl>
  <w:p w14:paraId="50D61309" w14:textId="77777777" w:rsidR="00920034" w:rsidRDefault="00920034" w:rsidP="00920034">
    <w:pPr>
      <w:pStyle w:val="Header"/>
    </w:pPr>
  </w:p>
  <w:p w14:paraId="3F263078" w14:textId="77777777" w:rsidR="00920034" w:rsidRPr="002441DD" w:rsidRDefault="00920034" w:rsidP="002441D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3FD1B414" w14:textId="77777777" w:rsidTr="00235F0F">
      <w:trPr>
        <w:trHeight w:val="300"/>
        <w:jc w:val="right"/>
      </w:trPr>
      <w:tc>
        <w:tcPr>
          <w:tcW w:w="9015" w:type="dxa"/>
        </w:tcPr>
        <w:p w14:paraId="2C046634" w14:textId="18E23218" w:rsidR="00920034" w:rsidRPr="00AD5A54" w:rsidRDefault="00920034" w:rsidP="00920034">
          <w:pPr>
            <w:pStyle w:val="Header"/>
            <w:ind w:right="-115"/>
            <w:jc w:val="right"/>
            <w:rPr>
              <w:i/>
              <w:iCs/>
            </w:rPr>
          </w:pPr>
          <w:r>
            <w:rPr>
              <w:i/>
              <w:iCs/>
            </w:rPr>
            <w:t>Appendix D</w:t>
          </w:r>
          <w:r w:rsidRPr="00AD5A54">
            <w:rPr>
              <w:i/>
              <w:iCs/>
            </w:rPr>
            <w:t xml:space="preserve">: </w:t>
          </w:r>
          <w:r>
            <w:rPr>
              <w:bCs/>
              <w:i/>
              <w:iCs/>
            </w:rPr>
            <w:t>Offences relating to non-consensual sharing of intimate images</w:t>
          </w:r>
        </w:p>
      </w:tc>
    </w:tr>
  </w:tbl>
  <w:p w14:paraId="03E662BC" w14:textId="77777777" w:rsidR="00920034" w:rsidRPr="00431063" w:rsidRDefault="00920034" w:rsidP="00920034">
    <w:pPr>
      <w:pStyle w:val="Header"/>
    </w:pPr>
  </w:p>
  <w:p w14:paraId="386674FA" w14:textId="77777777" w:rsidR="00920034" w:rsidRPr="002441DD" w:rsidRDefault="00920034" w:rsidP="002441D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15143285" w14:textId="77777777" w:rsidTr="00235F0F">
      <w:trPr>
        <w:trHeight w:val="300"/>
        <w:jc w:val="right"/>
      </w:trPr>
      <w:tc>
        <w:tcPr>
          <w:tcW w:w="9015" w:type="dxa"/>
        </w:tcPr>
        <w:p w14:paraId="2FC43439" w14:textId="43B4743C" w:rsidR="00920034" w:rsidRPr="00AD5A54" w:rsidRDefault="00920034" w:rsidP="00920034">
          <w:pPr>
            <w:pStyle w:val="Header"/>
            <w:ind w:right="-115"/>
            <w:jc w:val="right"/>
            <w:rPr>
              <w:i/>
              <w:iCs/>
            </w:rPr>
          </w:pPr>
          <w:r w:rsidRPr="00920034">
            <w:rPr>
              <w:i/>
              <w:iCs/>
            </w:rPr>
            <w:t>Appendix E: Typology of young people who engage in harmful sexual behaviour: Literature summary</w:t>
          </w:r>
        </w:p>
      </w:tc>
    </w:tr>
  </w:tbl>
  <w:p w14:paraId="13E742F2" w14:textId="77777777" w:rsidR="00920034" w:rsidRPr="00431063" w:rsidRDefault="00920034" w:rsidP="00920034">
    <w:pPr>
      <w:pStyle w:val="Header"/>
    </w:pPr>
  </w:p>
  <w:p w14:paraId="29FFEAB9" w14:textId="77777777" w:rsidR="00920034" w:rsidRPr="002441DD" w:rsidRDefault="00920034" w:rsidP="002441D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166CACDD" w14:textId="77777777" w:rsidTr="00235F0F">
      <w:trPr>
        <w:trHeight w:val="300"/>
        <w:jc w:val="right"/>
      </w:trPr>
      <w:tc>
        <w:tcPr>
          <w:tcW w:w="9015" w:type="dxa"/>
        </w:tcPr>
        <w:p w14:paraId="2F316E99" w14:textId="0F260D71" w:rsidR="00920034" w:rsidRPr="00AD5A54" w:rsidRDefault="00920034" w:rsidP="00920034">
          <w:pPr>
            <w:pStyle w:val="Header"/>
            <w:ind w:right="-115"/>
            <w:jc w:val="right"/>
            <w:rPr>
              <w:i/>
              <w:iCs/>
            </w:rPr>
          </w:pPr>
          <w:r w:rsidRPr="00920034">
            <w:rPr>
              <w:i/>
              <w:iCs/>
            </w:rPr>
            <w:t>Appendix F: Treatment interventions: Literature summary</w:t>
          </w:r>
        </w:p>
      </w:tc>
    </w:tr>
  </w:tbl>
  <w:p w14:paraId="6230667C" w14:textId="77777777" w:rsidR="00920034" w:rsidRDefault="00920034" w:rsidP="00920034">
    <w:pPr>
      <w:pStyle w:val="Header"/>
    </w:pPr>
  </w:p>
  <w:p w14:paraId="116C11E7" w14:textId="77777777" w:rsidR="00920034" w:rsidRPr="002441DD" w:rsidRDefault="00920034" w:rsidP="002441D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920034" w14:paraId="451635C8" w14:textId="77777777" w:rsidTr="00235F0F">
      <w:trPr>
        <w:trHeight w:val="300"/>
        <w:jc w:val="right"/>
      </w:trPr>
      <w:tc>
        <w:tcPr>
          <w:tcW w:w="9015" w:type="dxa"/>
        </w:tcPr>
        <w:p w14:paraId="57A737D8" w14:textId="198273E6" w:rsidR="00920034" w:rsidRPr="00AD5A54" w:rsidRDefault="00920034" w:rsidP="00920034">
          <w:pPr>
            <w:pStyle w:val="Header"/>
            <w:ind w:right="-115"/>
            <w:jc w:val="right"/>
            <w:rPr>
              <w:i/>
              <w:iCs/>
            </w:rPr>
          </w:pPr>
          <w:r w:rsidRPr="00920034">
            <w:rPr>
              <w:i/>
              <w:iCs/>
            </w:rPr>
            <w:t>Appendix G: Summary of principles from Orange Tamariki Act (NZ) from Commission of Inquiry Volume 5 Chapter 12 [5.2]</w:t>
          </w:r>
        </w:p>
      </w:tc>
    </w:tr>
  </w:tbl>
  <w:p w14:paraId="001A0B1C" w14:textId="77777777" w:rsidR="00920034" w:rsidRDefault="00920034" w:rsidP="00920034">
    <w:pPr>
      <w:pStyle w:val="Header"/>
    </w:pPr>
  </w:p>
  <w:p w14:paraId="0228CF4C" w14:textId="77777777" w:rsidR="00920034" w:rsidRPr="00431063" w:rsidRDefault="00920034" w:rsidP="00920034">
    <w:pPr>
      <w:pStyle w:val="Header"/>
    </w:pPr>
  </w:p>
  <w:p w14:paraId="72A54AD5" w14:textId="77777777" w:rsidR="00920034" w:rsidRPr="002441DD" w:rsidRDefault="00920034" w:rsidP="002441D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A41A42" w14:paraId="0E194203" w14:textId="77777777" w:rsidTr="00235F0F">
      <w:trPr>
        <w:trHeight w:val="300"/>
        <w:jc w:val="right"/>
      </w:trPr>
      <w:tc>
        <w:tcPr>
          <w:tcW w:w="9015" w:type="dxa"/>
        </w:tcPr>
        <w:p w14:paraId="163BC5A0" w14:textId="7A0FB55B" w:rsidR="00A41A42" w:rsidRPr="00AD5A54" w:rsidRDefault="00A41A42" w:rsidP="00920034">
          <w:pPr>
            <w:pStyle w:val="Header"/>
            <w:ind w:right="-115"/>
            <w:jc w:val="right"/>
            <w:rPr>
              <w:i/>
              <w:iCs/>
            </w:rPr>
          </w:pPr>
          <w:r w:rsidRPr="00A41A42">
            <w:rPr>
              <w:i/>
              <w:iCs/>
            </w:rPr>
            <w:t>Appendix H: Tasmanian reporting requirements for child sexual abuse</w:t>
          </w:r>
        </w:p>
      </w:tc>
    </w:tr>
  </w:tbl>
  <w:p w14:paraId="7A0635BB" w14:textId="77777777" w:rsidR="00A41A42" w:rsidRDefault="00A41A42" w:rsidP="00920034">
    <w:pPr>
      <w:pStyle w:val="Header"/>
    </w:pPr>
  </w:p>
  <w:p w14:paraId="5B4837D0" w14:textId="77777777" w:rsidR="00A41A42" w:rsidRPr="00431063" w:rsidRDefault="00A41A42" w:rsidP="00920034">
    <w:pPr>
      <w:pStyle w:val="Header"/>
    </w:pPr>
  </w:p>
  <w:p w14:paraId="7C9205CB" w14:textId="77777777" w:rsidR="00A41A42" w:rsidRPr="002441DD" w:rsidRDefault="00A41A42" w:rsidP="002441D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A41A42" w14:paraId="196004DD" w14:textId="77777777" w:rsidTr="00235F0F">
      <w:trPr>
        <w:trHeight w:val="300"/>
        <w:jc w:val="right"/>
      </w:trPr>
      <w:tc>
        <w:tcPr>
          <w:tcW w:w="9015" w:type="dxa"/>
        </w:tcPr>
        <w:p w14:paraId="271630EF" w14:textId="4C2D1C3E" w:rsidR="00A41A42" w:rsidRPr="00AD5A54" w:rsidRDefault="00A41A42" w:rsidP="00920034">
          <w:pPr>
            <w:pStyle w:val="Header"/>
            <w:ind w:right="-115"/>
            <w:jc w:val="right"/>
            <w:rPr>
              <w:i/>
              <w:iCs/>
            </w:rPr>
          </w:pPr>
          <w:r w:rsidRPr="00A41A42">
            <w:rPr>
              <w:i/>
              <w:iCs/>
            </w:rPr>
            <w:t>Appendix I: Jurisdiction of courts and availability of diversionary procedures for sexual offences where the offender is under 18 at the time of the alleged offence</w:t>
          </w:r>
        </w:p>
      </w:tc>
    </w:tr>
  </w:tbl>
  <w:p w14:paraId="13A74311" w14:textId="77777777" w:rsidR="00A41A42" w:rsidRDefault="00A41A42" w:rsidP="00920034">
    <w:pPr>
      <w:pStyle w:val="Header"/>
    </w:pPr>
  </w:p>
  <w:p w14:paraId="1C4165EB" w14:textId="77777777" w:rsidR="00A41A42" w:rsidRPr="002441DD" w:rsidRDefault="00A41A42" w:rsidP="002441D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A41A42" w14:paraId="57753960" w14:textId="77777777" w:rsidTr="00235F0F">
      <w:trPr>
        <w:trHeight w:val="300"/>
        <w:jc w:val="right"/>
      </w:trPr>
      <w:tc>
        <w:tcPr>
          <w:tcW w:w="9015" w:type="dxa"/>
        </w:tcPr>
        <w:p w14:paraId="65FDDF87" w14:textId="15708A78" w:rsidR="00A41A42" w:rsidRPr="00AD5A54" w:rsidRDefault="004150DC" w:rsidP="00920034">
          <w:pPr>
            <w:pStyle w:val="Header"/>
            <w:ind w:right="-115"/>
            <w:jc w:val="right"/>
            <w:rPr>
              <w:i/>
              <w:iCs/>
            </w:rPr>
          </w:pPr>
          <w:r w:rsidRPr="004150DC">
            <w:rPr>
              <w:i/>
              <w:iCs/>
            </w:rPr>
            <w:t>Appendix L: Key recommendations of the Commission of Inquiry relevant to the youth justice system and harmful sexual behaviour</w:t>
          </w:r>
        </w:p>
      </w:tc>
    </w:tr>
  </w:tbl>
  <w:p w14:paraId="4726F0F7" w14:textId="77777777" w:rsidR="00A41A42" w:rsidRDefault="00A41A42" w:rsidP="00920034">
    <w:pPr>
      <w:pStyle w:val="Header"/>
    </w:pPr>
  </w:p>
  <w:p w14:paraId="0FA54DA7" w14:textId="77777777" w:rsidR="00A41A42" w:rsidRPr="002441DD" w:rsidRDefault="00A41A42" w:rsidP="00244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05EF" w14:textId="77777777" w:rsidR="00093ABB" w:rsidRDefault="00093A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7F49" w14:textId="2FF39D8E" w:rsidR="00105F70" w:rsidRPr="00CD4A93" w:rsidRDefault="00105F70" w:rsidP="00105F70">
    <w:pPr>
      <w:pBdr>
        <w:bottom w:val="single" w:sz="4" w:space="1" w:color="auto"/>
      </w:pBdr>
      <w:tabs>
        <w:tab w:val="right" w:pos="8931"/>
      </w:tabs>
      <w:spacing w:after="0"/>
      <w:rPr>
        <w:rFonts w:cs="Times New Roman"/>
        <w:sz w:val="20"/>
        <w:szCs w:val="20"/>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p w14:paraId="69D0F3D8" w14:textId="77777777" w:rsidR="00105F70" w:rsidRDefault="00105F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2334AB" w14:paraId="5A909A6B" w14:textId="77777777" w:rsidTr="00AD5A54">
      <w:trPr>
        <w:trHeight w:val="300"/>
        <w:jc w:val="right"/>
      </w:trPr>
      <w:tc>
        <w:tcPr>
          <w:tcW w:w="9015" w:type="dxa"/>
        </w:tcPr>
        <w:p w14:paraId="3765E1B4" w14:textId="77777777" w:rsidR="002334AB" w:rsidRPr="00AD5A54" w:rsidRDefault="002334AB" w:rsidP="002334AB">
          <w:pPr>
            <w:pStyle w:val="Header"/>
            <w:ind w:right="-115"/>
            <w:jc w:val="right"/>
            <w:rPr>
              <w:i/>
              <w:iCs/>
            </w:rPr>
          </w:pPr>
          <w:r w:rsidRPr="00A920EC">
            <w:rPr>
              <w:i/>
              <w:iCs/>
              <w:sz w:val="20"/>
              <w:szCs w:val="21"/>
            </w:rPr>
            <w:t>Part 1: Introduction</w:t>
          </w:r>
        </w:p>
      </w:tc>
    </w:tr>
  </w:tbl>
  <w:p w14:paraId="7880E784" w14:textId="77777777" w:rsidR="002334AB" w:rsidRDefault="002334AB" w:rsidP="002334AB">
    <w:pPr>
      <w:pStyle w:val="Header"/>
    </w:pPr>
  </w:p>
  <w:p w14:paraId="0ED4D827" w14:textId="77777777" w:rsidR="00840836" w:rsidRDefault="008408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AB12" w14:textId="2C658156" w:rsidR="00431063" w:rsidRPr="00AD5A54" w:rsidRDefault="004919C3" w:rsidP="00A920EC">
    <w:pPr>
      <w:pStyle w:val="Header"/>
      <w:pBdr>
        <w:bottom w:val="single" w:sz="4" w:space="1" w:color="auto"/>
      </w:pBdr>
      <w:ind w:right="-113"/>
      <w:rPr>
        <w:i/>
        <w:iCs/>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p w14:paraId="780468A1" w14:textId="77777777" w:rsidR="002334AB" w:rsidRPr="00431063" w:rsidRDefault="002334AB" w:rsidP="004310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53D95A8B" w14:textId="77777777" w:rsidTr="00AD5A54">
      <w:trPr>
        <w:trHeight w:val="300"/>
        <w:jc w:val="right"/>
      </w:trPr>
      <w:tc>
        <w:tcPr>
          <w:tcW w:w="9015" w:type="dxa"/>
        </w:tcPr>
        <w:p w14:paraId="433142B8" w14:textId="5080C823" w:rsidR="00431063" w:rsidRPr="00A920EC" w:rsidRDefault="00431063" w:rsidP="00431063">
          <w:pPr>
            <w:pStyle w:val="Header"/>
            <w:ind w:right="-115"/>
            <w:jc w:val="right"/>
            <w:rPr>
              <w:i/>
              <w:iCs/>
              <w:sz w:val="20"/>
              <w:szCs w:val="20"/>
            </w:rPr>
          </w:pPr>
          <w:r w:rsidRPr="00A920EC">
            <w:rPr>
              <w:i/>
              <w:iCs/>
              <w:sz w:val="20"/>
              <w:szCs w:val="20"/>
            </w:rPr>
            <w:t xml:space="preserve">Part </w:t>
          </w:r>
          <w:r w:rsidR="00105F70" w:rsidRPr="00A920EC">
            <w:rPr>
              <w:i/>
              <w:iCs/>
              <w:sz w:val="20"/>
              <w:szCs w:val="20"/>
            </w:rPr>
            <w:t>2</w:t>
          </w:r>
          <w:r w:rsidRPr="00A920EC">
            <w:rPr>
              <w:i/>
              <w:iCs/>
              <w:sz w:val="20"/>
              <w:szCs w:val="20"/>
            </w:rPr>
            <w:t xml:space="preserve">: </w:t>
          </w:r>
          <w:r w:rsidR="00105F70" w:rsidRPr="00A920EC">
            <w:rPr>
              <w:i/>
              <w:iCs/>
              <w:sz w:val="20"/>
              <w:szCs w:val="20"/>
            </w:rPr>
            <w:t>The nature and prevalence of sexual offending by young people</w:t>
          </w:r>
        </w:p>
      </w:tc>
    </w:tr>
  </w:tbl>
  <w:p w14:paraId="54736E32" w14:textId="77777777" w:rsidR="00431063" w:rsidRDefault="00431063" w:rsidP="00431063">
    <w:pPr>
      <w:pStyle w:val="Header"/>
    </w:pPr>
  </w:p>
  <w:p w14:paraId="1B17D65E" w14:textId="77777777" w:rsidR="002334AB" w:rsidRPr="00431063" w:rsidRDefault="002334AB" w:rsidP="004310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2334AB" w14:paraId="1D5A9CF3" w14:textId="77777777" w:rsidTr="00AD5A54">
      <w:trPr>
        <w:trHeight w:val="300"/>
        <w:jc w:val="right"/>
      </w:trPr>
      <w:tc>
        <w:tcPr>
          <w:tcW w:w="9015" w:type="dxa"/>
        </w:tcPr>
        <w:p w14:paraId="1F807022" w14:textId="4EE71F3D" w:rsidR="002334AB" w:rsidRPr="00A920EC" w:rsidRDefault="00D83BA2" w:rsidP="00A920EC">
          <w:pPr>
            <w:pStyle w:val="Header"/>
            <w:ind w:left="-107" w:right="-113"/>
            <w:rPr>
              <w:rFonts w:cs="Times New Roman"/>
              <w:i/>
              <w:iCs/>
              <w:sz w:val="20"/>
              <w:szCs w:val="20"/>
            </w:rPr>
          </w:pPr>
          <w:r w:rsidRPr="00105F70">
            <w:rPr>
              <w:rFonts w:cs="Times New Roman"/>
              <w:i/>
              <w:iCs/>
              <w:sz w:val="20"/>
              <w:szCs w:val="20"/>
            </w:rPr>
            <w:t>Evaluation of Youth Justice Responses to Allegations of Sexual Offending by Young People</w:t>
          </w:r>
          <w:r>
            <w:rPr>
              <w:rFonts w:cs="Times New Roman"/>
              <w:i/>
              <w:iCs/>
              <w:sz w:val="20"/>
              <w:szCs w:val="20"/>
            </w:rPr>
            <w:t>: Research Report 10</w:t>
          </w:r>
        </w:p>
      </w:tc>
    </w:tr>
  </w:tbl>
  <w:p w14:paraId="1C0A1E01" w14:textId="77777777" w:rsidR="002334AB" w:rsidRDefault="002334AB" w:rsidP="002334AB">
    <w:pPr>
      <w:pStyle w:val="Header"/>
    </w:pPr>
  </w:p>
  <w:p w14:paraId="4B2DC05D" w14:textId="77777777" w:rsidR="002334AB" w:rsidRDefault="002334A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bottom w:val="single" w:sz="4" w:space="0" w:color="auto"/>
      </w:tblBorders>
      <w:tblLayout w:type="fixed"/>
      <w:tblLook w:val="06A0" w:firstRow="1" w:lastRow="0" w:firstColumn="1" w:lastColumn="0" w:noHBand="1" w:noVBand="1"/>
    </w:tblPr>
    <w:tblGrid>
      <w:gridCol w:w="9015"/>
    </w:tblGrid>
    <w:tr w:rsidR="00431063" w14:paraId="71EC9364" w14:textId="77777777" w:rsidTr="00AD5A54">
      <w:trPr>
        <w:trHeight w:val="300"/>
        <w:jc w:val="right"/>
      </w:trPr>
      <w:tc>
        <w:tcPr>
          <w:tcW w:w="9015" w:type="dxa"/>
        </w:tcPr>
        <w:p w14:paraId="075F6684" w14:textId="171E4F55" w:rsidR="00431063" w:rsidRPr="00A920EC" w:rsidRDefault="00431063" w:rsidP="00A920EC">
          <w:pPr>
            <w:pStyle w:val="Header"/>
            <w:ind w:left="-107"/>
            <w:jc w:val="right"/>
            <w:rPr>
              <w:i/>
              <w:iCs/>
              <w:sz w:val="20"/>
              <w:szCs w:val="20"/>
            </w:rPr>
          </w:pPr>
          <w:r w:rsidRPr="00A920EC">
            <w:rPr>
              <w:i/>
              <w:iCs/>
              <w:sz w:val="20"/>
              <w:szCs w:val="20"/>
            </w:rPr>
            <w:t xml:space="preserve">Part </w:t>
          </w:r>
          <w:r w:rsidR="00D83BA2" w:rsidRPr="00A920EC">
            <w:rPr>
              <w:i/>
              <w:iCs/>
              <w:sz w:val="20"/>
              <w:szCs w:val="20"/>
            </w:rPr>
            <w:t>3</w:t>
          </w:r>
          <w:r w:rsidRPr="00A920EC">
            <w:rPr>
              <w:i/>
              <w:iCs/>
              <w:sz w:val="20"/>
              <w:szCs w:val="20"/>
            </w:rPr>
            <w:t xml:space="preserve">: </w:t>
          </w:r>
          <w:r w:rsidR="008C163C" w:rsidRPr="008C163C">
            <w:rPr>
              <w:i/>
              <w:iCs/>
              <w:sz w:val="20"/>
              <w:szCs w:val="20"/>
            </w:rPr>
            <w:t>A public health framework for responding to sexual offen</w:t>
          </w:r>
          <w:r w:rsidR="008C163C">
            <w:rPr>
              <w:i/>
              <w:iCs/>
              <w:sz w:val="20"/>
              <w:szCs w:val="20"/>
            </w:rPr>
            <w:t>ding</w:t>
          </w:r>
          <w:r w:rsidR="008C163C" w:rsidRPr="008C163C">
            <w:rPr>
              <w:i/>
              <w:iCs/>
              <w:sz w:val="20"/>
              <w:szCs w:val="20"/>
            </w:rPr>
            <w:t xml:space="preserve"> and harmful sexual behaviour by young people</w:t>
          </w:r>
        </w:p>
      </w:tc>
    </w:tr>
  </w:tbl>
  <w:p w14:paraId="1BDF616F" w14:textId="77777777" w:rsidR="00431063" w:rsidRDefault="00431063" w:rsidP="00431063">
    <w:pPr>
      <w:pStyle w:val="Header"/>
    </w:pPr>
  </w:p>
  <w:p w14:paraId="03FB28F6" w14:textId="77777777" w:rsidR="002334AB" w:rsidRPr="00431063" w:rsidRDefault="002334AB" w:rsidP="00431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D61CE"/>
    <w:multiLevelType w:val="hybridMultilevel"/>
    <w:tmpl w:val="10387A9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276E46"/>
    <w:multiLevelType w:val="hybridMultilevel"/>
    <w:tmpl w:val="920EA176"/>
    <w:lvl w:ilvl="0" w:tplc="9FAC03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DC7C94"/>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FA7A5C"/>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204626"/>
    <w:multiLevelType w:val="hybridMultilevel"/>
    <w:tmpl w:val="99B4FB72"/>
    <w:lvl w:ilvl="0" w:tplc="E070D75C">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6" w15:restartNumberingAfterBreak="0">
    <w:nsid w:val="033827C0"/>
    <w:multiLevelType w:val="multilevel"/>
    <w:tmpl w:val="3048C038"/>
    <w:styleLink w:val="CurrentList3"/>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596731"/>
    <w:multiLevelType w:val="multilevel"/>
    <w:tmpl w:val="1056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D60446"/>
    <w:multiLevelType w:val="hybridMultilevel"/>
    <w:tmpl w:val="58485F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9" w15:restartNumberingAfterBreak="0">
    <w:nsid w:val="0923226F"/>
    <w:multiLevelType w:val="hybridMultilevel"/>
    <w:tmpl w:val="87FC5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4F5AE5"/>
    <w:multiLevelType w:val="hybridMultilevel"/>
    <w:tmpl w:val="8A60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6109E1"/>
    <w:multiLevelType w:val="hybridMultilevel"/>
    <w:tmpl w:val="58485F4E"/>
    <w:lvl w:ilvl="0" w:tplc="3956E292">
      <w:start w:val="1"/>
      <w:numFmt w:val="decimal"/>
      <w:lvlText w:val="%1."/>
      <w:lvlJc w:val="left"/>
      <w:pPr>
        <w:ind w:left="36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2" w15:restartNumberingAfterBreak="0">
    <w:nsid w:val="0A4A77D5"/>
    <w:multiLevelType w:val="hybridMultilevel"/>
    <w:tmpl w:val="E7B6E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0C557E"/>
    <w:multiLevelType w:val="hybridMultilevel"/>
    <w:tmpl w:val="10387A9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CBE177A"/>
    <w:multiLevelType w:val="hybridMultilevel"/>
    <w:tmpl w:val="F4B45422"/>
    <w:lvl w:ilvl="0" w:tplc="F718F96A">
      <w:start w:val="98"/>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E31EC3"/>
    <w:multiLevelType w:val="hybridMultilevel"/>
    <w:tmpl w:val="913638B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D2C7C8D"/>
    <w:multiLevelType w:val="multilevel"/>
    <w:tmpl w:val="9D9A877C"/>
    <w:styleLink w:val="CurrentList10"/>
    <w:lvl w:ilvl="0">
      <w:start w:val="1"/>
      <w:numFmt w:val="decimal"/>
      <w:suff w:val="nothing"/>
      <w:lvlText w:val="Part %1"/>
      <w:lvlJc w:val="left"/>
      <w:pPr>
        <w:ind w:left="432" w:hanging="432"/>
      </w:pPr>
      <w:rPr>
        <w:rFonts w:ascii="Times New Roman" w:hAnsi="Times New Roman" w:hint="default"/>
        <w:b/>
        <w:i w:val="0"/>
        <w:sz w:val="32"/>
      </w:rPr>
    </w:lvl>
    <w:lvl w:ilvl="1">
      <w:start w:val="1"/>
      <w:numFmt w:val="decimal"/>
      <w:lvlText w:val="%1.%2"/>
      <w:lvlJc w:val="left"/>
      <w:pPr>
        <w:tabs>
          <w:tab w:val="num" w:pos="1571"/>
        </w:tabs>
        <w:ind w:left="720" w:hanging="720"/>
      </w:pPr>
      <w:rPr>
        <w:rFonts w:ascii="Arial" w:hAnsi="Arial" w:hint="default"/>
        <w:b/>
        <w:i w:val="0"/>
        <w:sz w:val="32"/>
      </w:rPr>
    </w:lvl>
    <w:lvl w:ilvl="2">
      <w:start w:val="1"/>
      <w:numFmt w:val="decimal"/>
      <w:lvlText w:val="%1.%2.%3"/>
      <w:lvlJc w:val="left"/>
      <w:pPr>
        <w:tabs>
          <w:tab w:val="num" w:pos="720"/>
        </w:tabs>
        <w:ind w:left="0" w:firstLine="0"/>
      </w:pPr>
      <w:rPr>
        <w:rFonts w:ascii="Times New Roman" w:hAnsi="Times New Roman" w:hint="default"/>
        <w:b w:val="0"/>
        <w:i/>
        <w:sz w:val="24"/>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 w15:restartNumberingAfterBreak="0">
    <w:nsid w:val="0D5BA24A"/>
    <w:multiLevelType w:val="hybridMultilevel"/>
    <w:tmpl w:val="C51C726C"/>
    <w:lvl w:ilvl="0" w:tplc="1B7CCB46">
      <w:start w:val="1"/>
      <w:numFmt w:val="bullet"/>
      <w:lvlText w:val=""/>
      <w:lvlJc w:val="left"/>
      <w:pPr>
        <w:ind w:left="720" w:hanging="360"/>
      </w:pPr>
      <w:rPr>
        <w:rFonts w:ascii="Symbol" w:hAnsi="Symbol" w:hint="default"/>
      </w:rPr>
    </w:lvl>
    <w:lvl w:ilvl="1" w:tplc="EDC2C3F0">
      <w:start w:val="1"/>
      <w:numFmt w:val="bullet"/>
      <w:lvlText w:val="o"/>
      <w:lvlJc w:val="left"/>
      <w:pPr>
        <w:ind w:left="1440" w:hanging="360"/>
      </w:pPr>
      <w:rPr>
        <w:rFonts w:ascii="Courier New" w:hAnsi="Courier New" w:hint="default"/>
      </w:rPr>
    </w:lvl>
    <w:lvl w:ilvl="2" w:tplc="6FC441A0">
      <w:start w:val="1"/>
      <w:numFmt w:val="bullet"/>
      <w:lvlText w:val=""/>
      <w:lvlJc w:val="left"/>
      <w:pPr>
        <w:ind w:left="2160" w:hanging="360"/>
      </w:pPr>
      <w:rPr>
        <w:rFonts w:ascii="Wingdings" w:hAnsi="Wingdings" w:hint="default"/>
      </w:rPr>
    </w:lvl>
    <w:lvl w:ilvl="3" w:tplc="0D5CCAFC">
      <w:start w:val="1"/>
      <w:numFmt w:val="bullet"/>
      <w:lvlText w:val=""/>
      <w:lvlJc w:val="left"/>
      <w:pPr>
        <w:ind w:left="2880" w:hanging="360"/>
      </w:pPr>
      <w:rPr>
        <w:rFonts w:ascii="Symbol" w:hAnsi="Symbol" w:hint="default"/>
      </w:rPr>
    </w:lvl>
    <w:lvl w:ilvl="4" w:tplc="A8822B02">
      <w:start w:val="1"/>
      <w:numFmt w:val="bullet"/>
      <w:lvlText w:val="o"/>
      <w:lvlJc w:val="left"/>
      <w:pPr>
        <w:ind w:left="3600" w:hanging="360"/>
      </w:pPr>
      <w:rPr>
        <w:rFonts w:ascii="Courier New" w:hAnsi="Courier New" w:hint="default"/>
      </w:rPr>
    </w:lvl>
    <w:lvl w:ilvl="5" w:tplc="6BC01D5E">
      <w:start w:val="1"/>
      <w:numFmt w:val="bullet"/>
      <w:lvlText w:val=""/>
      <w:lvlJc w:val="left"/>
      <w:pPr>
        <w:ind w:left="4320" w:hanging="360"/>
      </w:pPr>
      <w:rPr>
        <w:rFonts w:ascii="Wingdings" w:hAnsi="Wingdings" w:hint="default"/>
      </w:rPr>
    </w:lvl>
    <w:lvl w:ilvl="6" w:tplc="0EB237C8">
      <w:start w:val="1"/>
      <w:numFmt w:val="bullet"/>
      <w:lvlText w:val=""/>
      <w:lvlJc w:val="left"/>
      <w:pPr>
        <w:ind w:left="5040" w:hanging="360"/>
      </w:pPr>
      <w:rPr>
        <w:rFonts w:ascii="Symbol" w:hAnsi="Symbol" w:hint="default"/>
      </w:rPr>
    </w:lvl>
    <w:lvl w:ilvl="7" w:tplc="5F967888">
      <w:start w:val="1"/>
      <w:numFmt w:val="bullet"/>
      <w:lvlText w:val="o"/>
      <w:lvlJc w:val="left"/>
      <w:pPr>
        <w:ind w:left="5760" w:hanging="360"/>
      </w:pPr>
      <w:rPr>
        <w:rFonts w:ascii="Courier New" w:hAnsi="Courier New" w:hint="default"/>
      </w:rPr>
    </w:lvl>
    <w:lvl w:ilvl="8" w:tplc="9F12FBD6">
      <w:start w:val="1"/>
      <w:numFmt w:val="bullet"/>
      <w:lvlText w:val=""/>
      <w:lvlJc w:val="left"/>
      <w:pPr>
        <w:ind w:left="6480" w:hanging="360"/>
      </w:pPr>
      <w:rPr>
        <w:rFonts w:ascii="Wingdings" w:hAnsi="Wingdings" w:hint="default"/>
      </w:rPr>
    </w:lvl>
  </w:abstractNum>
  <w:abstractNum w:abstractNumId="18" w15:restartNumberingAfterBreak="0">
    <w:nsid w:val="0EF45E5E"/>
    <w:multiLevelType w:val="hybridMultilevel"/>
    <w:tmpl w:val="05A62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F403499"/>
    <w:multiLevelType w:val="hybridMultilevel"/>
    <w:tmpl w:val="413019D2"/>
    <w:lvl w:ilvl="0" w:tplc="FFFFFFFF">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F5C7C5C"/>
    <w:multiLevelType w:val="hybridMultilevel"/>
    <w:tmpl w:val="498E5410"/>
    <w:lvl w:ilvl="0" w:tplc="7C60D05E">
      <w:start w:val="1"/>
      <w:numFmt w:val="bullet"/>
      <w:lvlText w:val=""/>
      <w:lvlJc w:val="left"/>
      <w:pPr>
        <w:ind w:left="1440" w:hanging="360"/>
      </w:pPr>
      <w:rPr>
        <w:rFonts w:ascii="Symbol" w:hAnsi="Symbol"/>
      </w:rPr>
    </w:lvl>
    <w:lvl w:ilvl="1" w:tplc="31304992">
      <w:start w:val="1"/>
      <w:numFmt w:val="bullet"/>
      <w:lvlText w:val=""/>
      <w:lvlJc w:val="left"/>
      <w:pPr>
        <w:ind w:left="1440" w:hanging="360"/>
      </w:pPr>
      <w:rPr>
        <w:rFonts w:ascii="Symbol" w:hAnsi="Symbol"/>
      </w:rPr>
    </w:lvl>
    <w:lvl w:ilvl="2" w:tplc="C2024076">
      <w:start w:val="1"/>
      <w:numFmt w:val="bullet"/>
      <w:lvlText w:val=""/>
      <w:lvlJc w:val="left"/>
      <w:pPr>
        <w:ind w:left="1440" w:hanging="360"/>
      </w:pPr>
      <w:rPr>
        <w:rFonts w:ascii="Symbol" w:hAnsi="Symbol"/>
      </w:rPr>
    </w:lvl>
    <w:lvl w:ilvl="3" w:tplc="3D4CDF68">
      <w:start w:val="1"/>
      <w:numFmt w:val="bullet"/>
      <w:lvlText w:val=""/>
      <w:lvlJc w:val="left"/>
      <w:pPr>
        <w:ind w:left="1440" w:hanging="360"/>
      </w:pPr>
      <w:rPr>
        <w:rFonts w:ascii="Symbol" w:hAnsi="Symbol"/>
      </w:rPr>
    </w:lvl>
    <w:lvl w:ilvl="4" w:tplc="22BA7ADE">
      <w:start w:val="1"/>
      <w:numFmt w:val="bullet"/>
      <w:lvlText w:val=""/>
      <w:lvlJc w:val="left"/>
      <w:pPr>
        <w:ind w:left="1440" w:hanging="360"/>
      </w:pPr>
      <w:rPr>
        <w:rFonts w:ascii="Symbol" w:hAnsi="Symbol"/>
      </w:rPr>
    </w:lvl>
    <w:lvl w:ilvl="5" w:tplc="FB244DF8">
      <w:start w:val="1"/>
      <w:numFmt w:val="bullet"/>
      <w:lvlText w:val=""/>
      <w:lvlJc w:val="left"/>
      <w:pPr>
        <w:ind w:left="1440" w:hanging="360"/>
      </w:pPr>
      <w:rPr>
        <w:rFonts w:ascii="Symbol" w:hAnsi="Symbol"/>
      </w:rPr>
    </w:lvl>
    <w:lvl w:ilvl="6" w:tplc="9790D6E6">
      <w:start w:val="1"/>
      <w:numFmt w:val="bullet"/>
      <w:lvlText w:val=""/>
      <w:lvlJc w:val="left"/>
      <w:pPr>
        <w:ind w:left="1440" w:hanging="360"/>
      </w:pPr>
      <w:rPr>
        <w:rFonts w:ascii="Symbol" w:hAnsi="Symbol"/>
      </w:rPr>
    </w:lvl>
    <w:lvl w:ilvl="7" w:tplc="E89EAFA2">
      <w:start w:val="1"/>
      <w:numFmt w:val="bullet"/>
      <w:lvlText w:val=""/>
      <w:lvlJc w:val="left"/>
      <w:pPr>
        <w:ind w:left="1440" w:hanging="360"/>
      </w:pPr>
      <w:rPr>
        <w:rFonts w:ascii="Symbol" w:hAnsi="Symbol"/>
      </w:rPr>
    </w:lvl>
    <w:lvl w:ilvl="8" w:tplc="50D4296A">
      <w:start w:val="1"/>
      <w:numFmt w:val="bullet"/>
      <w:lvlText w:val=""/>
      <w:lvlJc w:val="left"/>
      <w:pPr>
        <w:ind w:left="1440" w:hanging="360"/>
      </w:pPr>
      <w:rPr>
        <w:rFonts w:ascii="Symbol" w:hAnsi="Symbol"/>
      </w:rPr>
    </w:lvl>
  </w:abstractNum>
  <w:abstractNum w:abstractNumId="21" w15:restartNumberingAfterBreak="0">
    <w:nsid w:val="107C0F86"/>
    <w:multiLevelType w:val="multilevel"/>
    <w:tmpl w:val="58AC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CC856E"/>
    <w:multiLevelType w:val="hybridMultilevel"/>
    <w:tmpl w:val="6DF01822"/>
    <w:lvl w:ilvl="0" w:tplc="46A45F56">
      <w:start w:val="1"/>
      <w:numFmt w:val="bullet"/>
      <w:lvlText w:val=""/>
      <w:lvlJc w:val="left"/>
      <w:pPr>
        <w:ind w:left="720" w:hanging="360"/>
      </w:pPr>
      <w:rPr>
        <w:rFonts w:ascii="Symbol" w:hAnsi="Symbol" w:hint="default"/>
      </w:rPr>
    </w:lvl>
    <w:lvl w:ilvl="1" w:tplc="E4B2269E">
      <w:start w:val="1"/>
      <w:numFmt w:val="bullet"/>
      <w:lvlText w:val="o"/>
      <w:lvlJc w:val="left"/>
      <w:pPr>
        <w:ind w:left="1440" w:hanging="360"/>
      </w:pPr>
      <w:rPr>
        <w:rFonts w:ascii="Courier New" w:hAnsi="Courier New" w:hint="default"/>
      </w:rPr>
    </w:lvl>
    <w:lvl w:ilvl="2" w:tplc="D07E0522">
      <w:start w:val="1"/>
      <w:numFmt w:val="bullet"/>
      <w:lvlText w:val=""/>
      <w:lvlJc w:val="left"/>
      <w:pPr>
        <w:ind w:left="2160" w:hanging="360"/>
      </w:pPr>
      <w:rPr>
        <w:rFonts w:ascii="Wingdings" w:hAnsi="Wingdings" w:hint="default"/>
      </w:rPr>
    </w:lvl>
    <w:lvl w:ilvl="3" w:tplc="6B841C04">
      <w:start w:val="1"/>
      <w:numFmt w:val="bullet"/>
      <w:lvlText w:val=""/>
      <w:lvlJc w:val="left"/>
      <w:pPr>
        <w:ind w:left="2880" w:hanging="360"/>
      </w:pPr>
      <w:rPr>
        <w:rFonts w:ascii="Symbol" w:hAnsi="Symbol" w:hint="default"/>
      </w:rPr>
    </w:lvl>
    <w:lvl w:ilvl="4" w:tplc="078849CA">
      <w:start w:val="1"/>
      <w:numFmt w:val="bullet"/>
      <w:lvlText w:val="o"/>
      <w:lvlJc w:val="left"/>
      <w:pPr>
        <w:ind w:left="3600" w:hanging="360"/>
      </w:pPr>
      <w:rPr>
        <w:rFonts w:ascii="Courier New" w:hAnsi="Courier New" w:hint="default"/>
      </w:rPr>
    </w:lvl>
    <w:lvl w:ilvl="5" w:tplc="1F6E10DA">
      <w:start w:val="1"/>
      <w:numFmt w:val="bullet"/>
      <w:lvlText w:val=""/>
      <w:lvlJc w:val="left"/>
      <w:pPr>
        <w:ind w:left="4320" w:hanging="360"/>
      </w:pPr>
      <w:rPr>
        <w:rFonts w:ascii="Wingdings" w:hAnsi="Wingdings" w:hint="default"/>
      </w:rPr>
    </w:lvl>
    <w:lvl w:ilvl="6" w:tplc="E6A034F8">
      <w:start w:val="1"/>
      <w:numFmt w:val="bullet"/>
      <w:lvlText w:val=""/>
      <w:lvlJc w:val="left"/>
      <w:pPr>
        <w:ind w:left="5040" w:hanging="360"/>
      </w:pPr>
      <w:rPr>
        <w:rFonts w:ascii="Symbol" w:hAnsi="Symbol" w:hint="default"/>
      </w:rPr>
    </w:lvl>
    <w:lvl w:ilvl="7" w:tplc="649E6F92">
      <w:start w:val="1"/>
      <w:numFmt w:val="bullet"/>
      <w:lvlText w:val="o"/>
      <w:lvlJc w:val="left"/>
      <w:pPr>
        <w:ind w:left="5760" w:hanging="360"/>
      </w:pPr>
      <w:rPr>
        <w:rFonts w:ascii="Courier New" w:hAnsi="Courier New" w:hint="default"/>
      </w:rPr>
    </w:lvl>
    <w:lvl w:ilvl="8" w:tplc="C7CC7F92">
      <w:start w:val="1"/>
      <w:numFmt w:val="bullet"/>
      <w:lvlText w:val=""/>
      <w:lvlJc w:val="left"/>
      <w:pPr>
        <w:ind w:left="6480" w:hanging="360"/>
      </w:pPr>
      <w:rPr>
        <w:rFonts w:ascii="Wingdings" w:hAnsi="Wingdings" w:hint="default"/>
      </w:rPr>
    </w:lvl>
  </w:abstractNum>
  <w:abstractNum w:abstractNumId="23" w15:restartNumberingAfterBreak="0">
    <w:nsid w:val="158E2FB0"/>
    <w:multiLevelType w:val="hybridMultilevel"/>
    <w:tmpl w:val="DAB03F5A"/>
    <w:lvl w:ilvl="0" w:tplc="B40A85AC">
      <w:start w:val="1"/>
      <w:numFmt w:val="decimal"/>
      <w:pStyle w:val="NumberlessNormalTex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5DE0E5A"/>
    <w:multiLevelType w:val="multilevel"/>
    <w:tmpl w:val="C63A364C"/>
    <w:styleLink w:val="CurrentList7"/>
    <w:lvl w:ilvl="0">
      <w:start w:val="1"/>
      <w:numFmt w:val="decimal"/>
      <w:lvlText w:val="%1."/>
      <w:lvlJc w:val="lef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5EA66AA"/>
    <w:multiLevelType w:val="hybridMultilevel"/>
    <w:tmpl w:val="C68462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6C62245"/>
    <w:multiLevelType w:val="hybridMultilevel"/>
    <w:tmpl w:val="5FF80786"/>
    <w:lvl w:ilvl="0" w:tplc="F99C9622">
      <w:start w:val="1"/>
      <w:numFmt w:val="bullet"/>
      <w:lvlText w:val=""/>
      <w:lvlJc w:val="left"/>
      <w:pPr>
        <w:ind w:left="720" w:hanging="360"/>
      </w:pPr>
      <w:rPr>
        <w:rFonts w:ascii="Symbol" w:hAnsi="Symbol" w:hint="default"/>
      </w:rPr>
    </w:lvl>
    <w:lvl w:ilvl="1" w:tplc="1FC08A9C">
      <w:start w:val="1"/>
      <w:numFmt w:val="bullet"/>
      <w:lvlText w:val="o"/>
      <w:lvlJc w:val="left"/>
      <w:pPr>
        <w:ind w:left="1440" w:hanging="360"/>
      </w:pPr>
      <w:rPr>
        <w:rFonts w:ascii="Courier New" w:hAnsi="Courier New" w:hint="default"/>
      </w:rPr>
    </w:lvl>
    <w:lvl w:ilvl="2" w:tplc="F9B654FA">
      <w:start w:val="1"/>
      <w:numFmt w:val="bullet"/>
      <w:lvlText w:val=""/>
      <w:lvlJc w:val="left"/>
      <w:pPr>
        <w:ind w:left="2160" w:hanging="360"/>
      </w:pPr>
      <w:rPr>
        <w:rFonts w:ascii="Wingdings" w:hAnsi="Wingdings" w:hint="default"/>
      </w:rPr>
    </w:lvl>
    <w:lvl w:ilvl="3" w:tplc="88CEDEDE">
      <w:start w:val="1"/>
      <w:numFmt w:val="bullet"/>
      <w:lvlText w:val=""/>
      <w:lvlJc w:val="left"/>
      <w:pPr>
        <w:ind w:left="2880" w:hanging="360"/>
      </w:pPr>
      <w:rPr>
        <w:rFonts w:ascii="Symbol" w:hAnsi="Symbol" w:hint="default"/>
      </w:rPr>
    </w:lvl>
    <w:lvl w:ilvl="4" w:tplc="A24824E0">
      <w:start w:val="1"/>
      <w:numFmt w:val="bullet"/>
      <w:lvlText w:val="o"/>
      <w:lvlJc w:val="left"/>
      <w:pPr>
        <w:ind w:left="3600" w:hanging="360"/>
      </w:pPr>
      <w:rPr>
        <w:rFonts w:ascii="Courier New" w:hAnsi="Courier New" w:hint="default"/>
      </w:rPr>
    </w:lvl>
    <w:lvl w:ilvl="5" w:tplc="0FD00AB0">
      <w:start w:val="1"/>
      <w:numFmt w:val="bullet"/>
      <w:lvlText w:val=""/>
      <w:lvlJc w:val="left"/>
      <w:pPr>
        <w:ind w:left="4320" w:hanging="360"/>
      </w:pPr>
      <w:rPr>
        <w:rFonts w:ascii="Wingdings" w:hAnsi="Wingdings" w:hint="default"/>
      </w:rPr>
    </w:lvl>
    <w:lvl w:ilvl="6" w:tplc="77B4B14C">
      <w:start w:val="1"/>
      <w:numFmt w:val="bullet"/>
      <w:lvlText w:val=""/>
      <w:lvlJc w:val="left"/>
      <w:pPr>
        <w:ind w:left="5040" w:hanging="360"/>
      </w:pPr>
      <w:rPr>
        <w:rFonts w:ascii="Symbol" w:hAnsi="Symbol" w:hint="default"/>
      </w:rPr>
    </w:lvl>
    <w:lvl w:ilvl="7" w:tplc="5A7CCEAE">
      <w:start w:val="1"/>
      <w:numFmt w:val="bullet"/>
      <w:lvlText w:val="o"/>
      <w:lvlJc w:val="left"/>
      <w:pPr>
        <w:ind w:left="5760" w:hanging="360"/>
      </w:pPr>
      <w:rPr>
        <w:rFonts w:ascii="Courier New" w:hAnsi="Courier New" w:hint="default"/>
      </w:rPr>
    </w:lvl>
    <w:lvl w:ilvl="8" w:tplc="9C4A3774">
      <w:start w:val="1"/>
      <w:numFmt w:val="bullet"/>
      <w:lvlText w:val=""/>
      <w:lvlJc w:val="left"/>
      <w:pPr>
        <w:ind w:left="6480" w:hanging="360"/>
      </w:pPr>
      <w:rPr>
        <w:rFonts w:ascii="Wingdings" w:hAnsi="Wingdings" w:hint="default"/>
      </w:rPr>
    </w:lvl>
  </w:abstractNum>
  <w:abstractNum w:abstractNumId="27" w15:restartNumberingAfterBreak="0">
    <w:nsid w:val="16F6192E"/>
    <w:multiLevelType w:val="hybridMultilevel"/>
    <w:tmpl w:val="DF5C59B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8" w15:restartNumberingAfterBreak="0">
    <w:nsid w:val="17694BCB"/>
    <w:multiLevelType w:val="hybridMultilevel"/>
    <w:tmpl w:val="ED68461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BE14685"/>
    <w:multiLevelType w:val="multilevel"/>
    <w:tmpl w:val="F676BDE4"/>
    <w:styleLink w:val="CurrentList5"/>
    <w:lvl w:ilvl="0">
      <w:start w:val="1"/>
      <w:numFmt w:val="decimal"/>
      <w:lvlText w:val="%1."/>
      <w:lvlJc w:val="left"/>
      <w:pPr>
        <w:ind w:left="500" w:hanging="500"/>
      </w:pPr>
      <w:rPr>
        <w:rFonts w:ascii="Calibri" w:eastAsia="Calibri" w:hAnsi="Calibri" w:cs="Calibri" w:hint="default"/>
      </w:rPr>
    </w:lvl>
    <w:lvl w:ilvl="1">
      <w:start w:val="1"/>
      <w:numFmt w:val="decimal"/>
      <w:lvlText w:val="%1.%2."/>
      <w:lvlJc w:val="left"/>
      <w:pPr>
        <w:ind w:left="500" w:hanging="500"/>
      </w:pPr>
      <w:rPr>
        <w:rFonts w:ascii="Calibri" w:eastAsia="Calibri" w:hAnsi="Calibri" w:cs="Calibri" w:hint="default"/>
      </w:rPr>
    </w:lvl>
    <w:lvl w:ilvl="2">
      <w:start w:val="1"/>
      <w:numFmt w:val="decimal"/>
      <w:lvlText w:val="%1.%2.%3."/>
      <w:lvlJc w:val="left"/>
      <w:pPr>
        <w:ind w:left="720" w:hanging="720"/>
      </w:pPr>
      <w:rPr>
        <w:rFonts w:ascii="Calibri" w:hAnsi="Calibri" w:cs="Calibri" w:hint="default"/>
        <w:b w:val="0"/>
        <w:i/>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30" w15:restartNumberingAfterBreak="0">
    <w:nsid w:val="1CD25B59"/>
    <w:multiLevelType w:val="hybridMultilevel"/>
    <w:tmpl w:val="4BE86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D3D6AF6"/>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D7B3268"/>
    <w:multiLevelType w:val="hybridMultilevel"/>
    <w:tmpl w:val="E1D41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DD2383C"/>
    <w:multiLevelType w:val="hybridMultilevel"/>
    <w:tmpl w:val="2DFEB7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E1B198E"/>
    <w:multiLevelType w:val="hybridMultilevel"/>
    <w:tmpl w:val="DF5C59BE"/>
    <w:lvl w:ilvl="0" w:tplc="95F41730">
      <w:start w:val="3"/>
      <w:numFmt w:val="lowerLetter"/>
      <w:lvlText w:val="%1."/>
      <w:lvlJc w:val="left"/>
      <w:pPr>
        <w:ind w:left="72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5" w15:restartNumberingAfterBreak="0">
    <w:nsid w:val="1F0C3FC8"/>
    <w:multiLevelType w:val="multilevel"/>
    <w:tmpl w:val="B56EAD00"/>
    <w:name w:val="TLRI outline"/>
    <w:lvl w:ilvl="0">
      <w:start w:val="1"/>
      <w:numFmt w:val="decimal"/>
      <w:pStyle w:val="TLRIChapterno"/>
      <w:suff w:val="nothing"/>
      <w:lvlText w:val="Chapter %1"/>
      <w:lvlJc w:val="left"/>
      <w:pPr>
        <w:ind w:left="2836" w:firstLine="0"/>
      </w:pPr>
    </w:lvl>
    <w:lvl w:ilvl="1">
      <w:start w:val="1"/>
      <w:numFmt w:val="decimal"/>
      <w:pStyle w:val="TLRIH1"/>
      <w:lvlText w:val="%1.%2."/>
      <w:lvlJc w:val="left"/>
      <w:pPr>
        <w:ind w:left="2977" w:hanging="567"/>
      </w:pPr>
      <w:rPr>
        <w:rFonts w:hint="default"/>
      </w:rPr>
    </w:lvl>
    <w:lvl w:ilvl="2">
      <w:start w:val="1"/>
      <w:numFmt w:val="decimal"/>
      <w:pStyle w:val="TLRINormal"/>
      <w:lvlText w:val="%1.%2.%3."/>
      <w:lvlJc w:val="left"/>
      <w:pPr>
        <w:ind w:left="567" w:hanging="567"/>
      </w:pPr>
      <w:rPr>
        <w:rFonts w:ascii="Times New Roman" w:hAnsi="Times New Roman" w:cs="Times New Roman" w:hint="default"/>
        <w:b w:val="0"/>
        <w:bCs w:val="0"/>
        <w:i w:val="0"/>
        <w:iCs w:val="0"/>
        <w:sz w:val="16"/>
      </w:rPr>
    </w:lvl>
    <w:lvl w:ilvl="3">
      <w:start w:val="1"/>
      <w:numFmt w:val="decimal"/>
      <w:lvlText w:val="%1.%2.%3.%4."/>
      <w:lvlJc w:val="left"/>
      <w:pPr>
        <w:ind w:left="2807" w:hanging="648"/>
      </w:pPr>
      <w:rPr>
        <w:rFonts w:hint="default"/>
      </w:rPr>
    </w:lvl>
    <w:lvl w:ilvl="4">
      <w:start w:val="1"/>
      <w:numFmt w:val="decimal"/>
      <w:lvlText w:val="%1.%2.%3.%4.%5."/>
      <w:lvlJc w:val="left"/>
      <w:pPr>
        <w:ind w:left="3311" w:hanging="792"/>
      </w:pPr>
      <w:rPr>
        <w:rFonts w:hint="default"/>
      </w:rPr>
    </w:lvl>
    <w:lvl w:ilvl="5">
      <w:start w:val="1"/>
      <w:numFmt w:val="decimal"/>
      <w:lvlText w:val="%1.%2.%3.%4.%5.%6."/>
      <w:lvlJc w:val="left"/>
      <w:pPr>
        <w:ind w:left="3815" w:hanging="936"/>
      </w:pPr>
      <w:rPr>
        <w:rFonts w:hint="default"/>
      </w:rPr>
    </w:lvl>
    <w:lvl w:ilvl="6">
      <w:start w:val="1"/>
      <w:numFmt w:val="decimal"/>
      <w:lvlText w:val="%1.%2.%3.%4.%5.%6.%7."/>
      <w:lvlJc w:val="left"/>
      <w:pPr>
        <w:ind w:left="4319" w:hanging="1080"/>
      </w:pPr>
      <w:rPr>
        <w:rFonts w:hint="default"/>
      </w:rPr>
    </w:lvl>
    <w:lvl w:ilvl="7">
      <w:start w:val="1"/>
      <w:numFmt w:val="decimal"/>
      <w:lvlText w:val="%1.%2.%3.%4.%5.%6.%7.%8."/>
      <w:lvlJc w:val="left"/>
      <w:pPr>
        <w:ind w:left="4823" w:hanging="1224"/>
      </w:pPr>
      <w:rPr>
        <w:rFonts w:hint="default"/>
      </w:rPr>
    </w:lvl>
    <w:lvl w:ilvl="8">
      <w:start w:val="1"/>
      <w:numFmt w:val="decimal"/>
      <w:lvlText w:val="%1.%2.%3.%4.%5.%6.%7.%8.%9."/>
      <w:lvlJc w:val="left"/>
      <w:pPr>
        <w:ind w:left="5399" w:hanging="1440"/>
      </w:pPr>
      <w:rPr>
        <w:rFonts w:hint="default"/>
      </w:rPr>
    </w:lvl>
  </w:abstractNum>
  <w:abstractNum w:abstractNumId="36" w15:restartNumberingAfterBreak="0">
    <w:nsid w:val="20787516"/>
    <w:multiLevelType w:val="hybridMultilevel"/>
    <w:tmpl w:val="40B6F246"/>
    <w:lvl w:ilvl="0" w:tplc="E97E0902">
      <w:start w:val="1"/>
      <w:numFmt w:val="bullet"/>
      <w:lvlText w:val=""/>
      <w:lvlJc w:val="left"/>
      <w:pPr>
        <w:ind w:left="720" w:hanging="360"/>
      </w:pPr>
      <w:rPr>
        <w:rFonts w:ascii="Symbol" w:hAnsi="Symbol" w:hint="default"/>
      </w:rPr>
    </w:lvl>
    <w:lvl w:ilvl="1" w:tplc="0E9E0890">
      <w:start w:val="1"/>
      <w:numFmt w:val="bullet"/>
      <w:lvlText w:val="o"/>
      <w:lvlJc w:val="left"/>
      <w:pPr>
        <w:ind w:left="1440" w:hanging="360"/>
      </w:pPr>
      <w:rPr>
        <w:rFonts w:ascii="Courier New" w:hAnsi="Courier New" w:hint="default"/>
      </w:rPr>
    </w:lvl>
    <w:lvl w:ilvl="2" w:tplc="DB1AFF32">
      <w:start w:val="1"/>
      <w:numFmt w:val="bullet"/>
      <w:lvlText w:val=""/>
      <w:lvlJc w:val="left"/>
      <w:pPr>
        <w:ind w:left="2160" w:hanging="360"/>
      </w:pPr>
      <w:rPr>
        <w:rFonts w:ascii="Wingdings" w:hAnsi="Wingdings" w:hint="default"/>
      </w:rPr>
    </w:lvl>
    <w:lvl w:ilvl="3" w:tplc="EEC49EA2">
      <w:start w:val="1"/>
      <w:numFmt w:val="bullet"/>
      <w:lvlText w:val=""/>
      <w:lvlJc w:val="left"/>
      <w:pPr>
        <w:ind w:left="2880" w:hanging="360"/>
      </w:pPr>
      <w:rPr>
        <w:rFonts w:ascii="Symbol" w:hAnsi="Symbol" w:hint="default"/>
      </w:rPr>
    </w:lvl>
    <w:lvl w:ilvl="4" w:tplc="2026CE3C">
      <w:start w:val="1"/>
      <w:numFmt w:val="bullet"/>
      <w:lvlText w:val="o"/>
      <w:lvlJc w:val="left"/>
      <w:pPr>
        <w:ind w:left="3600" w:hanging="360"/>
      </w:pPr>
      <w:rPr>
        <w:rFonts w:ascii="Courier New" w:hAnsi="Courier New" w:hint="default"/>
      </w:rPr>
    </w:lvl>
    <w:lvl w:ilvl="5" w:tplc="6E5AD462">
      <w:start w:val="1"/>
      <w:numFmt w:val="bullet"/>
      <w:lvlText w:val=""/>
      <w:lvlJc w:val="left"/>
      <w:pPr>
        <w:ind w:left="4320" w:hanging="360"/>
      </w:pPr>
      <w:rPr>
        <w:rFonts w:ascii="Wingdings" w:hAnsi="Wingdings" w:hint="default"/>
      </w:rPr>
    </w:lvl>
    <w:lvl w:ilvl="6" w:tplc="5F6C35F4">
      <w:start w:val="1"/>
      <w:numFmt w:val="bullet"/>
      <w:lvlText w:val=""/>
      <w:lvlJc w:val="left"/>
      <w:pPr>
        <w:ind w:left="5040" w:hanging="360"/>
      </w:pPr>
      <w:rPr>
        <w:rFonts w:ascii="Symbol" w:hAnsi="Symbol" w:hint="default"/>
      </w:rPr>
    </w:lvl>
    <w:lvl w:ilvl="7" w:tplc="59C68DA4">
      <w:start w:val="1"/>
      <w:numFmt w:val="bullet"/>
      <w:lvlText w:val="o"/>
      <w:lvlJc w:val="left"/>
      <w:pPr>
        <w:ind w:left="5760" w:hanging="360"/>
      </w:pPr>
      <w:rPr>
        <w:rFonts w:ascii="Courier New" w:hAnsi="Courier New" w:hint="default"/>
      </w:rPr>
    </w:lvl>
    <w:lvl w:ilvl="8" w:tplc="4C9C5494">
      <w:start w:val="1"/>
      <w:numFmt w:val="bullet"/>
      <w:lvlText w:val=""/>
      <w:lvlJc w:val="left"/>
      <w:pPr>
        <w:ind w:left="6480" w:hanging="360"/>
      </w:pPr>
      <w:rPr>
        <w:rFonts w:ascii="Wingdings" w:hAnsi="Wingdings" w:hint="default"/>
      </w:rPr>
    </w:lvl>
  </w:abstractNum>
  <w:abstractNum w:abstractNumId="37" w15:restartNumberingAfterBreak="0">
    <w:nsid w:val="20CB4082"/>
    <w:multiLevelType w:val="hybridMultilevel"/>
    <w:tmpl w:val="FF9EE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18E0C0A"/>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4200E08"/>
    <w:multiLevelType w:val="multilevel"/>
    <w:tmpl w:val="DBF6E92A"/>
    <w:styleLink w:val="CurrentList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24452AAB"/>
    <w:multiLevelType w:val="hybridMultilevel"/>
    <w:tmpl w:val="A7304E2A"/>
    <w:lvl w:ilvl="0" w:tplc="982AED7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57D5AE8"/>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7B715A"/>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B5E6DBE"/>
    <w:multiLevelType w:val="multilevel"/>
    <w:tmpl w:val="D3DC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5734D3"/>
    <w:multiLevelType w:val="hybridMultilevel"/>
    <w:tmpl w:val="10387A9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D5D78BA"/>
    <w:multiLevelType w:val="multilevel"/>
    <w:tmpl w:val="DBD8A17E"/>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heme="minorHAnsi" w:hAnsiTheme="minorHAnsi"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2D7A4EB4"/>
    <w:multiLevelType w:val="multilevel"/>
    <w:tmpl w:val="2FEC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4F3E75"/>
    <w:multiLevelType w:val="hybridMultilevel"/>
    <w:tmpl w:val="18B400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2E744968"/>
    <w:multiLevelType w:val="hybridMultilevel"/>
    <w:tmpl w:val="ED68461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09F027A"/>
    <w:multiLevelType w:val="hybridMultilevel"/>
    <w:tmpl w:val="1420676C"/>
    <w:lvl w:ilvl="0" w:tplc="8D580F9A">
      <w:start w:val="1"/>
      <w:numFmt w:val="bullet"/>
      <w:pStyle w:val="DotPointTLRI"/>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14F6657"/>
    <w:multiLevelType w:val="hybridMultilevel"/>
    <w:tmpl w:val="ED68461A"/>
    <w:lvl w:ilvl="0" w:tplc="56962CE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1FD751B"/>
    <w:multiLevelType w:val="multilevel"/>
    <w:tmpl w:val="C0F8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20DCDD4"/>
    <w:multiLevelType w:val="hybridMultilevel"/>
    <w:tmpl w:val="6AE2D55E"/>
    <w:lvl w:ilvl="0" w:tplc="0CA445E2">
      <w:start w:val="1"/>
      <w:numFmt w:val="bullet"/>
      <w:lvlText w:val=""/>
      <w:lvlJc w:val="left"/>
      <w:pPr>
        <w:ind w:left="720" w:hanging="360"/>
      </w:pPr>
      <w:rPr>
        <w:rFonts w:ascii="Symbol" w:hAnsi="Symbol" w:hint="default"/>
      </w:rPr>
    </w:lvl>
    <w:lvl w:ilvl="1" w:tplc="83FCF49A">
      <w:start w:val="1"/>
      <w:numFmt w:val="bullet"/>
      <w:lvlText w:val="o"/>
      <w:lvlJc w:val="left"/>
      <w:pPr>
        <w:ind w:left="1440" w:hanging="360"/>
      </w:pPr>
      <w:rPr>
        <w:rFonts w:ascii="Courier New" w:hAnsi="Courier New" w:hint="default"/>
      </w:rPr>
    </w:lvl>
    <w:lvl w:ilvl="2" w:tplc="419A0B6C">
      <w:start w:val="1"/>
      <w:numFmt w:val="bullet"/>
      <w:lvlText w:val=""/>
      <w:lvlJc w:val="left"/>
      <w:pPr>
        <w:ind w:left="2160" w:hanging="360"/>
      </w:pPr>
      <w:rPr>
        <w:rFonts w:ascii="Wingdings" w:hAnsi="Wingdings" w:hint="default"/>
      </w:rPr>
    </w:lvl>
    <w:lvl w:ilvl="3" w:tplc="8C9A83DA">
      <w:start w:val="1"/>
      <w:numFmt w:val="bullet"/>
      <w:lvlText w:val=""/>
      <w:lvlJc w:val="left"/>
      <w:pPr>
        <w:ind w:left="2880" w:hanging="360"/>
      </w:pPr>
      <w:rPr>
        <w:rFonts w:ascii="Symbol" w:hAnsi="Symbol" w:hint="default"/>
      </w:rPr>
    </w:lvl>
    <w:lvl w:ilvl="4" w:tplc="CC8228D4">
      <w:start w:val="1"/>
      <w:numFmt w:val="bullet"/>
      <w:lvlText w:val="o"/>
      <w:lvlJc w:val="left"/>
      <w:pPr>
        <w:ind w:left="3600" w:hanging="360"/>
      </w:pPr>
      <w:rPr>
        <w:rFonts w:ascii="Courier New" w:hAnsi="Courier New" w:hint="default"/>
      </w:rPr>
    </w:lvl>
    <w:lvl w:ilvl="5" w:tplc="909E695A">
      <w:start w:val="1"/>
      <w:numFmt w:val="bullet"/>
      <w:lvlText w:val=""/>
      <w:lvlJc w:val="left"/>
      <w:pPr>
        <w:ind w:left="4320" w:hanging="360"/>
      </w:pPr>
      <w:rPr>
        <w:rFonts w:ascii="Wingdings" w:hAnsi="Wingdings" w:hint="default"/>
      </w:rPr>
    </w:lvl>
    <w:lvl w:ilvl="6" w:tplc="11D4767E">
      <w:start w:val="1"/>
      <w:numFmt w:val="bullet"/>
      <w:lvlText w:val=""/>
      <w:lvlJc w:val="left"/>
      <w:pPr>
        <w:ind w:left="5040" w:hanging="360"/>
      </w:pPr>
      <w:rPr>
        <w:rFonts w:ascii="Symbol" w:hAnsi="Symbol" w:hint="default"/>
      </w:rPr>
    </w:lvl>
    <w:lvl w:ilvl="7" w:tplc="31D407BA">
      <w:start w:val="1"/>
      <w:numFmt w:val="bullet"/>
      <w:lvlText w:val="o"/>
      <w:lvlJc w:val="left"/>
      <w:pPr>
        <w:ind w:left="5760" w:hanging="360"/>
      </w:pPr>
      <w:rPr>
        <w:rFonts w:ascii="Courier New" w:hAnsi="Courier New" w:hint="default"/>
      </w:rPr>
    </w:lvl>
    <w:lvl w:ilvl="8" w:tplc="B54A885A">
      <w:start w:val="1"/>
      <w:numFmt w:val="bullet"/>
      <w:lvlText w:val=""/>
      <w:lvlJc w:val="left"/>
      <w:pPr>
        <w:ind w:left="6480" w:hanging="360"/>
      </w:pPr>
      <w:rPr>
        <w:rFonts w:ascii="Wingdings" w:hAnsi="Wingdings" w:hint="default"/>
      </w:rPr>
    </w:lvl>
  </w:abstractNum>
  <w:abstractNum w:abstractNumId="53" w15:restartNumberingAfterBreak="0">
    <w:nsid w:val="32AD4619"/>
    <w:multiLevelType w:val="hybridMultilevel"/>
    <w:tmpl w:val="10387A9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32BB64B0"/>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39C2376"/>
    <w:multiLevelType w:val="hybridMultilevel"/>
    <w:tmpl w:val="58485F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56" w15:restartNumberingAfterBreak="0">
    <w:nsid w:val="34695A60"/>
    <w:multiLevelType w:val="multilevel"/>
    <w:tmpl w:val="AEC6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2E4C57"/>
    <w:multiLevelType w:val="hybridMultilevel"/>
    <w:tmpl w:val="C6846208"/>
    <w:lvl w:ilvl="0" w:tplc="A02C50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727D94C"/>
    <w:multiLevelType w:val="hybridMultilevel"/>
    <w:tmpl w:val="71EAA274"/>
    <w:lvl w:ilvl="0" w:tplc="CF14C7C0">
      <w:start w:val="1"/>
      <w:numFmt w:val="bullet"/>
      <w:lvlText w:val=""/>
      <w:lvlJc w:val="left"/>
      <w:pPr>
        <w:ind w:left="720" w:hanging="360"/>
      </w:pPr>
      <w:rPr>
        <w:rFonts w:ascii="Symbol" w:hAnsi="Symbol" w:hint="default"/>
      </w:rPr>
    </w:lvl>
    <w:lvl w:ilvl="1" w:tplc="9A74C804">
      <w:start w:val="1"/>
      <w:numFmt w:val="bullet"/>
      <w:lvlText w:val="o"/>
      <w:lvlJc w:val="left"/>
      <w:pPr>
        <w:ind w:left="1440" w:hanging="360"/>
      </w:pPr>
      <w:rPr>
        <w:rFonts w:ascii="Courier New" w:hAnsi="Courier New" w:hint="default"/>
      </w:rPr>
    </w:lvl>
    <w:lvl w:ilvl="2" w:tplc="FBACADAC">
      <w:start w:val="1"/>
      <w:numFmt w:val="bullet"/>
      <w:lvlText w:val=""/>
      <w:lvlJc w:val="left"/>
      <w:pPr>
        <w:ind w:left="2160" w:hanging="360"/>
      </w:pPr>
      <w:rPr>
        <w:rFonts w:ascii="Wingdings" w:hAnsi="Wingdings" w:hint="default"/>
      </w:rPr>
    </w:lvl>
    <w:lvl w:ilvl="3" w:tplc="49048BAA">
      <w:start w:val="1"/>
      <w:numFmt w:val="bullet"/>
      <w:lvlText w:val=""/>
      <w:lvlJc w:val="left"/>
      <w:pPr>
        <w:ind w:left="2880" w:hanging="360"/>
      </w:pPr>
      <w:rPr>
        <w:rFonts w:ascii="Symbol" w:hAnsi="Symbol" w:hint="default"/>
      </w:rPr>
    </w:lvl>
    <w:lvl w:ilvl="4" w:tplc="A52C17B8">
      <w:start w:val="1"/>
      <w:numFmt w:val="bullet"/>
      <w:lvlText w:val="o"/>
      <w:lvlJc w:val="left"/>
      <w:pPr>
        <w:ind w:left="3600" w:hanging="360"/>
      </w:pPr>
      <w:rPr>
        <w:rFonts w:ascii="Courier New" w:hAnsi="Courier New" w:hint="default"/>
      </w:rPr>
    </w:lvl>
    <w:lvl w:ilvl="5" w:tplc="557E556C">
      <w:start w:val="1"/>
      <w:numFmt w:val="bullet"/>
      <w:lvlText w:val=""/>
      <w:lvlJc w:val="left"/>
      <w:pPr>
        <w:ind w:left="4320" w:hanging="360"/>
      </w:pPr>
      <w:rPr>
        <w:rFonts w:ascii="Wingdings" w:hAnsi="Wingdings" w:hint="default"/>
      </w:rPr>
    </w:lvl>
    <w:lvl w:ilvl="6" w:tplc="6E201A6C">
      <w:start w:val="1"/>
      <w:numFmt w:val="bullet"/>
      <w:lvlText w:val=""/>
      <w:lvlJc w:val="left"/>
      <w:pPr>
        <w:ind w:left="5040" w:hanging="360"/>
      </w:pPr>
      <w:rPr>
        <w:rFonts w:ascii="Symbol" w:hAnsi="Symbol" w:hint="default"/>
      </w:rPr>
    </w:lvl>
    <w:lvl w:ilvl="7" w:tplc="F146B44C">
      <w:start w:val="1"/>
      <w:numFmt w:val="bullet"/>
      <w:lvlText w:val="o"/>
      <w:lvlJc w:val="left"/>
      <w:pPr>
        <w:ind w:left="5760" w:hanging="360"/>
      </w:pPr>
      <w:rPr>
        <w:rFonts w:ascii="Courier New" w:hAnsi="Courier New" w:hint="default"/>
      </w:rPr>
    </w:lvl>
    <w:lvl w:ilvl="8" w:tplc="6D4433F4">
      <w:start w:val="1"/>
      <w:numFmt w:val="bullet"/>
      <w:lvlText w:val=""/>
      <w:lvlJc w:val="left"/>
      <w:pPr>
        <w:ind w:left="6480" w:hanging="360"/>
      </w:pPr>
      <w:rPr>
        <w:rFonts w:ascii="Wingdings" w:hAnsi="Wingdings" w:hint="default"/>
      </w:rPr>
    </w:lvl>
  </w:abstractNum>
  <w:abstractNum w:abstractNumId="59" w15:restartNumberingAfterBreak="0">
    <w:nsid w:val="37E76AA6"/>
    <w:multiLevelType w:val="hybridMultilevel"/>
    <w:tmpl w:val="4424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8264863"/>
    <w:multiLevelType w:val="multilevel"/>
    <w:tmpl w:val="8A64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2A4EEF"/>
    <w:multiLevelType w:val="hybridMultilevel"/>
    <w:tmpl w:val="271261E6"/>
    <w:lvl w:ilvl="0" w:tplc="2A4036A4">
      <w:start w:val="1"/>
      <w:numFmt w:val="decimal"/>
      <w:lvlText w:val="(%1)"/>
      <w:lvlJc w:val="left"/>
      <w:pPr>
        <w:ind w:left="1080" w:hanging="360"/>
      </w:pPr>
      <w:rPr>
        <w:rFonts w:hint="default"/>
        <w:b w:val="0"/>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2" w15:restartNumberingAfterBreak="0">
    <w:nsid w:val="3A57510C"/>
    <w:multiLevelType w:val="hybridMultilevel"/>
    <w:tmpl w:val="58485F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63" w15:restartNumberingAfterBreak="0">
    <w:nsid w:val="3AEC405B"/>
    <w:multiLevelType w:val="hybridMultilevel"/>
    <w:tmpl w:val="C0CAA9CA"/>
    <w:lvl w:ilvl="0" w:tplc="6C7E761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4" w15:restartNumberingAfterBreak="0">
    <w:nsid w:val="3B0025E9"/>
    <w:multiLevelType w:val="hybridMultilevel"/>
    <w:tmpl w:val="1FC88934"/>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3C7C2568"/>
    <w:multiLevelType w:val="multilevel"/>
    <w:tmpl w:val="7BC0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AE7736"/>
    <w:multiLevelType w:val="hybridMultilevel"/>
    <w:tmpl w:val="6C9C028A"/>
    <w:lvl w:ilvl="0" w:tplc="5A060CA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3EF86C28"/>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FC30C1F"/>
    <w:multiLevelType w:val="hybridMultilevel"/>
    <w:tmpl w:val="AD3E9D5A"/>
    <w:lvl w:ilvl="0" w:tplc="356237E8">
      <w:start w:val="1"/>
      <w:numFmt w:val="bullet"/>
      <w:lvlText w:val=""/>
      <w:lvlJc w:val="left"/>
      <w:pPr>
        <w:ind w:left="720" w:hanging="360"/>
      </w:pPr>
      <w:rPr>
        <w:rFonts w:ascii="Symbol" w:hAnsi="Symbol" w:hint="default"/>
      </w:rPr>
    </w:lvl>
    <w:lvl w:ilvl="1" w:tplc="5058A9D8">
      <w:start w:val="1"/>
      <w:numFmt w:val="bullet"/>
      <w:lvlText w:val="o"/>
      <w:lvlJc w:val="left"/>
      <w:pPr>
        <w:ind w:left="1440" w:hanging="360"/>
      </w:pPr>
      <w:rPr>
        <w:rFonts w:ascii="Courier New" w:hAnsi="Courier New" w:hint="default"/>
      </w:rPr>
    </w:lvl>
    <w:lvl w:ilvl="2" w:tplc="4ADC656C">
      <w:start w:val="1"/>
      <w:numFmt w:val="bullet"/>
      <w:lvlText w:val=""/>
      <w:lvlJc w:val="left"/>
      <w:pPr>
        <w:ind w:left="2160" w:hanging="360"/>
      </w:pPr>
      <w:rPr>
        <w:rFonts w:ascii="Wingdings" w:hAnsi="Wingdings" w:hint="default"/>
      </w:rPr>
    </w:lvl>
    <w:lvl w:ilvl="3" w:tplc="566E1B80">
      <w:start w:val="1"/>
      <w:numFmt w:val="bullet"/>
      <w:lvlText w:val=""/>
      <w:lvlJc w:val="left"/>
      <w:pPr>
        <w:ind w:left="2880" w:hanging="360"/>
      </w:pPr>
      <w:rPr>
        <w:rFonts w:ascii="Symbol" w:hAnsi="Symbol" w:hint="default"/>
      </w:rPr>
    </w:lvl>
    <w:lvl w:ilvl="4" w:tplc="55BEF4AE">
      <w:start w:val="1"/>
      <w:numFmt w:val="bullet"/>
      <w:lvlText w:val="o"/>
      <w:lvlJc w:val="left"/>
      <w:pPr>
        <w:ind w:left="3600" w:hanging="360"/>
      </w:pPr>
      <w:rPr>
        <w:rFonts w:ascii="Courier New" w:hAnsi="Courier New" w:hint="default"/>
      </w:rPr>
    </w:lvl>
    <w:lvl w:ilvl="5" w:tplc="56E4D4C8">
      <w:start w:val="1"/>
      <w:numFmt w:val="bullet"/>
      <w:lvlText w:val=""/>
      <w:lvlJc w:val="left"/>
      <w:pPr>
        <w:ind w:left="4320" w:hanging="360"/>
      </w:pPr>
      <w:rPr>
        <w:rFonts w:ascii="Wingdings" w:hAnsi="Wingdings" w:hint="default"/>
      </w:rPr>
    </w:lvl>
    <w:lvl w:ilvl="6" w:tplc="B34E3532">
      <w:start w:val="1"/>
      <w:numFmt w:val="bullet"/>
      <w:lvlText w:val=""/>
      <w:lvlJc w:val="left"/>
      <w:pPr>
        <w:ind w:left="5040" w:hanging="360"/>
      </w:pPr>
      <w:rPr>
        <w:rFonts w:ascii="Symbol" w:hAnsi="Symbol" w:hint="default"/>
      </w:rPr>
    </w:lvl>
    <w:lvl w:ilvl="7" w:tplc="230A982A">
      <w:start w:val="1"/>
      <w:numFmt w:val="bullet"/>
      <w:lvlText w:val="o"/>
      <w:lvlJc w:val="left"/>
      <w:pPr>
        <w:ind w:left="5760" w:hanging="360"/>
      </w:pPr>
      <w:rPr>
        <w:rFonts w:ascii="Courier New" w:hAnsi="Courier New" w:hint="default"/>
      </w:rPr>
    </w:lvl>
    <w:lvl w:ilvl="8" w:tplc="FEBABB22">
      <w:start w:val="1"/>
      <w:numFmt w:val="bullet"/>
      <w:lvlText w:val=""/>
      <w:lvlJc w:val="left"/>
      <w:pPr>
        <w:ind w:left="6480" w:hanging="360"/>
      </w:pPr>
      <w:rPr>
        <w:rFonts w:ascii="Wingdings" w:hAnsi="Wingdings" w:hint="default"/>
      </w:rPr>
    </w:lvl>
  </w:abstractNum>
  <w:abstractNum w:abstractNumId="69" w15:restartNumberingAfterBreak="0">
    <w:nsid w:val="40715EF7"/>
    <w:multiLevelType w:val="hybridMultilevel"/>
    <w:tmpl w:val="C56E8DD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0" w15:restartNumberingAfterBreak="0">
    <w:nsid w:val="42B970B2"/>
    <w:multiLevelType w:val="hybridMultilevel"/>
    <w:tmpl w:val="920EA1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35FD1DD"/>
    <w:multiLevelType w:val="hybridMultilevel"/>
    <w:tmpl w:val="17EE8A84"/>
    <w:lvl w:ilvl="0" w:tplc="5C0A89AA">
      <w:start w:val="1"/>
      <w:numFmt w:val="bullet"/>
      <w:lvlText w:val=""/>
      <w:lvlJc w:val="left"/>
      <w:pPr>
        <w:ind w:left="720" w:hanging="360"/>
      </w:pPr>
      <w:rPr>
        <w:rFonts w:ascii="Symbol" w:hAnsi="Symbol" w:hint="default"/>
      </w:rPr>
    </w:lvl>
    <w:lvl w:ilvl="1" w:tplc="AB28B1A8">
      <w:start w:val="1"/>
      <w:numFmt w:val="bullet"/>
      <w:lvlText w:val="o"/>
      <w:lvlJc w:val="left"/>
      <w:pPr>
        <w:ind w:left="1440" w:hanging="360"/>
      </w:pPr>
      <w:rPr>
        <w:rFonts w:ascii="Courier New" w:hAnsi="Courier New" w:hint="default"/>
      </w:rPr>
    </w:lvl>
    <w:lvl w:ilvl="2" w:tplc="0C988D6C">
      <w:start w:val="1"/>
      <w:numFmt w:val="bullet"/>
      <w:lvlText w:val=""/>
      <w:lvlJc w:val="left"/>
      <w:pPr>
        <w:ind w:left="2160" w:hanging="360"/>
      </w:pPr>
      <w:rPr>
        <w:rFonts w:ascii="Wingdings" w:hAnsi="Wingdings" w:hint="default"/>
      </w:rPr>
    </w:lvl>
    <w:lvl w:ilvl="3" w:tplc="0A98D9FC">
      <w:start w:val="1"/>
      <w:numFmt w:val="bullet"/>
      <w:lvlText w:val=""/>
      <w:lvlJc w:val="left"/>
      <w:pPr>
        <w:ind w:left="2880" w:hanging="360"/>
      </w:pPr>
      <w:rPr>
        <w:rFonts w:ascii="Symbol" w:hAnsi="Symbol" w:hint="default"/>
      </w:rPr>
    </w:lvl>
    <w:lvl w:ilvl="4" w:tplc="1F485A48">
      <w:start w:val="1"/>
      <w:numFmt w:val="bullet"/>
      <w:lvlText w:val="o"/>
      <w:lvlJc w:val="left"/>
      <w:pPr>
        <w:ind w:left="3600" w:hanging="360"/>
      </w:pPr>
      <w:rPr>
        <w:rFonts w:ascii="Courier New" w:hAnsi="Courier New" w:hint="default"/>
      </w:rPr>
    </w:lvl>
    <w:lvl w:ilvl="5" w:tplc="E9B43C9E">
      <w:start w:val="1"/>
      <w:numFmt w:val="bullet"/>
      <w:lvlText w:val=""/>
      <w:lvlJc w:val="left"/>
      <w:pPr>
        <w:ind w:left="4320" w:hanging="360"/>
      </w:pPr>
      <w:rPr>
        <w:rFonts w:ascii="Wingdings" w:hAnsi="Wingdings" w:hint="default"/>
      </w:rPr>
    </w:lvl>
    <w:lvl w:ilvl="6" w:tplc="FCBAF302">
      <w:start w:val="1"/>
      <w:numFmt w:val="bullet"/>
      <w:lvlText w:val=""/>
      <w:lvlJc w:val="left"/>
      <w:pPr>
        <w:ind w:left="5040" w:hanging="360"/>
      </w:pPr>
      <w:rPr>
        <w:rFonts w:ascii="Symbol" w:hAnsi="Symbol" w:hint="default"/>
      </w:rPr>
    </w:lvl>
    <w:lvl w:ilvl="7" w:tplc="1BDE8782">
      <w:start w:val="1"/>
      <w:numFmt w:val="bullet"/>
      <w:lvlText w:val="o"/>
      <w:lvlJc w:val="left"/>
      <w:pPr>
        <w:ind w:left="5760" w:hanging="360"/>
      </w:pPr>
      <w:rPr>
        <w:rFonts w:ascii="Courier New" w:hAnsi="Courier New" w:hint="default"/>
      </w:rPr>
    </w:lvl>
    <w:lvl w:ilvl="8" w:tplc="0CA6B0C6">
      <w:start w:val="1"/>
      <w:numFmt w:val="bullet"/>
      <w:lvlText w:val=""/>
      <w:lvlJc w:val="left"/>
      <w:pPr>
        <w:ind w:left="6480" w:hanging="360"/>
      </w:pPr>
      <w:rPr>
        <w:rFonts w:ascii="Wingdings" w:hAnsi="Wingdings" w:hint="default"/>
      </w:rPr>
    </w:lvl>
  </w:abstractNum>
  <w:abstractNum w:abstractNumId="72" w15:restartNumberingAfterBreak="0">
    <w:nsid w:val="439B4334"/>
    <w:multiLevelType w:val="hybridMultilevel"/>
    <w:tmpl w:val="DD32675E"/>
    <w:styleLink w:val="CurrentList1"/>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3" w15:restartNumberingAfterBreak="0">
    <w:nsid w:val="4526746A"/>
    <w:multiLevelType w:val="hybridMultilevel"/>
    <w:tmpl w:val="E25229FA"/>
    <w:lvl w:ilvl="0" w:tplc="7EB8FDBC">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74" w15:restartNumberingAfterBreak="0">
    <w:nsid w:val="4635276B"/>
    <w:multiLevelType w:val="hybridMultilevel"/>
    <w:tmpl w:val="C55E26A2"/>
    <w:lvl w:ilvl="0" w:tplc="A02C50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6491B0C"/>
    <w:multiLevelType w:val="hybridMultilevel"/>
    <w:tmpl w:val="55E002D6"/>
    <w:lvl w:ilvl="0" w:tplc="161A5244">
      <w:start w:val="1"/>
      <w:numFmt w:val="decimal"/>
      <w:pStyle w:val="Numberedlist"/>
      <w:lvlText w:val="%1."/>
      <w:lvlJc w:val="left"/>
      <w:pPr>
        <w:ind w:left="1080" w:hanging="360"/>
      </w:pPr>
      <w:rPr>
        <w:rFonts w:hint="default"/>
      </w:rPr>
    </w:lvl>
    <w:lvl w:ilvl="1" w:tplc="08090019">
      <w:start w:val="1"/>
      <w:numFmt w:val="lowerLetter"/>
      <w:lvlText w:val="%2."/>
      <w:lvlJc w:val="left"/>
      <w:pPr>
        <w:ind w:left="1803" w:hanging="360"/>
      </w:pPr>
    </w:lvl>
    <w:lvl w:ilvl="2" w:tplc="0809001B">
      <w:start w:val="1"/>
      <w:numFmt w:val="lowerRoman"/>
      <w:lvlText w:val="%3."/>
      <w:lvlJc w:val="right"/>
      <w:pPr>
        <w:ind w:left="2523" w:hanging="180"/>
      </w:pPr>
    </w:lvl>
    <w:lvl w:ilvl="3" w:tplc="0809000F">
      <w:start w:val="1"/>
      <w:numFmt w:val="decimal"/>
      <w:lvlText w:val="%4."/>
      <w:lvlJc w:val="left"/>
      <w:pPr>
        <w:ind w:left="3243" w:hanging="360"/>
      </w:pPr>
    </w:lvl>
    <w:lvl w:ilvl="4" w:tplc="08090019">
      <w:start w:val="1"/>
      <w:numFmt w:val="lowerLetter"/>
      <w:lvlText w:val="%5."/>
      <w:lvlJc w:val="left"/>
      <w:pPr>
        <w:ind w:left="3963" w:hanging="360"/>
      </w:pPr>
    </w:lvl>
    <w:lvl w:ilvl="5" w:tplc="0809001B">
      <w:start w:val="1"/>
      <w:numFmt w:val="lowerRoman"/>
      <w:lvlText w:val="%6."/>
      <w:lvlJc w:val="right"/>
      <w:pPr>
        <w:ind w:left="4683" w:hanging="180"/>
      </w:pPr>
    </w:lvl>
    <w:lvl w:ilvl="6" w:tplc="0809000F">
      <w:start w:val="1"/>
      <w:numFmt w:val="decimal"/>
      <w:lvlText w:val="%7."/>
      <w:lvlJc w:val="left"/>
      <w:pPr>
        <w:ind w:left="5403" w:hanging="360"/>
      </w:pPr>
    </w:lvl>
    <w:lvl w:ilvl="7" w:tplc="08090019">
      <w:start w:val="1"/>
      <w:numFmt w:val="lowerLetter"/>
      <w:lvlText w:val="%8."/>
      <w:lvlJc w:val="left"/>
      <w:pPr>
        <w:ind w:left="6123" w:hanging="360"/>
      </w:pPr>
    </w:lvl>
    <w:lvl w:ilvl="8" w:tplc="0809001B">
      <w:start w:val="1"/>
      <w:numFmt w:val="lowerRoman"/>
      <w:lvlText w:val="%9."/>
      <w:lvlJc w:val="right"/>
      <w:pPr>
        <w:ind w:left="6843" w:hanging="180"/>
      </w:pPr>
    </w:lvl>
  </w:abstractNum>
  <w:abstractNum w:abstractNumId="76" w15:restartNumberingAfterBreak="0">
    <w:nsid w:val="46D94230"/>
    <w:multiLevelType w:val="hybridMultilevel"/>
    <w:tmpl w:val="1854CFB0"/>
    <w:lvl w:ilvl="0" w:tplc="3FD2E2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7414F68"/>
    <w:multiLevelType w:val="multilevel"/>
    <w:tmpl w:val="0D3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BCEC4A"/>
    <w:multiLevelType w:val="hybridMultilevel"/>
    <w:tmpl w:val="C7FA6D16"/>
    <w:lvl w:ilvl="0" w:tplc="3D9046B2">
      <w:start w:val="1"/>
      <w:numFmt w:val="bullet"/>
      <w:lvlText w:val=""/>
      <w:lvlJc w:val="left"/>
      <w:pPr>
        <w:ind w:left="720" w:hanging="360"/>
      </w:pPr>
      <w:rPr>
        <w:rFonts w:ascii="Symbol" w:hAnsi="Symbol" w:hint="default"/>
      </w:rPr>
    </w:lvl>
    <w:lvl w:ilvl="1" w:tplc="B26C6056">
      <w:start w:val="1"/>
      <w:numFmt w:val="bullet"/>
      <w:lvlText w:val="o"/>
      <w:lvlJc w:val="left"/>
      <w:pPr>
        <w:ind w:left="1440" w:hanging="360"/>
      </w:pPr>
      <w:rPr>
        <w:rFonts w:ascii="Courier New" w:hAnsi="Courier New" w:hint="default"/>
      </w:rPr>
    </w:lvl>
    <w:lvl w:ilvl="2" w:tplc="5742F8A4">
      <w:start w:val="1"/>
      <w:numFmt w:val="bullet"/>
      <w:lvlText w:val=""/>
      <w:lvlJc w:val="left"/>
      <w:pPr>
        <w:ind w:left="2160" w:hanging="360"/>
      </w:pPr>
      <w:rPr>
        <w:rFonts w:ascii="Wingdings" w:hAnsi="Wingdings" w:hint="default"/>
      </w:rPr>
    </w:lvl>
    <w:lvl w:ilvl="3" w:tplc="30906EA4">
      <w:start w:val="1"/>
      <w:numFmt w:val="bullet"/>
      <w:lvlText w:val=""/>
      <w:lvlJc w:val="left"/>
      <w:pPr>
        <w:ind w:left="2880" w:hanging="360"/>
      </w:pPr>
      <w:rPr>
        <w:rFonts w:ascii="Symbol" w:hAnsi="Symbol" w:hint="default"/>
      </w:rPr>
    </w:lvl>
    <w:lvl w:ilvl="4" w:tplc="07A824FC">
      <w:start w:val="1"/>
      <w:numFmt w:val="bullet"/>
      <w:lvlText w:val="o"/>
      <w:lvlJc w:val="left"/>
      <w:pPr>
        <w:ind w:left="3600" w:hanging="360"/>
      </w:pPr>
      <w:rPr>
        <w:rFonts w:ascii="Courier New" w:hAnsi="Courier New" w:hint="default"/>
      </w:rPr>
    </w:lvl>
    <w:lvl w:ilvl="5" w:tplc="2D08E40C">
      <w:start w:val="1"/>
      <w:numFmt w:val="bullet"/>
      <w:lvlText w:val=""/>
      <w:lvlJc w:val="left"/>
      <w:pPr>
        <w:ind w:left="4320" w:hanging="360"/>
      </w:pPr>
      <w:rPr>
        <w:rFonts w:ascii="Wingdings" w:hAnsi="Wingdings" w:hint="default"/>
      </w:rPr>
    </w:lvl>
    <w:lvl w:ilvl="6" w:tplc="1B6C5304">
      <w:start w:val="1"/>
      <w:numFmt w:val="bullet"/>
      <w:lvlText w:val=""/>
      <w:lvlJc w:val="left"/>
      <w:pPr>
        <w:ind w:left="5040" w:hanging="360"/>
      </w:pPr>
      <w:rPr>
        <w:rFonts w:ascii="Symbol" w:hAnsi="Symbol" w:hint="default"/>
      </w:rPr>
    </w:lvl>
    <w:lvl w:ilvl="7" w:tplc="2B4EA762">
      <w:start w:val="1"/>
      <w:numFmt w:val="bullet"/>
      <w:lvlText w:val="o"/>
      <w:lvlJc w:val="left"/>
      <w:pPr>
        <w:ind w:left="5760" w:hanging="360"/>
      </w:pPr>
      <w:rPr>
        <w:rFonts w:ascii="Courier New" w:hAnsi="Courier New" w:hint="default"/>
      </w:rPr>
    </w:lvl>
    <w:lvl w:ilvl="8" w:tplc="07E89726">
      <w:start w:val="1"/>
      <w:numFmt w:val="bullet"/>
      <w:lvlText w:val=""/>
      <w:lvlJc w:val="left"/>
      <w:pPr>
        <w:ind w:left="6480" w:hanging="360"/>
      </w:pPr>
      <w:rPr>
        <w:rFonts w:ascii="Wingdings" w:hAnsi="Wingdings" w:hint="default"/>
      </w:rPr>
    </w:lvl>
  </w:abstractNum>
  <w:abstractNum w:abstractNumId="79" w15:restartNumberingAfterBreak="0">
    <w:nsid w:val="4BFE10CC"/>
    <w:multiLevelType w:val="multilevel"/>
    <w:tmpl w:val="B1AC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4E8008"/>
    <w:multiLevelType w:val="hybridMultilevel"/>
    <w:tmpl w:val="EE68CCC2"/>
    <w:lvl w:ilvl="0" w:tplc="E66AF53C">
      <w:start w:val="1"/>
      <w:numFmt w:val="bullet"/>
      <w:lvlText w:val=""/>
      <w:lvlJc w:val="left"/>
      <w:pPr>
        <w:ind w:left="720" w:hanging="360"/>
      </w:pPr>
      <w:rPr>
        <w:rFonts w:ascii="Symbol" w:hAnsi="Symbol" w:hint="default"/>
      </w:rPr>
    </w:lvl>
    <w:lvl w:ilvl="1" w:tplc="83C20996">
      <w:start w:val="1"/>
      <w:numFmt w:val="bullet"/>
      <w:lvlText w:val="o"/>
      <w:lvlJc w:val="left"/>
      <w:pPr>
        <w:ind w:left="1440" w:hanging="360"/>
      </w:pPr>
      <w:rPr>
        <w:rFonts w:ascii="Courier New" w:hAnsi="Courier New" w:hint="default"/>
      </w:rPr>
    </w:lvl>
    <w:lvl w:ilvl="2" w:tplc="19C28D54">
      <w:start w:val="1"/>
      <w:numFmt w:val="bullet"/>
      <w:lvlText w:val=""/>
      <w:lvlJc w:val="left"/>
      <w:pPr>
        <w:ind w:left="2160" w:hanging="360"/>
      </w:pPr>
      <w:rPr>
        <w:rFonts w:ascii="Wingdings" w:hAnsi="Wingdings" w:hint="default"/>
      </w:rPr>
    </w:lvl>
    <w:lvl w:ilvl="3" w:tplc="54BC23BE">
      <w:start w:val="1"/>
      <w:numFmt w:val="bullet"/>
      <w:lvlText w:val=""/>
      <w:lvlJc w:val="left"/>
      <w:pPr>
        <w:ind w:left="2880" w:hanging="360"/>
      </w:pPr>
      <w:rPr>
        <w:rFonts w:ascii="Symbol" w:hAnsi="Symbol" w:hint="default"/>
      </w:rPr>
    </w:lvl>
    <w:lvl w:ilvl="4" w:tplc="AF40CFC8">
      <w:start w:val="1"/>
      <w:numFmt w:val="bullet"/>
      <w:lvlText w:val="o"/>
      <w:lvlJc w:val="left"/>
      <w:pPr>
        <w:ind w:left="3600" w:hanging="360"/>
      </w:pPr>
      <w:rPr>
        <w:rFonts w:ascii="Courier New" w:hAnsi="Courier New" w:hint="default"/>
      </w:rPr>
    </w:lvl>
    <w:lvl w:ilvl="5" w:tplc="CE4E0CFA">
      <w:start w:val="1"/>
      <w:numFmt w:val="bullet"/>
      <w:lvlText w:val=""/>
      <w:lvlJc w:val="left"/>
      <w:pPr>
        <w:ind w:left="4320" w:hanging="360"/>
      </w:pPr>
      <w:rPr>
        <w:rFonts w:ascii="Wingdings" w:hAnsi="Wingdings" w:hint="default"/>
      </w:rPr>
    </w:lvl>
    <w:lvl w:ilvl="6" w:tplc="180CDFCE">
      <w:start w:val="1"/>
      <w:numFmt w:val="bullet"/>
      <w:lvlText w:val=""/>
      <w:lvlJc w:val="left"/>
      <w:pPr>
        <w:ind w:left="5040" w:hanging="360"/>
      </w:pPr>
      <w:rPr>
        <w:rFonts w:ascii="Symbol" w:hAnsi="Symbol" w:hint="default"/>
      </w:rPr>
    </w:lvl>
    <w:lvl w:ilvl="7" w:tplc="81180AEC">
      <w:start w:val="1"/>
      <w:numFmt w:val="bullet"/>
      <w:lvlText w:val="o"/>
      <w:lvlJc w:val="left"/>
      <w:pPr>
        <w:ind w:left="5760" w:hanging="360"/>
      </w:pPr>
      <w:rPr>
        <w:rFonts w:ascii="Courier New" w:hAnsi="Courier New" w:hint="default"/>
      </w:rPr>
    </w:lvl>
    <w:lvl w:ilvl="8" w:tplc="58788CDE">
      <w:start w:val="1"/>
      <w:numFmt w:val="bullet"/>
      <w:lvlText w:val=""/>
      <w:lvlJc w:val="left"/>
      <w:pPr>
        <w:ind w:left="6480" w:hanging="360"/>
      </w:pPr>
      <w:rPr>
        <w:rFonts w:ascii="Wingdings" w:hAnsi="Wingdings" w:hint="default"/>
      </w:rPr>
    </w:lvl>
  </w:abstractNum>
  <w:abstractNum w:abstractNumId="81" w15:restartNumberingAfterBreak="0">
    <w:nsid w:val="4DBF5A2D"/>
    <w:multiLevelType w:val="hybridMultilevel"/>
    <w:tmpl w:val="8F7E7A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4E90284C"/>
    <w:multiLevelType w:val="hybridMultilevel"/>
    <w:tmpl w:val="5E4A956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4F216E6C"/>
    <w:multiLevelType w:val="hybridMultilevel"/>
    <w:tmpl w:val="E1423E0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4" w15:restartNumberingAfterBreak="0">
    <w:nsid w:val="4F2A55FE"/>
    <w:multiLevelType w:val="multilevel"/>
    <w:tmpl w:val="CD0830E2"/>
    <w:styleLink w:val="CurrentList4"/>
    <w:lvl w:ilvl="0">
      <w:start w:val="1"/>
      <w:numFmt w:val="decimal"/>
      <w:lvlText w:val="%1."/>
      <w:lvlJc w:val="left"/>
      <w:pPr>
        <w:ind w:left="500" w:hanging="500"/>
      </w:pPr>
      <w:rPr>
        <w:rFonts w:ascii="Calibri" w:eastAsia="Calibri" w:hAnsi="Calibri" w:cs="Calibri" w:hint="default"/>
      </w:rPr>
    </w:lvl>
    <w:lvl w:ilvl="1">
      <w:start w:val="1"/>
      <w:numFmt w:val="decimal"/>
      <w:lvlText w:val="%1.%2."/>
      <w:lvlJc w:val="left"/>
      <w:pPr>
        <w:ind w:left="500" w:hanging="50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85" w15:restartNumberingAfterBreak="0">
    <w:nsid w:val="4F4B3E13"/>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15B52C8"/>
    <w:multiLevelType w:val="multilevel"/>
    <w:tmpl w:val="04F0DDFE"/>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1697598"/>
    <w:multiLevelType w:val="hybridMultilevel"/>
    <w:tmpl w:val="F3663D78"/>
    <w:lvl w:ilvl="0" w:tplc="86FAB86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186488A"/>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3C0FB5D"/>
    <w:multiLevelType w:val="hybridMultilevel"/>
    <w:tmpl w:val="CDAA7E4C"/>
    <w:lvl w:ilvl="0" w:tplc="CC8E075A">
      <w:start w:val="1"/>
      <w:numFmt w:val="bullet"/>
      <w:lvlText w:val=""/>
      <w:lvlJc w:val="left"/>
      <w:pPr>
        <w:ind w:left="720" w:hanging="360"/>
      </w:pPr>
      <w:rPr>
        <w:rFonts w:ascii="Symbol" w:hAnsi="Symbol" w:hint="default"/>
      </w:rPr>
    </w:lvl>
    <w:lvl w:ilvl="1" w:tplc="86FE27C6">
      <w:start w:val="1"/>
      <w:numFmt w:val="bullet"/>
      <w:lvlText w:val="o"/>
      <w:lvlJc w:val="left"/>
      <w:pPr>
        <w:ind w:left="1440" w:hanging="360"/>
      </w:pPr>
      <w:rPr>
        <w:rFonts w:ascii="Courier New" w:hAnsi="Courier New" w:hint="default"/>
      </w:rPr>
    </w:lvl>
    <w:lvl w:ilvl="2" w:tplc="45260E2E">
      <w:start w:val="1"/>
      <w:numFmt w:val="bullet"/>
      <w:lvlText w:val=""/>
      <w:lvlJc w:val="left"/>
      <w:pPr>
        <w:ind w:left="2160" w:hanging="360"/>
      </w:pPr>
      <w:rPr>
        <w:rFonts w:ascii="Wingdings" w:hAnsi="Wingdings" w:hint="default"/>
      </w:rPr>
    </w:lvl>
    <w:lvl w:ilvl="3" w:tplc="3F00386E">
      <w:start w:val="1"/>
      <w:numFmt w:val="bullet"/>
      <w:lvlText w:val=""/>
      <w:lvlJc w:val="left"/>
      <w:pPr>
        <w:ind w:left="2880" w:hanging="360"/>
      </w:pPr>
      <w:rPr>
        <w:rFonts w:ascii="Symbol" w:hAnsi="Symbol" w:hint="default"/>
      </w:rPr>
    </w:lvl>
    <w:lvl w:ilvl="4" w:tplc="6068065A">
      <w:start w:val="1"/>
      <w:numFmt w:val="bullet"/>
      <w:lvlText w:val="o"/>
      <w:lvlJc w:val="left"/>
      <w:pPr>
        <w:ind w:left="3600" w:hanging="360"/>
      </w:pPr>
      <w:rPr>
        <w:rFonts w:ascii="Courier New" w:hAnsi="Courier New" w:hint="default"/>
      </w:rPr>
    </w:lvl>
    <w:lvl w:ilvl="5" w:tplc="F4285754">
      <w:start w:val="1"/>
      <w:numFmt w:val="bullet"/>
      <w:lvlText w:val=""/>
      <w:lvlJc w:val="left"/>
      <w:pPr>
        <w:ind w:left="4320" w:hanging="360"/>
      </w:pPr>
      <w:rPr>
        <w:rFonts w:ascii="Wingdings" w:hAnsi="Wingdings" w:hint="default"/>
      </w:rPr>
    </w:lvl>
    <w:lvl w:ilvl="6" w:tplc="AA76F25E">
      <w:start w:val="1"/>
      <w:numFmt w:val="bullet"/>
      <w:lvlText w:val=""/>
      <w:lvlJc w:val="left"/>
      <w:pPr>
        <w:ind w:left="5040" w:hanging="360"/>
      </w:pPr>
      <w:rPr>
        <w:rFonts w:ascii="Symbol" w:hAnsi="Symbol" w:hint="default"/>
      </w:rPr>
    </w:lvl>
    <w:lvl w:ilvl="7" w:tplc="C06442F0">
      <w:start w:val="1"/>
      <w:numFmt w:val="bullet"/>
      <w:lvlText w:val="o"/>
      <w:lvlJc w:val="left"/>
      <w:pPr>
        <w:ind w:left="5760" w:hanging="360"/>
      </w:pPr>
      <w:rPr>
        <w:rFonts w:ascii="Courier New" w:hAnsi="Courier New" w:hint="default"/>
      </w:rPr>
    </w:lvl>
    <w:lvl w:ilvl="8" w:tplc="74381E60">
      <w:start w:val="1"/>
      <w:numFmt w:val="bullet"/>
      <w:lvlText w:val=""/>
      <w:lvlJc w:val="left"/>
      <w:pPr>
        <w:ind w:left="6480" w:hanging="360"/>
      </w:pPr>
      <w:rPr>
        <w:rFonts w:ascii="Wingdings" w:hAnsi="Wingdings" w:hint="default"/>
      </w:rPr>
    </w:lvl>
  </w:abstractNum>
  <w:abstractNum w:abstractNumId="90" w15:restartNumberingAfterBreak="0">
    <w:nsid w:val="54410AF0"/>
    <w:multiLevelType w:val="multilevel"/>
    <w:tmpl w:val="97AC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4576CE"/>
    <w:multiLevelType w:val="hybridMultilevel"/>
    <w:tmpl w:val="48C28FA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6105D64"/>
    <w:multiLevelType w:val="hybridMultilevel"/>
    <w:tmpl w:val="58485F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93" w15:restartNumberingAfterBreak="0">
    <w:nsid w:val="57DF439B"/>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80E5374"/>
    <w:multiLevelType w:val="hybridMultilevel"/>
    <w:tmpl w:val="94DA02DE"/>
    <w:lvl w:ilvl="0" w:tplc="F0B29AB8">
      <w:start w:val="1"/>
      <w:numFmt w:val="decimal"/>
      <w:lvlText w:val="(%1)"/>
      <w:lvlJc w:val="left"/>
      <w:pPr>
        <w:ind w:left="720" w:hanging="360"/>
      </w:pPr>
      <w:rPr>
        <w:rFonts w:hint="default"/>
      </w:rPr>
    </w:lvl>
    <w:lvl w:ilvl="1" w:tplc="3956E292">
      <w:start w:val="1"/>
      <w:numFmt w:val="decimal"/>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5" w15:restartNumberingAfterBreak="0">
    <w:nsid w:val="582D0A46"/>
    <w:multiLevelType w:val="hybridMultilevel"/>
    <w:tmpl w:val="F0BE6C6C"/>
    <w:lvl w:ilvl="0" w:tplc="EA28AEA8">
      <w:start w:val="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58E343A9"/>
    <w:multiLevelType w:val="hybridMultilevel"/>
    <w:tmpl w:val="DCF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CEB7C7E"/>
    <w:multiLevelType w:val="hybridMultilevel"/>
    <w:tmpl w:val="D474F686"/>
    <w:lvl w:ilvl="0" w:tplc="3C4A6FE2">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5D750D17"/>
    <w:multiLevelType w:val="hybridMultilevel"/>
    <w:tmpl w:val="C68462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E733DC0"/>
    <w:multiLevelType w:val="hybridMultilevel"/>
    <w:tmpl w:val="3402C1F0"/>
    <w:lvl w:ilvl="0" w:tplc="346A3AC0">
      <w:start w:val="1"/>
      <w:numFmt w:val="lowerRoman"/>
      <w:lvlText w:val="(%1)"/>
      <w:lvlJc w:val="left"/>
      <w:pPr>
        <w:ind w:left="1146" w:hanging="720"/>
      </w:pPr>
      <w:rPr>
        <w:rFonts w:hint="default"/>
        <w:sz w:val="2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0" w15:restartNumberingAfterBreak="0">
    <w:nsid w:val="5FE53045"/>
    <w:multiLevelType w:val="hybridMultilevel"/>
    <w:tmpl w:val="E222AF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1" w15:restartNumberingAfterBreak="0">
    <w:nsid w:val="60D643C6"/>
    <w:multiLevelType w:val="hybridMultilevel"/>
    <w:tmpl w:val="8EC49DAE"/>
    <w:lvl w:ilvl="0" w:tplc="0809001B">
      <w:start w:val="1"/>
      <w:numFmt w:val="lowerRoman"/>
      <w:lvlText w:val="%1."/>
      <w:lvlJc w:val="righ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02" w15:restartNumberingAfterBreak="0">
    <w:nsid w:val="61700136"/>
    <w:multiLevelType w:val="hybridMultilevel"/>
    <w:tmpl w:val="BD7E08AA"/>
    <w:lvl w:ilvl="0" w:tplc="D29AD6D0">
      <w:start w:val="1"/>
      <w:numFmt w:val="bullet"/>
      <w:lvlText w:val=""/>
      <w:lvlJc w:val="left"/>
      <w:pPr>
        <w:ind w:left="720" w:hanging="360"/>
      </w:pPr>
      <w:rPr>
        <w:rFonts w:ascii="Symbol" w:hAnsi="Symbol" w:hint="default"/>
      </w:rPr>
    </w:lvl>
    <w:lvl w:ilvl="1" w:tplc="A4280432">
      <w:start w:val="1"/>
      <w:numFmt w:val="bullet"/>
      <w:lvlText w:val="o"/>
      <w:lvlJc w:val="left"/>
      <w:pPr>
        <w:ind w:left="1440" w:hanging="360"/>
      </w:pPr>
      <w:rPr>
        <w:rFonts w:ascii="Courier New" w:hAnsi="Courier New" w:hint="default"/>
      </w:rPr>
    </w:lvl>
    <w:lvl w:ilvl="2" w:tplc="3AFA1B42">
      <w:start w:val="1"/>
      <w:numFmt w:val="bullet"/>
      <w:lvlText w:val=""/>
      <w:lvlJc w:val="left"/>
      <w:pPr>
        <w:ind w:left="2160" w:hanging="360"/>
      </w:pPr>
      <w:rPr>
        <w:rFonts w:ascii="Wingdings" w:hAnsi="Wingdings" w:hint="default"/>
      </w:rPr>
    </w:lvl>
    <w:lvl w:ilvl="3" w:tplc="07EAE302">
      <w:start w:val="1"/>
      <w:numFmt w:val="bullet"/>
      <w:lvlText w:val=""/>
      <w:lvlJc w:val="left"/>
      <w:pPr>
        <w:ind w:left="2880" w:hanging="360"/>
      </w:pPr>
      <w:rPr>
        <w:rFonts w:ascii="Symbol" w:hAnsi="Symbol" w:hint="default"/>
      </w:rPr>
    </w:lvl>
    <w:lvl w:ilvl="4" w:tplc="7E7A8B74">
      <w:start w:val="1"/>
      <w:numFmt w:val="bullet"/>
      <w:lvlText w:val="o"/>
      <w:lvlJc w:val="left"/>
      <w:pPr>
        <w:ind w:left="3600" w:hanging="360"/>
      </w:pPr>
      <w:rPr>
        <w:rFonts w:ascii="Courier New" w:hAnsi="Courier New" w:hint="default"/>
      </w:rPr>
    </w:lvl>
    <w:lvl w:ilvl="5" w:tplc="6AEA278E">
      <w:start w:val="1"/>
      <w:numFmt w:val="bullet"/>
      <w:lvlText w:val=""/>
      <w:lvlJc w:val="left"/>
      <w:pPr>
        <w:ind w:left="4320" w:hanging="360"/>
      </w:pPr>
      <w:rPr>
        <w:rFonts w:ascii="Wingdings" w:hAnsi="Wingdings" w:hint="default"/>
      </w:rPr>
    </w:lvl>
    <w:lvl w:ilvl="6" w:tplc="F1D2A794">
      <w:start w:val="1"/>
      <w:numFmt w:val="bullet"/>
      <w:lvlText w:val=""/>
      <w:lvlJc w:val="left"/>
      <w:pPr>
        <w:ind w:left="5040" w:hanging="360"/>
      </w:pPr>
      <w:rPr>
        <w:rFonts w:ascii="Symbol" w:hAnsi="Symbol" w:hint="default"/>
      </w:rPr>
    </w:lvl>
    <w:lvl w:ilvl="7" w:tplc="49522892">
      <w:start w:val="1"/>
      <w:numFmt w:val="bullet"/>
      <w:lvlText w:val="o"/>
      <w:lvlJc w:val="left"/>
      <w:pPr>
        <w:ind w:left="5760" w:hanging="360"/>
      </w:pPr>
      <w:rPr>
        <w:rFonts w:ascii="Courier New" w:hAnsi="Courier New" w:hint="default"/>
      </w:rPr>
    </w:lvl>
    <w:lvl w:ilvl="8" w:tplc="ABA8FBC4">
      <w:start w:val="1"/>
      <w:numFmt w:val="bullet"/>
      <w:lvlText w:val=""/>
      <w:lvlJc w:val="left"/>
      <w:pPr>
        <w:ind w:left="6480" w:hanging="360"/>
      </w:pPr>
      <w:rPr>
        <w:rFonts w:ascii="Wingdings" w:hAnsi="Wingdings" w:hint="default"/>
      </w:rPr>
    </w:lvl>
  </w:abstractNum>
  <w:abstractNum w:abstractNumId="103" w15:restartNumberingAfterBreak="0">
    <w:nsid w:val="629A09D6"/>
    <w:multiLevelType w:val="multilevel"/>
    <w:tmpl w:val="3076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2BE5B99"/>
    <w:multiLevelType w:val="hybridMultilevel"/>
    <w:tmpl w:val="D098D05C"/>
    <w:lvl w:ilvl="0" w:tplc="53566B38">
      <w:start w:val="1"/>
      <w:numFmt w:val="bullet"/>
      <w:pStyle w:val="Dotpointlis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51A653B"/>
    <w:multiLevelType w:val="hybridMultilevel"/>
    <w:tmpl w:val="DD32675E"/>
    <w:styleLink w:val="CurrentList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06" w15:restartNumberingAfterBreak="0">
    <w:nsid w:val="69425B30"/>
    <w:multiLevelType w:val="hybridMultilevel"/>
    <w:tmpl w:val="58485F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07" w15:restartNumberingAfterBreak="0">
    <w:nsid w:val="69B807C6"/>
    <w:multiLevelType w:val="multilevel"/>
    <w:tmpl w:val="F35A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CA835E8"/>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CCE5EDA"/>
    <w:multiLevelType w:val="multilevel"/>
    <w:tmpl w:val="4C34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F056126"/>
    <w:multiLevelType w:val="multilevel"/>
    <w:tmpl w:val="0A360980"/>
    <w:lvl w:ilvl="0">
      <w:start w:val="1"/>
      <w:numFmt w:val="decimal"/>
      <w:pStyle w:val="PartNoTLRI"/>
      <w:suff w:val="nothing"/>
      <w:lvlText w:val="Part %1"/>
      <w:lvlJc w:val="left"/>
      <w:pPr>
        <w:ind w:left="432" w:hanging="432"/>
      </w:pPr>
      <w:rPr>
        <w:rFonts w:ascii="Times New Roman" w:hAnsi="Times New Roman" w:hint="default"/>
        <w:b/>
        <w:i w:val="0"/>
        <w:sz w:val="32"/>
      </w:rPr>
    </w:lvl>
    <w:lvl w:ilvl="1">
      <w:start w:val="1"/>
      <w:numFmt w:val="decimal"/>
      <w:pStyle w:val="NumberedHeadingTLRI"/>
      <w:lvlText w:val="%1.%2"/>
      <w:lvlJc w:val="left"/>
      <w:pPr>
        <w:tabs>
          <w:tab w:val="num" w:pos="1571"/>
        </w:tabs>
        <w:ind w:left="720" w:hanging="72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11" w15:restartNumberingAfterBreak="0">
    <w:nsid w:val="6F8800CB"/>
    <w:multiLevelType w:val="multilevel"/>
    <w:tmpl w:val="233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28E7673"/>
    <w:multiLevelType w:val="hybridMultilevel"/>
    <w:tmpl w:val="E548B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737C2499"/>
    <w:multiLevelType w:val="hybridMultilevel"/>
    <w:tmpl w:val="C68462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3D87D37"/>
    <w:multiLevelType w:val="multilevel"/>
    <w:tmpl w:val="F032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47632B7"/>
    <w:multiLevelType w:val="multilevel"/>
    <w:tmpl w:val="B2F0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63D4C64"/>
    <w:multiLevelType w:val="hybridMultilevel"/>
    <w:tmpl w:val="4192FE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772E6914"/>
    <w:multiLevelType w:val="hybridMultilevel"/>
    <w:tmpl w:val="EA44D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7C92A60"/>
    <w:multiLevelType w:val="hybridMultilevel"/>
    <w:tmpl w:val="DB18A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78454D23"/>
    <w:multiLevelType w:val="hybridMultilevel"/>
    <w:tmpl w:val="10387A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8E8302E"/>
    <w:multiLevelType w:val="hybridMultilevel"/>
    <w:tmpl w:val="65BC6062"/>
    <w:lvl w:ilvl="0" w:tplc="D0AE59D2">
      <w:start w:val="1"/>
      <w:numFmt w:val="lowerLetter"/>
      <w:lvlText w:val="(%1)"/>
      <w:lvlJc w:val="left"/>
      <w:pPr>
        <w:ind w:left="1574" w:hanging="360"/>
      </w:pPr>
      <w:rPr>
        <w:rFonts w:hint="default"/>
      </w:rPr>
    </w:lvl>
    <w:lvl w:ilvl="1" w:tplc="0C090019" w:tentative="1">
      <w:start w:val="1"/>
      <w:numFmt w:val="lowerLetter"/>
      <w:lvlText w:val="%2."/>
      <w:lvlJc w:val="left"/>
      <w:pPr>
        <w:ind w:left="2294" w:hanging="360"/>
      </w:pPr>
    </w:lvl>
    <w:lvl w:ilvl="2" w:tplc="0C09001B" w:tentative="1">
      <w:start w:val="1"/>
      <w:numFmt w:val="lowerRoman"/>
      <w:lvlText w:val="%3."/>
      <w:lvlJc w:val="right"/>
      <w:pPr>
        <w:ind w:left="3014" w:hanging="180"/>
      </w:pPr>
    </w:lvl>
    <w:lvl w:ilvl="3" w:tplc="0C09000F" w:tentative="1">
      <w:start w:val="1"/>
      <w:numFmt w:val="decimal"/>
      <w:lvlText w:val="%4."/>
      <w:lvlJc w:val="left"/>
      <w:pPr>
        <w:ind w:left="3734" w:hanging="360"/>
      </w:pPr>
    </w:lvl>
    <w:lvl w:ilvl="4" w:tplc="0C090019" w:tentative="1">
      <w:start w:val="1"/>
      <w:numFmt w:val="lowerLetter"/>
      <w:lvlText w:val="%5."/>
      <w:lvlJc w:val="left"/>
      <w:pPr>
        <w:ind w:left="4454" w:hanging="360"/>
      </w:pPr>
    </w:lvl>
    <w:lvl w:ilvl="5" w:tplc="0C09001B" w:tentative="1">
      <w:start w:val="1"/>
      <w:numFmt w:val="lowerRoman"/>
      <w:lvlText w:val="%6."/>
      <w:lvlJc w:val="right"/>
      <w:pPr>
        <w:ind w:left="5174" w:hanging="180"/>
      </w:pPr>
    </w:lvl>
    <w:lvl w:ilvl="6" w:tplc="0C09000F" w:tentative="1">
      <w:start w:val="1"/>
      <w:numFmt w:val="decimal"/>
      <w:lvlText w:val="%7."/>
      <w:lvlJc w:val="left"/>
      <w:pPr>
        <w:ind w:left="5894" w:hanging="360"/>
      </w:pPr>
    </w:lvl>
    <w:lvl w:ilvl="7" w:tplc="0C090019" w:tentative="1">
      <w:start w:val="1"/>
      <w:numFmt w:val="lowerLetter"/>
      <w:lvlText w:val="%8."/>
      <w:lvlJc w:val="left"/>
      <w:pPr>
        <w:ind w:left="6614" w:hanging="360"/>
      </w:pPr>
    </w:lvl>
    <w:lvl w:ilvl="8" w:tplc="0C09001B" w:tentative="1">
      <w:start w:val="1"/>
      <w:numFmt w:val="lowerRoman"/>
      <w:lvlText w:val="%9."/>
      <w:lvlJc w:val="right"/>
      <w:pPr>
        <w:ind w:left="7334" w:hanging="180"/>
      </w:pPr>
    </w:lvl>
  </w:abstractNum>
  <w:abstractNum w:abstractNumId="121" w15:restartNumberingAfterBreak="0">
    <w:nsid w:val="78EB2753"/>
    <w:multiLevelType w:val="hybridMultilevel"/>
    <w:tmpl w:val="AB123E24"/>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2" w15:restartNumberingAfterBreak="0">
    <w:nsid w:val="7A531EB2"/>
    <w:multiLevelType w:val="hybridMultilevel"/>
    <w:tmpl w:val="BA2CBBB4"/>
    <w:lvl w:ilvl="0" w:tplc="B3FAF602">
      <w:start w:val="1"/>
      <w:numFmt w:val="lowerLetter"/>
      <w:pStyle w:val="Letterednormalplaintext"/>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7C2DF588"/>
    <w:multiLevelType w:val="hybridMultilevel"/>
    <w:tmpl w:val="A498E0DA"/>
    <w:lvl w:ilvl="0" w:tplc="BF409B86">
      <w:start w:val="1"/>
      <w:numFmt w:val="bullet"/>
      <w:lvlText w:val=""/>
      <w:lvlJc w:val="left"/>
      <w:pPr>
        <w:ind w:left="720" w:hanging="360"/>
      </w:pPr>
      <w:rPr>
        <w:rFonts w:ascii="Symbol" w:hAnsi="Symbol" w:hint="default"/>
      </w:rPr>
    </w:lvl>
    <w:lvl w:ilvl="1" w:tplc="13063794">
      <w:start w:val="1"/>
      <w:numFmt w:val="bullet"/>
      <w:lvlText w:val="o"/>
      <w:lvlJc w:val="left"/>
      <w:pPr>
        <w:ind w:left="1440" w:hanging="360"/>
      </w:pPr>
      <w:rPr>
        <w:rFonts w:ascii="Courier New" w:hAnsi="Courier New" w:hint="default"/>
      </w:rPr>
    </w:lvl>
    <w:lvl w:ilvl="2" w:tplc="78F4A8A4">
      <w:start w:val="1"/>
      <w:numFmt w:val="bullet"/>
      <w:lvlText w:val=""/>
      <w:lvlJc w:val="left"/>
      <w:pPr>
        <w:ind w:left="2160" w:hanging="360"/>
      </w:pPr>
      <w:rPr>
        <w:rFonts w:ascii="Wingdings" w:hAnsi="Wingdings" w:hint="default"/>
      </w:rPr>
    </w:lvl>
    <w:lvl w:ilvl="3" w:tplc="2FD0B276">
      <w:start w:val="1"/>
      <w:numFmt w:val="bullet"/>
      <w:lvlText w:val=""/>
      <w:lvlJc w:val="left"/>
      <w:pPr>
        <w:ind w:left="2880" w:hanging="360"/>
      </w:pPr>
      <w:rPr>
        <w:rFonts w:ascii="Symbol" w:hAnsi="Symbol" w:hint="default"/>
      </w:rPr>
    </w:lvl>
    <w:lvl w:ilvl="4" w:tplc="CEA62A58">
      <w:start w:val="1"/>
      <w:numFmt w:val="bullet"/>
      <w:lvlText w:val="o"/>
      <w:lvlJc w:val="left"/>
      <w:pPr>
        <w:ind w:left="3600" w:hanging="360"/>
      </w:pPr>
      <w:rPr>
        <w:rFonts w:ascii="Courier New" w:hAnsi="Courier New" w:hint="default"/>
      </w:rPr>
    </w:lvl>
    <w:lvl w:ilvl="5" w:tplc="CEF053A8">
      <w:start w:val="1"/>
      <w:numFmt w:val="bullet"/>
      <w:lvlText w:val=""/>
      <w:lvlJc w:val="left"/>
      <w:pPr>
        <w:ind w:left="4320" w:hanging="360"/>
      </w:pPr>
      <w:rPr>
        <w:rFonts w:ascii="Wingdings" w:hAnsi="Wingdings" w:hint="default"/>
      </w:rPr>
    </w:lvl>
    <w:lvl w:ilvl="6" w:tplc="B868F136">
      <w:start w:val="1"/>
      <w:numFmt w:val="bullet"/>
      <w:lvlText w:val=""/>
      <w:lvlJc w:val="left"/>
      <w:pPr>
        <w:ind w:left="5040" w:hanging="360"/>
      </w:pPr>
      <w:rPr>
        <w:rFonts w:ascii="Symbol" w:hAnsi="Symbol" w:hint="default"/>
      </w:rPr>
    </w:lvl>
    <w:lvl w:ilvl="7" w:tplc="35161D7E">
      <w:start w:val="1"/>
      <w:numFmt w:val="bullet"/>
      <w:lvlText w:val="o"/>
      <w:lvlJc w:val="left"/>
      <w:pPr>
        <w:ind w:left="5760" w:hanging="360"/>
      </w:pPr>
      <w:rPr>
        <w:rFonts w:ascii="Courier New" w:hAnsi="Courier New" w:hint="default"/>
      </w:rPr>
    </w:lvl>
    <w:lvl w:ilvl="8" w:tplc="A9DA8CCC">
      <w:start w:val="1"/>
      <w:numFmt w:val="bullet"/>
      <w:lvlText w:val=""/>
      <w:lvlJc w:val="left"/>
      <w:pPr>
        <w:ind w:left="6480" w:hanging="360"/>
      </w:pPr>
      <w:rPr>
        <w:rFonts w:ascii="Wingdings" w:hAnsi="Wingdings" w:hint="default"/>
      </w:rPr>
    </w:lvl>
  </w:abstractNum>
  <w:abstractNum w:abstractNumId="124" w15:restartNumberingAfterBreak="0">
    <w:nsid w:val="7C854930"/>
    <w:multiLevelType w:val="hybridMultilevel"/>
    <w:tmpl w:val="FB12AD66"/>
    <w:lvl w:ilvl="0" w:tplc="64580ECE">
      <w:start w:val="1"/>
      <w:numFmt w:val="decimal"/>
      <w:pStyle w:val="Numberedinplaintext"/>
      <w:lvlText w:val="(%1)"/>
      <w:lvlJc w:val="lef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D1314BA"/>
    <w:multiLevelType w:val="hybridMultilevel"/>
    <w:tmpl w:val="10387A9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7D2010C7"/>
    <w:multiLevelType w:val="hybridMultilevel"/>
    <w:tmpl w:val="9A261F24"/>
    <w:lvl w:ilvl="0" w:tplc="AFCA6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7E3F02F8"/>
    <w:multiLevelType w:val="multilevel"/>
    <w:tmpl w:val="1F463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5443494">
    <w:abstractNumId w:val="49"/>
  </w:num>
  <w:num w:numId="2" w16cid:durableId="309100369">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3" w16cid:durableId="1328558765">
    <w:abstractNumId w:val="101"/>
  </w:num>
  <w:num w:numId="4" w16cid:durableId="1526940166">
    <w:abstractNumId w:val="47"/>
  </w:num>
  <w:num w:numId="5" w16cid:durableId="282200839">
    <w:abstractNumId w:val="110"/>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6" w16cid:durableId="129055523">
    <w:abstractNumId w:val="110"/>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7" w16cid:durableId="1045103920">
    <w:abstractNumId w:val="110"/>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8" w16cid:durableId="2077701142">
    <w:abstractNumId w:val="110"/>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9" w16cid:durableId="1058435909">
    <w:abstractNumId w:val="121"/>
  </w:num>
  <w:num w:numId="10" w16cid:durableId="511652781">
    <w:abstractNumId w:val="110"/>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1" w16cid:durableId="1325930804">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 w16cid:durableId="122121206">
    <w:abstractNumId w:val="33"/>
  </w:num>
  <w:num w:numId="13" w16cid:durableId="466241648">
    <w:abstractNumId w:val="73"/>
  </w:num>
  <w:num w:numId="14" w16cid:durableId="847717845">
    <w:abstractNumId w:val="110"/>
    <w:lvlOverride w:ilvl="0">
      <w:startOverride w:val="1"/>
      <w:lvl w:ilvl="0">
        <w:start w:val="1"/>
        <w:numFmt w:val="decimal"/>
        <w:pStyle w:val="PartNoTLRI"/>
        <w:suff w:val="nothing"/>
        <w:lvlText w:val="Part %1"/>
        <w:lvlJc w:val="left"/>
        <w:pPr>
          <w:ind w:left="432" w:hanging="432"/>
        </w:p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15" w16cid:durableId="1083143758">
    <w:abstractNumId w:val="110"/>
    <w:lvlOverride w:ilvl="0">
      <w:startOverride w:val="1"/>
      <w:lvl w:ilvl="0">
        <w:start w:val="1"/>
        <w:numFmt w:val="decimal"/>
        <w:pStyle w:val="PartNoTLRI"/>
        <w:suff w:val="nothing"/>
        <w:lvlText w:val="Part %1"/>
        <w:lvlJc w:val="left"/>
        <w:pPr>
          <w:ind w:left="432" w:hanging="432"/>
        </w:p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16" w16cid:durableId="1333987683">
    <w:abstractNumId w:val="81"/>
  </w:num>
  <w:num w:numId="17" w16cid:durableId="1831797475">
    <w:abstractNumId w:val="116"/>
  </w:num>
  <w:num w:numId="18" w16cid:durableId="205873865">
    <w:abstractNumId w:val="118"/>
  </w:num>
  <w:num w:numId="19" w16cid:durableId="1601378115">
    <w:abstractNumId w:val="32"/>
  </w:num>
  <w:num w:numId="20" w16cid:durableId="630787715">
    <w:abstractNumId w:val="110"/>
    <w:lvlOverride w:ilvl="0">
      <w:startOverride w:val="1"/>
      <w:lvl w:ilvl="0">
        <w:start w:val="1"/>
        <w:numFmt w:val="decimal"/>
        <w:pStyle w:val="PartNoTLRI"/>
        <w:suff w:val="nothing"/>
        <w:lvlText w:val="Part %1"/>
        <w:lvlJc w:val="left"/>
        <w:pPr>
          <w:ind w:left="432" w:hanging="432"/>
        </w:p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21" w16cid:durableId="272327702">
    <w:abstractNumId w:val="95"/>
  </w:num>
  <w:num w:numId="22" w16cid:durableId="598177595">
    <w:abstractNumId w:val="110"/>
    <w:lvlOverride w:ilvl="0">
      <w:startOverride w:val="1"/>
      <w:lvl w:ilvl="0">
        <w:start w:val="1"/>
        <w:numFmt w:val="decimal"/>
        <w:pStyle w:val="PartNoTLRI"/>
        <w:suff w:val="nothing"/>
        <w:lvlText w:val="Part %1"/>
        <w:lvlJc w:val="left"/>
        <w:pPr>
          <w:ind w:left="432" w:hanging="432"/>
        </w:p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720"/>
          </w:tabs>
          <w:ind w:left="0" w:firstLine="0"/>
        </w:p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23" w16cid:durableId="1675111243">
    <w:abstractNumId w:val="37"/>
  </w:num>
  <w:num w:numId="24" w16cid:durableId="1441097765">
    <w:abstractNumId w:val="23"/>
  </w:num>
  <w:num w:numId="25" w16cid:durableId="831794706">
    <w:abstractNumId w:val="82"/>
  </w:num>
  <w:num w:numId="26" w16cid:durableId="1016151747">
    <w:abstractNumId w:val="34"/>
  </w:num>
  <w:num w:numId="27" w16cid:durableId="2083483795">
    <w:abstractNumId w:val="127"/>
    <w:lvlOverride w:ilvl="0">
      <w:lvl w:ilvl="0">
        <w:numFmt w:val="lowerLetter"/>
        <w:lvlText w:val="%1."/>
        <w:lvlJc w:val="left"/>
      </w:lvl>
    </w:lvlOverride>
  </w:num>
  <w:num w:numId="28" w16cid:durableId="1973636871">
    <w:abstractNumId w:val="127"/>
    <w:lvlOverride w:ilvl="0">
      <w:lvl w:ilvl="0">
        <w:numFmt w:val="lowerLetter"/>
        <w:lvlText w:val="%1."/>
        <w:lvlJc w:val="left"/>
      </w:lvl>
    </w:lvlOverride>
  </w:num>
  <w:num w:numId="29" w16cid:durableId="1603295248">
    <w:abstractNumId w:val="127"/>
    <w:lvlOverride w:ilvl="0">
      <w:lvl w:ilvl="0">
        <w:numFmt w:val="lowerLetter"/>
        <w:lvlText w:val="%1."/>
        <w:lvlJc w:val="left"/>
      </w:lvl>
    </w:lvlOverride>
  </w:num>
  <w:num w:numId="30" w16cid:durableId="1077508566">
    <w:abstractNumId w:val="110"/>
    <w:lvlOverride w:ilvl="0">
      <w:startOverride w:val="1"/>
      <w:lvl w:ilvl="0">
        <w:start w:val="1"/>
        <w:numFmt w:val="decimal"/>
        <w:pStyle w:val="PartNoTLRI"/>
        <w:suff w:val="nothing"/>
        <w:lvlText w:val="Part %1"/>
        <w:lvlJc w:val="left"/>
        <w:pPr>
          <w:ind w:left="432" w:hanging="432"/>
        </w:p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862"/>
          </w:tabs>
          <w:ind w:left="142"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31" w16cid:durableId="586354377">
    <w:abstractNumId w:val="110"/>
  </w:num>
  <w:num w:numId="32" w16cid:durableId="995497522">
    <w:abstractNumId w:val="50"/>
  </w:num>
  <w:num w:numId="33" w16cid:durableId="1693416640">
    <w:abstractNumId w:val="66"/>
  </w:num>
  <w:num w:numId="34" w16cid:durableId="1766144443">
    <w:abstractNumId w:val="94"/>
  </w:num>
  <w:num w:numId="35" w16cid:durableId="1091896958">
    <w:abstractNumId w:val="43"/>
  </w:num>
  <w:num w:numId="36" w16cid:durableId="1021779204">
    <w:abstractNumId w:val="115"/>
  </w:num>
  <w:num w:numId="37" w16cid:durableId="875508046">
    <w:abstractNumId w:val="40"/>
  </w:num>
  <w:num w:numId="38" w16cid:durableId="1184636541">
    <w:abstractNumId w:val="61"/>
  </w:num>
  <w:num w:numId="39" w16cid:durableId="1780828886">
    <w:abstractNumId w:val="90"/>
  </w:num>
  <w:num w:numId="40" w16cid:durableId="792796920">
    <w:abstractNumId w:val="60"/>
  </w:num>
  <w:num w:numId="41" w16cid:durableId="649090916">
    <w:abstractNumId w:val="100"/>
  </w:num>
  <w:num w:numId="42" w16cid:durableId="395975520">
    <w:abstractNumId w:val="5"/>
  </w:num>
  <w:num w:numId="43" w16cid:durableId="418216622">
    <w:abstractNumId w:val="107"/>
  </w:num>
  <w:num w:numId="44" w16cid:durableId="1116293521">
    <w:abstractNumId w:val="77"/>
  </w:num>
  <w:num w:numId="45" w16cid:durableId="312639426">
    <w:abstractNumId w:val="65"/>
  </w:num>
  <w:num w:numId="46" w16cid:durableId="1091510092">
    <w:abstractNumId w:val="7"/>
  </w:num>
  <w:num w:numId="47" w16cid:durableId="123620358">
    <w:abstractNumId w:val="103"/>
  </w:num>
  <w:num w:numId="48" w16cid:durableId="117578532">
    <w:abstractNumId w:val="56"/>
  </w:num>
  <w:num w:numId="49" w16cid:durableId="748622309">
    <w:abstractNumId w:val="109"/>
  </w:num>
  <w:num w:numId="50" w16cid:durableId="1212107704">
    <w:abstractNumId w:val="51"/>
  </w:num>
  <w:num w:numId="51" w16cid:durableId="321012732">
    <w:abstractNumId w:val="21"/>
  </w:num>
  <w:num w:numId="52" w16cid:durableId="527840095">
    <w:abstractNumId w:val="111"/>
  </w:num>
  <w:num w:numId="53" w16cid:durableId="955210594">
    <w:abstractNumId w:val="114"/>
  </w:num>
  <w:num w:numId="54" w16cid:durableId="425425742">
    <w:abstractNumId w:val="46"/>
  </w:num>
  <w:num w:numId="55" w16cid:durableId="1277561029">
    <w:abstractNumId w:val="76"/>
  </w:num>
  <w:num w:numId="56" w16cid:durableId="563100294">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57" w16cid:durableId="208977021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58" w16cid:durableId="726562724">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59" w16cid:durableId="91720658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60" w16cid:durableId="468403389">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61" w16cid:durableId="150767493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lvl>
    </w:lvlOverride>
    <w:lvlOverride w:ilvl="2">
      <w:lvl w:ilvl="2">
        <w:start w:val="1"/>
        <w:numFmt w:val="decimal"/>
        <w:pStyle w:val="NormalNumberedTextTLRI"/>
        <w:lvlText w:val="%1.%2.%3"/>
        <w:lvlJc w:val="left"/>
        <w:pPr>
          <w:tabs>
            <w:tab w:val="num" w:pos="720"/>
          </w:tabs>
          <w:ind w:left="0" w:firstLine="0"/>
        </w:p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62" w16cid:durableId="207238422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63" w16cid:durableId="110436373">
    <w:abstractNumId w:val="17"/>
  </w:num>
  <w:num w:numId="64" w16cid:durableId="778336744">
    <w:abstractNumId w:val="22"/>
  </w:num>
  <w:num w:numId="65" w16cid:durableId="1860003322">
    <w:abstractNumId w:val="80"/>
  </w:num>
  <w:num w:numId="66" w16cid:durableId="1249577628">
    <w:abstractNumId w:val="123"/>
  </w:num>
  <w:num w:numId="67" w16cid:durableId="844049109">
    <w:abstractNumId w:val="36"/>
  </w:num>
  <w:num w:numId="68" w16cid:durableId="1638142718">
    <w:abstractNumId w:val="26"/>
  </w:num>
  <w:num w:numId="69" w16cid:durableId="1263995378">
    <w:abstractNumId w:val="89"/>
  </w:num>
  <w:num w:numId="70" w16cid:durableId="849489441">
    <w:abstractNumId w:val="68"/>
  </w:num>
  <w:num w:numId="71" w16cid:durableId="315497788">
    <w:abstractNumId w:val="52"/>
  </w:num>
  <w:num w:numId="72" w16cid:durableId="75639560">
    <w:abstractNumId w:val="102"/>
  </w:num>
  <w:num w:numId="73" w16cid:durableId="1124733093">
    <w:abstractNumId w:val="58"/>
  </w:num>
  <w:num w:numId="74" w16cid:durableId="10083681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41652343">
    <w:abstractNumId w:val="104"/>
  </w:num>
  <w:num w:numId="76" w16cid:durableId="252782390">
    <w:abstractNumId w:val="78"/>
  </w:num>
  <w:num w:numId="77" w16cid:durableId="1581796202">
    <w:abstractNumId w:val="71"/>
  </w:num>
  <w:num w:numId="78" w16cid:durableId="930816455">
    <w:abstractNumId w:val="75"/>
  </w:num>
  <w:num w:numId="79" w16cid:durableId="446313069">
    <w:abstractNumId w:val="75"/>
    <w:lvlOverride w:ilvl="0">
      <w:startOverride w:val="1"/>
    </w:lvlOverride>
  </w:num>
  <w:num w:numId="80" w16cid:durableId="1487168717">
    <w:abstractNumId w:val="15"/>
  </w:num>
  <w:num w:numId="81" w16cid:durableId="1309892963">
    <w:abstractNumId w:val="10"/>
  </w:num>
  <w:num w:numId="82" w16cid:durableId="641888218">
    <w:abstractNumId w:val="12"/>
  </w:num>
  <w:num w:numId="83" w16cid:durableId="169377162">
    <w:abstractNumId w:val="72"/>
  </w:num>
  <w:num w:numId="84" w16cid:durableId="1879583955">
    <w:abstractNumId w:val="105"/>
  </w:num>
  <w:num w:numId="85" w16cid:durableId="484704725">
    <w:abstractNumId w:val="6"/>
  </w:num>
  <w:num w:numId="86" w16cid:durableId="1735663733">
    <w:abstractNumId w:val="84"/>
  </w:num>
  <w:num w:numId="87" w16cid:durableId="1732582104">
    <w:abstractNumId w:val="29"/>
  </w:num>
  <w:num w:numId="88" w16cid:durableId="338889827">
    <w:abstractNumId w:val="86"/>
  </w:num>
  <w:num w:numId="89" w16cid:durableId="1582521087">
    <w:abstractNumId w:val="24"/>
  </w:num>
  <w:num w:numId="90" w16cid:durableId="928852933">
    <w:abstractNumId w:val="39"/>
  </w:num>
  <w:num w:numId="91" w16cid:durableId="1687713497">
    <w:abstractNumId w:val="45"/>
  </w:num>
  <w:num w:numId="92" w16cid:durableId="1565601480">
    <w:abstractNumId w:val="0"/>
  </w:num>
  <w:num w:numId="93" w16cid:durableId="311448822">
    <w:abstractNumId w:val="35"/>
  </w:num>
  <w:num w:numId="94" w16cid:durableId="663044906">
    <w:abstractNumId w:val="75"/>
    <w:lvlOverride w:ilvl="0">
      <w:startOverride w:val="1"/>
    </w:lvlOverride>
  </w:num>
  <w:num w:numId="95" w16cid:durableId="1921593926">
    <w:abstractNumId w:val="126"/>
  </w:num>
  <w:num w:numId="96" w16cid:durableId="137379639">
    <w:abstractNumId w:val="2"/>
  </w:num>
  <w:num w:numId="97" w16cid:durableId="1057782544">
    <w:abstractNumId w:val="120"/>
  </w:num>
  <w:num w:numId="98" w16cid:durableId="284389490">
    <w:abstractNumId w:val="91"/>
  </w:num>
  <w:num w:numId="99" w16cid:durableId="66660287">
    <w:abstractNumId w:val="14"/>
  </w:num>
  <w:num w:numId="100" w16cid:durableId="1377311299">
    <w:abstractNumId w:val="87"/>
  </w:num>
  <w:num w:numId="101" w16cid:durableId="122650561">
    <w:abstractNumId w:val="79"/>
  </w:num>
  <w:num w:numId="102" w16cid:durableId="1517693943">
    <w:abstractNumId w:val="96"/>
  </w:num>
  <w:num w:numId="103" w16cid:durableId="1910265177">
    <w:abstractNumId w:val="117"/>
  </w:num>
  <w:num w:numId="104" w16cid:durableId="2071148982">
    <w:abstractNumId w:val="59"/>
  </w:num>
  <w:num w:numId="105" w16cid:durableId="109324617">
    <w:abstractNumId w:val="9"/>
  </w:num>
  <w:num w:numId="106" w16cid:durableId="623852665">
    <w:abstractNumId w:val="30"/>
  </w:num>
  <w:num w:numId="107" w16cid:durableId="774057142">
    <w:abstractNumId w:val="18"/>
  </w:num>
  <w:num w:numId="108" w16cid:durableId="493952577">
    <w:abstractNumId w:val="70"/>
  </w:num>
  <w:num w:numId="109" w16cid:durableId="1034768522">
    <w:abstractNumId w:val="110"/>
    <w:lvlOverride w:ilvl="0">
      <w:lvl w:ilvl="0">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decimal"/>
        <w:lvlText w:val=""/>
        <w:lvlJc w:val="left"/>
        <w:pPr>
          <w:tabs>
            <w:tab w:val="num" w:pos="1211"/>
          </w:tabs>
          <w:ind w:left="851" w:firstLine="0"/>
        </w:pPr>
        <w:rPr>
          <w:rFonts w:hint="default"/>
        </w:rPr>
      </w:lvl>
    </w:lvlOverride>
    <w:lvlOverride w:ilvl="4">
      <w:lvl w:ilvl="4">
        <w:numFmt w:val="decimal"/>
        <w:lvlText w:val=""/>
        <w:lvlJc w:val="left"/>
        <w:pPr>
          <w:tabs>
            <w:tab w:val="num" w:pos="1008"/>
          </w:tabs>
          <w:ind w:left="1008" w:hanging="1008"/>
        </w:pPr>
        <w:rPr>
          <w:rFonts w:ascii="Times New Roman" w:hAnsi="Times New Roman" w:hint="default"/>
          <w:b/>
          <w:i w:val="0"/>
          <w:sz w:val="52"/>
        </w:rPr>
      </w:lvl>
    </w:lvlOverride>
    <w:lvlOverride w:ilvl="5">
      <w:lvl w:ilvl="5">
        <w:numFmt w:val="decimal"/>
        <w:lvlRestart w:val="1"/>
        <w:lvlText w:val=""/>
        <w:lvlJc w:val="left"/>
        <w:pPr>
          <w:tabs>
            <w:tab w:val="num" w:pos="1152"/>
          </w:tabs>
          <w:ind w:left="1152" w:hanging="1152"/>
        </w:pPr>
        <w:rPr>
          <w:rFonts w:hint="default"/>
        </w:rPr>
      </w:lvl>
    </w:lvlOverride>
    <w:lvlOverride w:ilvl="6">
      <w:lvl w:ilvl="6">
        <w:numFmt w:val="decimal"/>
        <w:lvlText w:val=""/>
        <w:lvlJc w:val="left"/>
        <w:pPr>
          <w:tabs>
            <w:tab w:val="num" w:pos="1296"/>
          </w:tabs>
          <w:ind w:left="1296" w:hanging="1296"/>
        </w:pPr>
        <w:rPr>
          <w:rFonts w:hint="default"/>
        </w:rPr>
      </w:lvl>
    </w:lvlOverride>
    <w:lvlOverride w:ilvl="7">
      <w:lvl w:ilvl="7">
        <w:numFmt w:val="decimal"/>
        <w:lvlText w:val=""/>
        <w:lvlJc w:val="left"/>
        <w:pPr>
          <w:tabs>
            <w:tab w:val="num" w:pos="1440"/>
          </w:tabs>
          <w:ind w:left="1440" w:hanging="1440"/>
        </w:pPr>
        <w:rPr>
          <w:rFonts w:hint="default"/>
        </w:rPr>
      </w:lvl>
    </w:lvlOverride>
    <w:lvlOverride w:ilvl="8">
      <w:lvl w:ilvl="8">
        <w:numFmt w:val="decimal"/>
        <w:lvlText w:val=""/>
        <w:lvlJc w:val="left"/>
        <w:pPr>
          <w:tabs>
            <w:tab w:val="num" w:pos="1584"/>
          </w:tabs>
          <w:ind w:left="1584" w:hanging="1584"/>
        </w:pPr>
        <w:rPr>
          <w:rFonts w:hint="default"/>
        </w:rPr>
      </w:lvl>
    </w:lvlOverride>
  </w:num>
  <w:num w:numId="110" w16cid:durableId="2123114242">
    <w:abstractNumId w:val="110"/>
    <w:lvlOverride w:ilvl="0">
      <w:lvl w:ilvl="0">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decimal"/>
        <w:lvlText w:val=""/>
        <w:lvlJc w:val="left"/>
        <w:pPr>
          <w:tabs>
            <w:tab w:val="num" w:pos="1211"/>
          </w:tabs>
          <w:ind w:left="851" w:firstLine="0"/>
        </w:pPr>
        <w:rPr>
          <w:rFonts w:hint="default"/>
        </w:rPr>
      </w:lvl>
    </w:lvlOverride>
    <w:lvlOverride w:ilvl="4">
      <w:lvl w:ilvl="4">
        <w:numFmt w:val="decimal"/>
        <w:lvlText w:val=""/>
        <w:lvlJc w:val="left"/>
        <w:pPr>
          <w:tabs>
            <w:tab w:val="num" w:pos="1008"/>
          </w:tabs>
          <w:ind w:left="1008" w:hanging="1008"/>
        </w:pPr>
        <w:rPr>
          <w:rFonts w:ascii="Times New Roman" w:hAnsi="Times New Roman" w:hint="default"/>
          <w:b/>
          <w:i w:val="0"/>
          <w:sz w:val="52"/>
        </w:rPr>
      </w:lvl>
    </w:lvlOverride>
    <w:lvlOverride w:ilvl="5">
      <w:lvl w:ilvl="5">
        <w:numFmt w:val="decimal"/>
        <w:lvlRestart w:val="1"/>
        <w:lvlText w:val=""/>
        <w:lvlJc w:val="left"/>
        <w:pPr>
          <w:tabs>
            <w:tab w:val="num" w:pos="1152"/>
          </w:tabs>
          <w:ind w:left="1152" w:hanging="1152"/>
        </w:pPr>
        <w:rPr>
          <w:rFonts w:hint="default"/>
        </w:rPr>
      </w:lvl>
    </w:lvlOverride>
    <w:lvlOverride w:ilvl="6">
      <w:lvl w:ilvl="6">
        <w:numFmt w:val="decimal"/>
        <w:lvlText w:val=""/>
        <w:lvlJc w:val="left"/>
        <w:pPr>
          <w:tabs>
            <w:tab w:val="num" w:pos="1296"/>
          </w:tabs>
          <w:ind w:left="1296" w:hanging="1296"/>
        </w:pPr>
        <w:rPr>
          <w:rFonts w:hint="default"/>
        </w:rPr>
      </w:lvl>
    </w:lvlOverride>
    <w:lvlOverride w:ilvl="7">
      <w:lvl w:ilvl="7">
        <w:numFmt w:val="decimal"/>
        <w:lvlText w:val=""/>
        <w:lvlJc w:val="left"/>
        <w:pPr>
          <w:tabs>
            <w:tab w:val="num" w:pos="1440"/>
          </w:tabs>
          <w:ind w:left="1440" w:hanging="1440"/>
        </w:pPr>
        <w:rPr>
          <w:rFonts w:hint="default"/>
        </w:rPr>
      </w:lvl>
    </w:lvlOverride>
    <w:lvlOverride w:ilvl="8">
      <w:lvl w:ilvl="8">
        <w:numFmt w:val="decimal"/>
        <w:lvlText w:val=""/>
        <w:lvlJc w:val="left"/>
        <w:pPr>
          <w:tabs>
            <w:tab w:val="num" w:pos="1584"/>
          </w:tabs>
          <w:ind w:left="1584" w:hanging="1584"/>
        </w:pPr>
        <w:rPr>
          <w:rFonts w:hint="default"/>
        </w:rPr>
      </w:lvl>
    </w:lvlOverride>
  </w:num>
  <w:num w:numId="111" w16cid:durableId="52506135">
    <w:abstractNumId w:val="83"/>
  </w:num>
  <w:num w:numId="112" w16cid:durableId="1338387958">
    <w:abstractNumId w:val="97"/>
  </w:num>
  <w:num w:numId="113" w16cid:durableId="515191829">
    <w:abstractNumId w:val="110"/>
    <w:lvlOverride w:ilvl="0">
      <w:lvl w:ilvl="0">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decimal"/>
        <w:lvlText w:val=""/>
        <w:lvlJc w:val="left"/>
        <w:pPr>
          <w:tabs>
            <w:tab w:val="num" w:pos="1211"/>
          </w:tabs>
          <w:ind w:left="851" w:firstLine="0"/>
        </w:pPr>
        <w:rPr>
          <w:rFonts w:hint="default"/>
        </w:rPr>
      </w:lvl>
    </w:lvlOverride>
    <w:lvlOverride w:ilvl="4">
      <w:lvl w:ilvl="4">
        <w:numFmt w:val="decimal"/>
        <w:lvlText w:val=""/>
        <w:lvlJc w:val="left"/>
        <w:pPr>
          <w:tabs>
            <w:tab w:val="num" w:pos="1008"/>
          </w:tabs>
          <w:ind w:left="1008" w:hanging="1008"/>
        </w:pPr>
        <w:rPr>
          <w:rFonts w:ascii="Times New Roman" w:hAnsi="Times New Roman" w:hint="default"/>
          <w:b/>
          <w:i w:val="0"/>
          <w:sz w:val="52"/>
        </w:rPr>
      </w:lvl>
    </w:lvlOverride>
    <w:lvlOverride w:ilvl="5">
      <w:lvl w:ilvl="5">
        <w:numFmt w:val="decimal"/>
        <w:lvlRestart w:val="1"/>
        <w:lvlText w:val=""/>
        <w:lvlJc w:val="left"/>
        <w:pPr>
          <w:tabs>
            <w:tab w:val="num" w:pos="1152"/>
          </w:tabs>
          <w:ind w:left="1152" w:hanging="1152"/>
        </w:pPr>
        <w:rPr>
          <w:rFonts w:hint="default"/>
        </w:rPr>
      </w:lvl>
    </w:lvlOverride>
    <w:lvlOverride w:ilvl="6">
      <w:lvl w:ilvl="6">
        <w:numFmt w:val="decimal"/>
        <w:lvlText w:val=""/>
        <w:lvlJc w:val="left"/>
        <w:pPr>
          <w:tabs>
            <w:tab w:val="num" w:pos="1296"/>
          </w:tabs>
          <w:ind w:left="1296" w:hanging="1296"/>
        </w:pPr>
        <w:rPr>
          <w:rFonts w:hint="default"/>
        </w:rPr>
      </w:lvl>
    </w:lvlOverride>
    <w:lvlOverride w:ilvl="7">
      <w:lvl w:ilvl="7">
        <w:numFmt w:val="decimal"/>
        <w:lvlText w:val=""/>
        <w:lvlJc w:val="left"/>
        <w:pPr>
          <w:tabs>
            <w:tab w:val="num" w:pos="1440"/>
          </w:tabs>
          <w:ind w:left="1440" w:hanging="1440"/>
        </w:pPr>
        <w:rPr>
          <w:rFonts w:hint="default"/>
        </w:rPr>
      </w:lvl>
    </w:lvlOverride>
    <w:lvlOverride w:ilvl="8">
      <w:lvl w:ilvl="8">
        <w:numFmt w:val="decimal"/>
        <w:lvlText w:val=""/>
        <w:lvlJc w:val="left"/>
        <w:pPr>
          <w:tabs>
            <w:tab w:val="num" w:pos="1584"/>
          </w:tabs>
          <w:ind w:left="1584" w:hanging="1584"/>
        </w:pPr>
        <w:rPr>
          <w:rFonts w:hint="default"/>
        </w:rPr>
      </w:lvl>
    </w:lvlOverride>
  </w:num>
  <w:num w:numId="114" w16cid:durableId="1157263077">
    <w:abstractNumId w:val="110"/>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decimal"/>
        <w:lvlText w:val=""/>
        <w:lvlJc w:val="left"/>
        <w:pPr>
          <w:tabs>
            <w:tab w:val="num" w:pos="1211"/>
          </w:tabs>
          <w:ind w:left="851" w:firstLine="0"/>
        </w:pPr>
        <w:rPr>
          <w:rFonts w:hint="default"/>
        </w:rPr>
      </w:lvl>
    </w:lvlOverride>
    <w:lvlOverride w:ilvl="4">
      <w:startOverride w:val="1"/>
      <w:lvl w:ilvl="4">
        <w:start w:val="1"/>
        <w:numFmt w:val="decimal"/>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decimal"/>
        <w:lvlRestart w:val="1"/>
        <w:lvlText w:val=""/>
        <w:lvlJc w:val="left"/>
        <w:pPr>
          <w:tabs>
            <w:tab w:val="num" w:pos="1152"/>
          </w:tabs>
          <w:ind w:left="1152" w:hanging="1152"/>
        </w:pPr>
        <w:rPr>
          <w:rFonts w:hint="default"/>
        </w:rPr>
      </w:lvl>
    </w:lvlOverride>
    <w:lvlOverride w:ilvl="6">
      <w:startOverride w:val="1"/>
      <w:lvl w:ilvl="6">
        <w:start w:val="1"/>
        <w:numFmt w:val="decimal"/>
        <w:lvlText w:val=""/>
        <w:lvlJc w:val="left"/>
        <w:pPr>
          <w:tabs>
            <w:tab w:val="num" w:pos="1296"/>
          </w:tabs>
          <w:ind w:left="1296" w:hanging="1296"/>
        </w:pPr>
        <w:rPr>
          <w:rFonts w:hint="default"/>
        </w:rPr>
      </w:lvl>
    </w:lvlOverride>
    <w:lvlOverride w:ilvl="7">
      <w:startOverride w:val="1"/>
      <w:lvl w:ilvl="7">
        <w:start w:val="1"/>
        <w:numFmt w:val="decimal"/>
        <w:lvlText w:val=""/>
        <w:lvlJc w:val="left"/>
        <w:pPr>
          <w:tabs>
            <w:tab w:val="num" w:pos="1440"/>
          </w:tabs>
          <w:ind w:left="1440" w:hanging="1440"/>
        </w:pPr>
        <w:rPr>
          <w:rFonts w:hint="default"/>
        </w:rPr>
      </w:lvl>
    </w:lvlOverride>
    <w:lvlOverride w:ilvl="8">
      <w:startOverride w:val="1"/>
      <w:lvl w:ilvl="8">
        <w:start w:val="1"/>
        <w:numFmt w:val="decimal"/>
        <w:lvlText w:val=""/>
        <w:lvlJc w:val="left"/>
        <w:pPr>
          <w:tabs>
            <w:tab w:val="num" w:pos="1584"/>
          </w:tabs>
          <w:ind w:left="1584" w:hanging="1584"/>
        </w:pPr>
        <w:rPr>
          <w:rFonts w:hint="default"/>
        </w:rPr>
      </w:lvl>
    </w:lvlOverride>
  </w:num>
  <w:num w:numId="115" w16cid:durableId="1999532051">
    <w:abstractNumId w:val="110"/>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decimal"/>
        <w:lvlText w:val=""/>
        <w:lvlJc w:val="left"/>
        <w:pPr>
          <w:tabs>
            <w:tab w:val="num" w:pos="1211"/>
          </w:tabs>
          <w:ind w:left="851" w:firstLine="0"/>
        </w:pPr>
        <w:rPr>
          <w:rFonts w:hint="default"/>
        </w:rPr>
      </w:lvl>
    </w:lvlOverride>
    <w:lvlOverride w:ilvl="4">
      <w:startOverride w:val="1"/>
      <w:lvl w:ilvl="4">
        <w:start w:val="1"/>
        <w:numFmt w:val="decimal"/>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decimal"/>
        <w:lvlRestart w:val="1"/>
        <w:lvlText w:val=""/>
        <w:lvlJc w:val="left"/>
        <w:pPr>
          <w:tabs>
            <w:tab w:val="num" w:pos="1152"/>
          </w:tabs>
          <w:ind w:left="1152" w:hanging="1152"/>
        </w:pPr>
        <w:rPr>
          <w:rFonts w:hint="default"/>
        </w:rPr>
      </w:lvl>
    </w:lvlOverride>
    <w:lvlOverride w:ilvl="6">
      <w:startOverride w:val="1"/>
      <w:lvl w:ilvl="6">
        <w:start w:val="1"/>
        <w:numFmt w:val="decimal"/>
        <w:lvlText w:val=""/>
        <w:lvlJc w:val="left"/>
        <w:pPr>
          <w:tabs>
            <w:tab w:val="num" w:pos="1296"/>
          </w:tabs>
          <w:ind w:left="1296" w:hanging="1296"/>
        </w:pPr>
        <w:rPr>
          <w:rFonts w:hint="default"/>
        </w:rPr>
      </w:lvl>
    </w:lvlOverride>
    <w:lvlOverride w:ilvl="7">
      <w:startOverride w:val="1"/>
      <w:lvl w:ilvl="7">
        <w:start w:val="1"/>
        <w:numFmt w:val="decimal"/>
        <w:lvlText w:val=""/>
        <w:lvlJc w:val="left"/>
        <w:pPr>
          <w:tabs>
            <w:tab w:val="num" w:pos="1440"/>
          </w:tabs>
          <w:ind w:left="1440" w:hanging="1440"/>
        </w:pPr>
        <w:rPr>
          <w:rFonts w:hint="default"/>
        </w:rPr>
      </w:lvl>
    </w:lvlOverride>
    <w:lvlOverride w:ilvl="8">
      <w:startOverride w:val="1"/>
      <w:lvl w:ilvl="8">
        <w:start w:val="1"/>
        <w:numFmt w:val="decimal"/>
        <w:lvlText w:val=""/>
        <w:lvlJc w:val="left"/>
        <w:pPr>
          <w:tabs>
            <w:tab w:val="num" w:pos="1584"/>
          </w:tabs>
          <w:ind w:left="1584" w:hanging="1584"/>
        </w:pPr>
        <w:rPr>
          <w:rFonts w:hint="default"/>
        </w:rPr>
      </w:lvl>
    </w:lvlOverride>
  </w:num>
  <w:num w:numId="116" w16cid:durableId="472991086">
    <w:abstractNumId w:val="20"/>
  </w:num>
  <w:num w:numId="117" w16cid:durableId="649290421">
    <w:abstractNumId w:val="110"/>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18" w16cid:durableId="1939950033">
    <w:abstractNumId w:val="110"/>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19" w16cid:durableId="538206895">
    <w:abstractNumId w:val="110"/>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0" w16cid:durableId="2093042803">
    <w:abstractNumId w:val="16"/>
  </w:num>
  <w:num w:numId="121" w16cid:durableId="205988944">
    <w:abstractNumId w:val="69"/>
  </w:num>
  <w:num w:numId="122" w16cid:durableId="1240169276">
    <w:abstractNumId w:val="110"/>
    <w:lvlOverride w:ilvl="0">
      <w:lvl w:ilvl="0">
        <w:start w:val="1"/>
        <w:numFmt w:val="decimal"/>
        <w:pStyle w:val="PartNoTLRI"/>
        <w:suff w:val="nothing"/>
        <w:lvlText w:val="Part %1"/>
        <w:lvlJc w:val="left"/>
        <w:pPr>
          <w:ind w:left="432" w:hanging="432"/>
        </w:pPr>
        <w:rPr>
          <w:rFonts w:hint="default"/>
        </w:r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3" w16cid:durableId="188956333">
    <w:abstractNumId w:val="110"/>
    <w:lvlOverride w:ilvl="0">
      <w:lvl w:ilvl="0">
        <w:start w:val="1"/>
        <w:numFmt w:val="decimal"/>
        <w:pStyle w:val="PartNoTLRI"/>
        <w:suff w:val="nothing"/>
        <w:lvlText w:val="Part %1"/>
        <w:lvlJc w:val="left"/>
        <w:pPr>
          <w:ind w:left="432" w:hanging="432"/>
        </w:pPr>
        <w:rPr>
          <w:rFonts w:hint="default"/>
        </w:r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4" w16cid:durableId="357968456">
    <w:abstractNumId w:val="57"/>
  </w:num>
  <w:num w:numId="125" w16cid:durableId="1292639602">
    <w:abstractNumId w:val="74"/>
  </w:num>
  <w:num w:numId="126" w16cid:durableId="1354190708">
    <w:abstractNumId w:val="110"/>
    <w:lvlOverride w:ilvl="0">
      <w:lvl w:ilvl="0">
        <w:start w:val="1"/>
        <w:numFmt w:val="decimal"/>
        <w:pStyle w:val="PartNoTLRI"/>
        <w:suff w:val="nothing"/>
        <w:lvlText w:val="Part %1"/>
        <w:lvlJc w:val="left"/>
        <w:pPr>
          <w:ind w:left="432" w:hanging="432"/>
        </w:pPr>
        <w:rPr>
          <w:rFonts w:hint="default"/>
        </w:r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7" w16cid:durableId="1285193583">
    <w:abstractNumId w:val="110"/>
    <w:lvlOverride w:ilvl="0">
      <w:lvl w:ilvl="0">
        <w:start w:val="1"/>
        <w:numFmt w:val="decimal"/>
        <w:pStyle w:val="PartNoTLRI"/>
        <w:suff w:val="nothing"/>
        <w:lvlText w:val="Part %1"/>
        <w:lvlJc w:val="left"/>
        <w:pPr>
          <w:ind w:left="432" w:hanging="432"/>
        </w:pPr>
        <w:rPr>
          <w:rFonts w:hint="default"/>
        </w:r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8" w16cid:durableId="896743072">
    <w:abstractNumId w:val="110"/>
    <w:lvlOverride w:ilvl="0">
      <w:lvl w:ilvl="0">
        <w:start w:val="1"/>
        <w:numFmt w:val="decimal"/>
        <w:pStyle w:val="PartNoTLRI"/>
        <w:suff w:val="nothing"/>
        <w:lvlText w:val="Part %1"/>
        <w:lvlJc w:val="left"/>
        <w:pPr>
          <w:ind w:left="432" w:hanging="432"/>
        </w:pPr>
        <w:rPr>
          <w:rFonts w:hint="default"/>
        </w:r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29" w16cid:durableId="808521367">
    <w:abstractNumId w:val="124"/>
  </w:num>
  <w:num w:numId="130" w16cid:durableId="864708878">
    <w:abstractNumId w:val="122"/>
  </w:num>
  <w:num w:numId="131" w16cid:durableId="1090782153">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32" w16cid:durableId="859974217">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33" w16cid:durableId="1501700859">
    <w:abstractNumId w:val="23"/>
    <w:lvlOverride w:ilvl="0">
      <w:startOverride w:val="1"/>
    </w:lvlOverride>
  </w:num>
  <w:num w:numId="134" w16cid:durableId="1772773040">
    <w:abstractNumId w:val="98"/>
  </w:num>
  <w:num w:numId="135" w16cid:durableId="176240550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36" w16cid:durableId="833029092">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37" w16cid:durableId="964962866">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38" w16cid:durableId="388309270">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39" w16cid:durableId="31283591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0" w16cid:durableId="195783601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1" w16cid:durableId="1018509572">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2" w16cid:durableId="1946423632">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3" w16cid:durableId="51079685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4" w16cid:durableId="209593172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5" w16cid:durableId="111656233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6" w16cid:durableId="1318605507">
    <w:abstractNumId w:val="23"/>
    <w:lvlOverride w:ilvl="0">
      <w:startOverride w:val="1"/>
    </w:lvlOverride>
  </w:num>
  <w:num w:numId="147" w16cid:durableId="1886797863">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8" w16cid:durableId="1388259717">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49" w16cid:durableId="1886480196">
    <w:abstractNumId w:val="53"/>
  </w:num>
  <w:num w:numId="150" w16cid:durableId="887494752">
    <w:abstractNumId w:val="44"/>
  </w:num>
  <w:num w:numId="151" w16cid:durableId="1486357370">
    <w:abstractNumId w:val="19"/>
  </w:num>
  <w:num w:numId="152" w16cid:durableId="1497183618">
    <w:abstractNumId w:val="11"/>
  </w:num>
  <w:num w:numId="153" w16cid:durableId="1947077223">
    <w:abstractNumId w:val="64"/>
  </w:num>
  <w:num w:numId="154" w16cid:durableId="77870361">
    <w:abstractNumId w:val="106"/>
  </w:num>
  <w:num w:numId="155" w16cid:durableId="598415325">
    <w:abstractNumId w:val="55"/>
  </w:num>
  <w:num w:numId="156" w16cid:durableId="368800522">
    <w:abstractNumId w:val="92"/>
  </w:num>
  <w:num w:numId="157" w16cid:durableId="259605806">
    <w:abstractNumId w:val="8"/>
  </w:num>
  <w:num w:numId="158" w16cid:durableId="843204322">
    <w:abstractNumId w:val="27"/>
  </w:num>
  <w:num w:numId="159" w16cid:durableId="345333499">
    <w:abstractNumId w:val="67"/>
  </w:num>
  <w:num w:numId="160" w16cid:durableId="1428232147">
    <w:abstractNumId w:val="125"/>
  </w:num>
  <w:num w:numId="161" w16cid:durableId="1765420759">
    <w:abstractNumId w:val="1"/>
  </w:num>
  <w:num w:numId="162" w16cid:durableId="581262829">
    <w:abstractNumId w:val="31"/>
  </w:num>
  <w:num w:numId="163" w16cid:durableId="916590693">
    <w:abstractNumId w:val="41"/>
  </w:num>
  <w:num w:numId="164" w16cid:durableId="66004329">
    <w:abstractNumId w:val="62"/>
  </w:num>
  <w:num w:numId="165" w16cid:durableId="12659654">
    <w:abstractNumId w:val="119"/>
  </w:num>
  <w:num w:numId="166" w16cid:durableId="792746124">
    <w:abstractNumId w:val="85"/>
  </w:num>
  <w:num w:numId="167" w16cid:durableId="1180781185">
    <w:abstractNumId w:val="93"/>
  </w:num>
  <w:num w:numId="168" w16cid:durableId="40176613">
    <w:abstractNumId w:val="3"/>
  </w:num>
  <w:num w:numId="169" w16cid:durableId="1302348569">
    <w:abstractNumId w:val="108"/>
  </w:num>
  <w:num w:numId="170" w16cid:durableId="1210074563">
    <w:abstractNumId w:val="42"/>
  </w:num>
  <w:num w:numId="171" w16cid:durableId="52194060">
    <w:abstractNumId w:val="13"/>
  </w:num>
  <w:num w:numId="172" w16cid:durableId="276566041">
    <w:abstractNumId w:val="88"/>
  </w:num>
  <w:num w:numId="173" w16cid:durableId="1731536618">
    <w:abstractNumId w:val="49"/>
  </w:num>
  <w:num w:numId="174" w16cid:durableId="269968948">
    <w:abstractNumId w:val="49"/>
  </w:num>
  <w:num w:numId="175" w16cid:durableId="211120072">
    <w:abstractNumId w:val="23"/>
    <w:lvlOverride w:ilvl="0">
      <w:startOverride w:val="1"/>
    </w:lvlOverride>
  </w:num>
  <w:num w:numId="176" w16cid:durableId="102347603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77" w16cid:durableId="528614562">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78" w16cid:durableId="1125778190">
    <w:abstractNumId w:val="25"/>
  </w:num>
  <w:num w:numId="179" w16cid:durableId="54351863">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0" w16cid:durableId="24191546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1" w16cid:durableId="2127653536">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2" w16cid:durableId="1854565276">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3" w16cid:durableId="247733227">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4" w16cid:durableId="1576745890">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5" w16cid:durableId="117345437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6" w16cid:durableId="47144789">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7" w16cid:durableId="1217352320">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88" w16cid:durableId="1307853404">
    <w:abstractNumId w:val="23"/>
    <w:lvlOverride w:ilvl="0">
      <w:startOverride w:val="1"/>
    </w:lvlOverride>
  </w:num>
  <w:num w:numId="189" w16cid:durableId="1015494954">
    <w:abstractNumId w:val="23"/>
    <w:lvlOverride w:ilvl="0">
      <w:startOverride w:val="1"/>
    </w:lvlOverride>
  </w:num>
  <w:num w:numId="190" w16cid:durableId="192256684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91" w16cid:durableId="889027884">
    <w:abstractNumId w:val="49"/>
  </w:num>
  <w:num w:numId="192" w16cid:durableId="1135177891">
    <w:abstractNumId w:val="49"/>
  </w:num>
  <w:num w:numId="193" w16cid:durableId="1622803348">
    <w:abstractNumId w:val="49"/>
  </w:num>
  <w:num w:numId="194" w16cid:durableId="1826781685">
    <w:abstractNumId w:val="49"/>
  </w:num>
  <w:num w:numId="195" w16cid:durableId="2065447618">
    <w:abstractNumId w:val="49"/>
  </w:num>
  <w:num w:numId="196" w16cid:durableId="1586378987">
    <w:abstractNumId w:val="49"/>
  </w:num>
  <w:num w:numId="197" w16cid:durableId="909998224">
    <w:abstractNumId w:val="49"/>
  </w:num>
  <w:num w:numId="198" w16cid:durableId="981276632">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199" w16cid:durableId="1669164917">
    <w:abstractNumId w:val="23"/>
    <w:lvlOverride w:ilvl="0">
      <w:startOverride w:val="1"/>
    </w:lvlOverride>
  </w:num>
  <w:num w:numId="200" w16cid:durableId="2142184813">
    <w:abstractNumId w:val="23"/>
    <w:lvlOverride w:ilvl="0">
      <w:startOverride w:val="1"/>
    </w:lvlOverride>
  </w:num>
  <w:num w:numId="201" w16cid:durableId="144330103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2" w16cid:durableId="32466754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3" w16cid:durableId="387070875">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4" w16cid:durableId="96766808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5" w16cid:durableId="96430991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6" w16cid:durableId="129259234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7" w16cid:durableId="1735354503">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08" w16cid:durableId="822045578">
    <w:abstractNumId w:val="23"/>
    <w:lvlOverride w:ilvl="0">
      <w:startOverride w:val="1"/>
    </w:lvlOverride>
  </w:num>
  <w:num w:numId="209" w16cid:durableId="1991981049">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10" w16cid:durableId="750664623">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11" w16cid:durableId="64594003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12" w16cid:durableId="1162236352">
    <w:abstractNumId w:val="23"/>
    <w:lvlOverride w:ilvl="0">
      <w:startOverride w:val="1"/>
    </w:lvlOverride>
  </w:num>
  <w:num w:numId="213" w16cid:durableId="793061280">
    <w:abstractNumId w:val="23"/>
    <w:lvlOverride w:ilvl="0">
      <w:startOverride w:val="1"/>
    </w:lvlOverride>
  </w:num>
  <w:num w:numId="214" w16cid:durableId="872885854">
    <w:abstractNumId w:val="23"/>
    <w:lvlOverride w:ilvl="0">
      <w:startOverride w:val="1"/>
    </w:lvlOverride>
  </w:num>
  <w:num w:numId="215" w16cid:durableId="1197234182">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16" w16cid:durableId="1470125754">
    <w:abstractNumId w:val="49"/>
  </w:num>
  <w:num w:numId="217" w16cid:durableId="664666265">
    <w:abstractNumId w:val="49"/>
  </w:num>
  <w:num w:numId="218" w16cid:durableId="2119131802">
    <w:abstractNumId w:val="49"/>
  </w:num>
  <w:num w:numId="219" w16cid:durableId="415592166">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20" w16cid:durableId="726536632">
    <w:abstractNumId w:val="23"/>
    <w:lvlOverride w:ilvl="0">
      <w:startOverride w:val="1"/>
    </w:lvlOverride>
  </w:num>
  <w:num w:numId="221" w16cid:durableId="1296443657">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22" w16cid:durableId="1712874317">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23" w16cid:durableId="13468855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24" w16cid:durableId="1994984958">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25" w16cid:durableId="1152870631">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26" w16cid:durableId="1123158737">
    <w:abstractNumId w:val="23"/>
    <w:lvlOverride w:ilvl="0">
      <w:startOverride w:val="1"/>
    </w:lvlOverride>
  </w:num>
  <w:num w:numId="227" w16cid:durableId="1876693187">
    <w:abstractNumId w:val="49"/>
  </w:num>
  <w:num w:numId="228" w16cid:durableId="1598097303">
    <w:abstractNumId w:val="28"/>
  </w:num>
  <w:num w:numId="229" w16cid:durableId="1613126474">
    <w:abstractNumId w:val="4"/>
  </w:num>
  <w:num w:numId="230" w16cid:durableId="2146701636">
    <w:abstractNumId w:val="54"/>
  </w:num>
  <w:num w:numId="231" w16cid:durableId="36509323">
    <w:abstractNumId w:val="38"/>
  </w:num>
  <w:num w:numId="232" w16cid:durableId="737872247">
    <w:abstractNumId w:val="49"/>
  </w:num>
  <w:num w:numId="233" w16cid:durableId="1852639739">
    <w:abstractNumId w:val="48"/>
  </w:num>
  <w:num w:numId="234" w16cid:durableId="442917503">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35" w16cid:durableId="70399089">
    <w:abstractNumId w:val="110"/>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hint="default"/>
        </w:rPr>
      </w:lvl>
    </w:lvlOverride>
    <w:lvlOverride w:ilvl="2">
      <w:lvl w:ilvl="2">
        <w:start w:val="1"/>
        <w:numFmt w:val="decimal"/>
        <w:pStyle w:val="NormalNumberedTextTLRI"/>
        <w:lvlText w:val="%1.%2.%3"/>
        <w:lvlJc w:val="left"/>
        <w:pPr>
          <w:ind w:left="0" w:firstLine="0"/>
        </w:pPr>
        <w:rPr>
          <w:rFonts w:hint="default"/>
          <w:b w:val="0"/>
          <w:i/>
          <w:color w:val="000000" w:themeColor="text1"/>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236" w16cid:durableId="1265652287">
    <w:abstractNumId w:val="113"/>
  </w:num>
  <w:num w:numId="237" w16cid:durableId="1218737840">
    <w:abstractNumId w:val="99"/>
  </w:num>
  <w:num w:numId="238" w16cid:durableId="2090881981">
    <w:abstractNumId w:val="63"/>
  </w:num>
  <w:num w:numId="239" w16cid:durableId="175005835">
    <w:abstractNumId w:val="112"/>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07"/>
    <w:rsid w:val="00000039"/>
    <w:rsid w:val="000000C6"/>
    <w:rsid w:val="000003F5"/>
    <w:rsid w:val="00000430"/>
    <w:rsid w:val="0000045F"/>
    <w:rsid w:val="000005CF"/>
    <w:rsid w:val="0000062A"/>
    <w:rsid w:val="00000707"/>
    <w:rsid w:val="00000854"/>
    <w:rsid w:val="000008E9"/>
    <w:rsid w:val="00000AF3"/>
    <w:rsid w:val="00000D3F"/>
    <w:rsid w:val="00000D8B"/>
    <w:rsid w:val="00000E0A"/>
    <w:rsid w:val="00001176"/>
    <w:rsid w:val="000011D0"/>
    <w:rsid w:val="00001212"/>
    <w:rsid w:val="0000139F"/>
    <w:rsid w:val="000016D5"/>
    <w:rsid w:val="000016DD"/>
    <w:rsid w:val="00001849"/>
    <w:rsid w:val="00001985"/>
    <w:rsid w:val="00001B5F"/>
    <w:rsid w:val="00001F17"/>
    <w:rsid w:val="00001F64"/>
    <w:rsid w:val="0000209D"/>
    <w:rsid w:val="0000249C"/>
    <w:rsid w:val="000025F4"/>
    <w:rsid w:val="000029A1"/>
    <w:rsid w:val="00002A22"/>
    <w:rsid w:val="00002A8C"/>
    <w:rsid w:val="00002C71"/>
    <w:rsid w:val="00002DC0"/>
    <w:rsid w:val="00002FA6"/>
    <w:rsid w:val="0000325B"/>
    <w:rsid w:val="00003316"/>
    <w:rsid w:val="00003419"/>
    <w:rsid w:val="000035DF"/>
    <w:rsid w:val="000036C8"/>
    <w:rsid w:val="000036DB"/>
    <w:rsid w:val="00003939"/>
    <w:rsid w:val="00003A8E"/>
    <w:rsid w:val="00003CEB"/>
    <w:rsid w:val="00003FB8"/>
    <w:rsid w:val="00003FC0"/>
    <w:rsid w:val="00004062"/>
    <w:rsid w:val="00004132"/>
    <w:rsid w:val="000041B9"/>
    <w:rsid w:val="0000453C"/>
    <w:rsid w:val="00004604"/>
    <w:rsid w:val="00004841"/>
    <w:rsid w:val="00004A9E"/>
    <w:rsid w:val="00004BEB"/>
    <w:rsid w:val="00004C33"/>
    <w:rsid w:val="00004D75"/>
    <w:rsid w:val="00004E29"/>
    <w:rsid w:val="00005323"/>
    <w:rsid w:val="0000537F"/>
    <w:rsid w:val="00005405"/>
    <w:rsid w:val="000054EE"/>
    <w:rsid w:val="00005524"/>
    <w:rsid w:val="00005681"/>
    <w:rsid w:val="0000585A"/>
    <w:rsid w:val="00005893"/>
    <w:rsid w:val="000059D6"/>
    <w:rsid w:val="00005B01"/>
    <w:rsid w:val="00005B70"/>
    <w:rsid w:val="00005D48"/>
    <w:rsid w:val="00005E53"/>
    <w:rsid w:val="00005EB7"/>
    <w:rsid w:val="000061D9"/>
    <w:rsid w:val="0000621A"/>
    <w:rsid w:val="0000629E"/>
    <w:rsid w:val="00006380"/>
    <w:rsid w:val="00006776"/>
    <w:rsid w:val="00006899"/>
    <w:rsid w:val="00006DCD"/>
    <w:rsid w:val="00006E09"/>
    <w:rsid w:val="000071AB"/>
    <w:rsid w:val="0000736B"/>
    <w:rsid w:val="000074C7"/>
    <w:rsid w:val="00007506"/>
    <w:rsid w:val="00007513"/>
    <w:rsid w:val="000076B7"/>
    <w:rsid w:val="0000774D"/>
    <w:rsid w:val="00007825"/>
    <w:rsid w:val="0000791A"/>
    <w:rsid w:val="00007A28"/>
    <w:rsid w:val="00007B40"/>
    <w:rsid w:val="00007C8D"/>
    <w:rsid w:val="00007D2A"/>
    <w:rsid w:val="00007EF7"/>
    <w:rsid w:val="0001009D"/>
    <w:rsid w:val="000102A9"/>
    <w:rsid w:val="00010372"/>
    <w:rsid w:val="00010387"/>
    <w:rsid w:val="00010816"/>
    <w:rsid w:val="00010891"/>
    <w:rsid w:val="00010923"/>
    <w:rsid w:val="000109A6"/>
    <w:rsid w:val="00010A1D"/>
    <w:rsid w:val="00010A26"/>
    <w:rsid w:val="00010B28"/>
    <w:rsid w:val="00010B9D"/>
    <w:rsid w:val="00010CC5"/>
    <w:rsid w:val="00010D0A"/>
    <w:rsid w:val="00010E07"/>
    <w:rsid w:val="00010E3A"/>
    <w:rsid w:val="00010E7D"/>
    <w:rsid w:val="00010EDB"/>
    <w:rsid w:val="00010F0B"/>
    <w:rsid w:val="000110B0"/>
    <w:rsid w:val="000112DC"/>
    <w:rsid w:val="00011383"/>
    <w:rsid w:val="00011403"/>
    <w:rsid w:val="0001148F"/>
    <w:rsid w:val="000114AF"/>
    <w:rsid w:val="0001184F"/>
    <w:rsid w:val="00011ADA"/>
    <w:rsid w:val="00011AF6"/>
    <w:rsid w:val="000122CE"/>
    <w:rsid w:val="00012593"/>
    <w:rsid w:val="000126C7"/>
    <w:rsid w:val="00012D32"/>
    <w:rsid w:val="00012D6A"/>
    <w:rsid w:val="00012D9F"/>
    <w:rsid w:val="0001301E"/>
    <w:rsid w:val="0001338D"/>
    <w:rsid w:val="000133F9"/>
    <w:rsid w:val="0001340B"/>
    <w:rsid w:val="00013419"/>
    <w:rsid w:val="000136FD"/>
    <w:rsid w:val="0001377B"/>
    <w:rsid w:val="00013B8E"/>
    <w:rsid w:val="00013CD7"/>
    <w:rsid w:val="00013EE3"/>
    <w:rsid w:val="00013F59"/>
    <w:rsid w:val="00014029"/>
    <w:rsid w:val="0001418F"/>
    <w:rsid w:val="000144B7"/>
    <w:rsid w:val="00014739"/>
    <w:rsid w:val="000147F7"/>
    <w:rsid w:val="00014848"/>
    <w:rsid w:val="0001497D"/>
    <w:rsid w:val="00014A09"/>
    <w:rsid w:val="00014BAA"/>
    <w:rsid w:val="00014F64"/>
    <w:rsid w:val="00015231"/>
    <w:rsid w:val="0001539B"/>
    <w:rsid w:val="00015445"/>
    <w:rsid w:val="000155B6"/>
    <w:rsid w:val="0001568B"/>
    <w:rsid w:val="000158F8"/>
    <w:rsid w:val="00015B05"/>
    <w:rsid w:val="00015C37"/>
    <w:rsid w:val="00015DE5"/>
    <w:rsid w:val="00015E11"/>
    <w:rsid w:val="00015FCB"/>
    <w:rsid w:val="00016120"/>
    <w:rsid w:val="00016173"/>
    <w:rsid w:val="00016366"/>
    <w:rsid w:val="00016A59"/>
    <w:rsid w:val="00016B62"/>
    <w:rsid w:val="00016C0E"/>
    <w:rsid w:val="00016D43"/>
    <w:rsid w:val="00016F5A"/>
    <w:rsid w:val="0001705C"/>
    <w:rsid w:val="00017190"/>
    <w:rsid w:val="000173A5"/>
    <w:rsid w:val="000173B1"/>
    <w:rsid w:val="00017541"/>
    <w:rsid w:val="00017728"/>
    <w:rsid w:val="0001787A"/>
    <w:rsid w:val="00017B16"/>
    <w:rsid w:val="00017F3D"/>
    <w:rsid w:val="000200FD"/>
    <w:rsid w:val="00020255"/>
    <w:rsid w:val="00020294"/>
    <w:rsid w:val="000202C0"/>
    <w:rsid w:val="00020334"/>
    <w:rsid w:val="000203AB"/>
    <w:rsid w:val="00020674"/>
    <w:rsid w:val="0002073E"/>
    <w:rsid w:val="00020AD1"/>
    <w:rsid w:val="00020F95"/>
    <w:rsid w:val="0002101C"/>
    <w:rsid w:val="0002104C"/>
    <w:rsid w:val="000211CE"/>
    <w:rsid w:val="000211E1"/>
    <w:rsid w:val="00021272"/>
    <w:rsid w:val="000212A7"/>
    <w:rsid w:val="00021389"/>
    <w:rsid w:val="000216CE"/>
    <w:rsid w:val="00021A17"/>
    <w:rsid w:val="00021E57"/>
    <w:rsid w:val="00022013"/>
    <w:rsid w:val="0002206F"/>
    <w:rsid w:val="000221FC"/>
    <w:rsid w:val="000222DC"/>
    <w:rsid w:val="00022550"/>
    <w:rsid w:val="00022A03"/>
    <w:rsid w:val="00022B15"/>
    <w:rsid w:val="00022C23"/>
    <w:rsid w:val="00022E1A"/>
    <w:rsid w:val="00022E36"/>
    <w:rsid w:val="00022F42"/>
    <w:rsid w:val="00022F98"/>
    <w:rsid w:val="00023019"/>
    <w:rsid w:val="000230D3"/>
    <w:rsid w:val="000232D3"/>
    <w:rsid w:val="0002345B"/>
    <w:rsid w:val="00023528"/>
    <w:rsid w:val="00023727"/>
    <w:rsid w:val="000238A5"/>
    <w:rsid w:val="00023A79"/>
    <w:rsid w:val="00023BA4"/>
    <w:rsid w:val="00023DC4"/>
    <w:rsid w:val="00023E0F"/>
    <w:rsid w:val="00023FD7"/>
    <w:rsid w:val="00023FEF"/>
    <w:rsid w:val="0002403C"/>
    <w:rsid w:val="00024073"/>
    <w:rsid w:val="000240A0"/>
    <w:rsid w:val="000241DA"/>
    <w:rsid w:val="000245D6"/>
    <w:rsid w:val="00024819"/>
    <w:rsid w:val="00024AFA"/>
    <w:rsid w:val="00024AFD"/>
    <w:rsid w:val="00024B48"/>
    <w:rsid w:val="00024BC6"/>
    <w:rsid w:val="00025018"/>
    <w:rsid w:val="0002516C"/>
    <w:rsid w:val="0002542C"/>
    <w:rsid w:val="00025479"/>
    <w:rsid w:val="0002556B"/>
    <w:rsid w:val="00025660"/>
    <w:rsid w:val="00025738"/>
    <w:rsid w:val="00025880"/>
    <w:rsid w:val="000258A6"/>
    <w:rsid w:val="00025AF0"/>
    <w:rsid w:val="00025D99"/>
    <w:rsid w:val="00025E1E"/>
    <w:rsid w:val="000262C5"/>
    <w:rsid w:val="000262CF"/>
    <w:rsid w:val="00026375"/>
    <w:rsid w:val="00026722"/>
    <w:rsid w:val="00026B13"/>
    <w:rsid w:val="00026D0A"/>
    <w:rsid w:val="00026D78"/>
    <w:rsid w:val="00026E74"/>
    <w:rsid w:val="0002736B"/>
    <w:rsid w:val="0002764A"/>
    <w:rsid w:val="000277AD"/>
    <w:rsid w:val="000277B8"/>
    <w:rsid w:val="000277C3"/>
    <w:rsid w:val="0002796C"/>
    <w:rsid w:val="00027A9C"/>
    <w:rsid w:val="00027AC3"/>
    <w:rsid w:val="00027B98"/>
    <w:rsid w:val="00027CF0"/>
    <w:rsid w:val="00027F97"/>
    <w:rsid w:val="000300AE"/>
    <w:rsid w:val="00030578"/>
    <w:rsid w:val="00030864"/>
    <w:rsid w:val="000309D1"/>
    <w:rsid w:val="00030A66"/>
    <w:rsid w:val="00030A7D"/>
    <w:rsid w:val="00030ABF"/>
    <w:rsid w:val="00030BBF"/>
    <w:rsid w:val="00030DD8"/>
    <w:rsid w:val="00030E02"/>
    <w:rsid w:val="0003109F"/>
    <w:rsid w:val="00031289"/>
    <w:rsid w:val="0003143A"/>
    <w:rsid w:val="00031497"/>
    <w:rsid w:val="000315E1"/>
    <w:rsid w:val="00031681"/>
    <w:rsid w:val="00031B7C"/>
    <w:rsid w:val="00031BC8"/>
    <w:rsid w:val="00031C9E"/>
    <w:rsid w:val="00031F24"/>
    <w:rsid w:val="00032066"/>
    <w:rsid w:val="000320EA"/>
    <w:rsid w:val="0003217E"/>
    <w:rsid w:val="00032289"/>
    <w:rsid w:val="00032474"/>
    <w:rsid w:val="0003247F"/>
    <w:rsid w:val="00032483"/>
    <w:rsid w:val="0003271B"/>
    <w:rsid w:val="000327C2"/>
    <w:rsid w:val="00032833"/>
    <w:rsid w:val="00032876"/>
    <w:rsid w:val="000328E1"/>
    <w:rsid w:val="00032A57"/>
    <w:rsid w:val="00032EF8"/>
    <w:rsid w:val="00033108"/>
    <w:rsid w:val="000332F0"/>
    <w:rsid w:val="000333CD"/>
    <w:rsid w:val="0003348B"/>
    <w:rsid w:val="00033786"/>
    <w:rsid w:val="000339DE"/>
    <w:rsid w:val="00033B3B"/>
    <w:rsid w:val="00033B9C"/>
    <w:rsid w:val="00033ED7"/>
    <w:rsid w:val="0003400A"/>
    <w:rsid w:val="000341B3"/>
    <w:rsid w:val="00034263"/>
    <w:rsid w:val="0003444A"/>
    <w:rsid w:val="00034488"/>
    <w:rsid w:val="000344EA"/>
    <w:rsid w:val="000346E2"/>
    <w:rsid w:val="000348A7"/>
    <w:rsid w:val="00034911"/>
    <w:rsid w:val="00034A80"/>
    <w:rsid w:val="00034E78"/>
    <w:rsid w:val="00035070"/>
    <w:rsid w:val="000352B1"/>
    <w:rsid w:val="000353D5"/>
    <w:rsid w:val="0003541D"/>
    <w:rsid w:val="000354F0"/>
    <w:rsid w:val="000356ED"/>
    <w:rsid w:val="0003573C"/>
    <w:rsid w:val="00035D72"/>
    <w:rsid w:val="00035DBE"/>
    <w:rsid w:val="00035F16"/>
    <w:rsid w:val="000361E8"/>
    <w:rsid w:val="00036242"/>
    <w:rsid w:val="00036272"/>
    <w:rsid w:val="00036853"/>
    <w:rsid w:val="00036A40"/>
    <w:rsid w:val="00036B31"/>
    <w:rsid w:val="00036D20"/>
    <w:rsid w:val="00036F1A"/>
    <w:rsid w:val="00036FF1"/>
    <w:rsid w:val="00037417"/>
    <w:rsid w:val="000377C2"/>
    <w:rsid w:val="000378AB"/>
    <w:rsid w:val="00037A2C"/>
    <w:rsid w:val="00037A30"/>
    <w:rsid w:val="00037A77"/>
    <w:rsid w:val="00037B29"/>
    <w:rsid w:val="00037DC7"/>
    <w:rsid w:val="00037E8F"/>
    <w:rsid w:val="00037FCC"/>
    <w:rsid w:val="0004022F"/>
    <w:rsid w:val="0004023F"/>
    <w:rsid w:val="00040670"/>
    <w:rsid w:val="000406BD"/>
    <w:rsid w:val="00040B51"/>
    <w:rsid w:val="00040DFB"/>
    <w:rsid w:val="00041132"/>
    <w:rsid w:val="000415C0"/>
    <w:rsid w:val="00041698"/>
    <w:rsid w:val="000417DA"/>
    <w:rsid w:val="000418CF"/>
    <w:rsid w:val="00041AB2"/>
    <w:rsid w:val="00041B16"/>
    <w:rsid w:val="00041B65"/>
    <w:rsid w:val="00041B86"/>
    <w:rsid w:val="00041C87"/>
    <w:rsid w:val="00041CBF"/>
    <w:rsid w:val="00041D9E"/>
    <w:rsid w:val="0004213B"/>
    <w:rsid w:val="000424FD"/>
    <w:rsid w:val="0004272C"/>
    <w:rsid w:val="00042932"/>
    <w:rsid w:val="00042CC6"/>
    <w:rsid w:val="00043034"/>
    <w:rsid w:val="0004319E"/>
    <w:rsid w:val="000432CB"/>
    <w:rsid w:val="00043415"/>
    <w:rsid w:val="00043768"/>
    <w:rsid w:val="00043793"/>
    <w:rsid w:val="000437CE"/>
    <w:rsid w:val="00043818"/>
    <w:rsid w:val="000438F2"/>
    <w:rsid w:val="00043A5A"/>
    <w:rsid w:val="00043B26"/>
    <w:rsid w:val="00043E02"/>
    <w:rsid w:val="0004462F"/>
    <w:rsid w:val="00044671"/>
    <w:rsid w:val="000447E0"/>
    <w:rsid w:val="00044863"/>
    <w:rsid w:val="00044A74"/>
    <w:rsid w:val="00044A7F"/>
    <w:rsid w:val="00044BB4"/>
    <w:rsid w:val="00044ECA"/>
    <w:rsid w:val="00044EF4"/>
    <w:rsid w:val="00044F57"/>
    <w:rsid w:val="0004500E"/>
    <w:rsid w:val="000451FA"/>
    <w:rsid w:val="00045312"/>
    <w:rsid w:val="0004539B"/>
    <w:rsid w:val="0004541F"/>
    <w:rsid w:val="00045455"/>
    <w:rsid w:val="00045553"/>
    <w:rsid w:val="000456D0"/>
    <w:rsid w:val="000456EF"/>
    <w:rsid w:val="00045A92"/>
    <w:rsid w:val="00045ACE"/>
    <w:rsid w:val="00045B50"/>
    <w:rsid w:val="00045D84"/>
    <w:rsid w:val="00045EF3"/>
    <w:rsid w:val="000461AC"/>
    <w:rsid w:val="0004630E"/>
    <w:rsid w:val="00046478"/>
    <w:rsid w:val="0004659B"/>
    <w:rsid w:val="000467F7"/>
    <w:rsid w:val="0004683A"/>
    <w:rsid w:val="000468BF"/>
    <w:rsid w:val="00046AA2"/>
    <w:rsid w:val="00046D62"/>
    <w:rsid w:val="00046E39"/>
    <w:rsid w:val="000470DC"/>
    <w:rsid w:val="000471C4"/>
    <w:rsid w:val="00047210"/>
    <w:rsid w:val="00047264"/>
    <w:rsid w:val="00047290"/>
    <w:rsid w:val="00047640"/>
    <w:rsid w:val="00047847"/>
    <w:rsid w:val="000478FC"/>
    <w:rsid w:val="00047AA6"/>
    <w:rsid w:val="00047CBD"/>
    <w:rsid w:val="00047D39"/>
    <w:rsid w:val="00047F71"/>
    <w:rsid w:val="00050025"/>
    <w:rsid w:val="0005005D"/>
    <w:rsid w:val="00050358"/>
    <w:rsid w:val="000504E1"/>
    <w:rsid w:val="0005057D"/>
    <w:rsid w:val="00050868"/>
    <w:rsid w:val="00050A04"/>
    <w:rsid w:val="00050A3F"/>
    <w:rsid w:val="00050AB6"/>
    <w:rsid w:val="00050BD0"/>
    <w:rsid w:val="00050F71"/>
    <w:rsid w:val="0005102F"/>
    <w:rsid w:val="0005104B"/>
    <w:rsid w:val="00051510"/>
    <w:rsid w:val="000516B3"/>
    <w:rsid w:val="00051749"/>
    <w:rsid w:val="00051AA3"/>
    <w:rsid w:val="00051AA6"/>
    <w:rsid w:val="00051D6A"/>
    <w:rsid w:val="00051F9D"/>
    <w:rsid w:val="00052055"/>
    <w:rsid w:val="00052075"/>
    <w:rsid w:val="0005219D"/>
    <w:rsid w:val="0005235C"/>
    <w:rsid w:val="000523AD"/>
    <w:rsid w:val="000528CF"/>
    <w:rsid w:val="00052960"/>
    <w:rsid w:val="00052CA9"/>
    <w:rsid w:val="00052E7F"/>
    <w:rsid w:val="00052F25"/>
    <w:rsid w:val="0005309E"/>
    <w:rsid w:val="000532E3"/>
    <w:rsid w:val="00053374"/>
    <w:rsid w:val="000534CD"/>
    <w:rsid w:val="000534DD"/>
    <w:rsid w:val="00053547"/>
    <w:rsid w:val="000538CF"/>
    <w:rsid w:val="000539BC"/>
    <w:rsid w:val="00053A3B"/>
    <w:rsid w:val="00053A97"/>
    <w:rsid w:val="00053EA8"/>
    <w:rsid w:val="0005405D"/>
    <w:rsid w:val="000540F2"/>
    <w:rsid w:val="00054258"/>
    <w:rsid w:val="00054301"/>
    <w:rsid w:val="00054598"/>
    <w:rsid w:val="000546BB"/>
    <w:rsid w:val="00054779"/>
    <w:rsid w:val="000549CF"/>
    <w:rsid w:val="00054A72"/>
    <w:rsid w:val="00054AFC"/>
    <w:rsid w:val="00054CCA"/>
    <w:rsid w:val="00054E07"/>
    <w:rsid w:val="00054E29"/>
    <w:rsid w:val="00054F5F"/>
    <w:rsid w:val="00055364"/>
    <w:rsid w:val="00055543"/>
    <w:rsid w:val="0005563F"/>
    <w:rsid w:val="0005573D"/>
    <w:rsid w:val="00055C49"/>
    <w:rsid w:val="00055EBA"/>
    <w:rsid w:val="000561F5"/>
    <w:rsid w:val="00056218"/>
    <w:rsid w:val="0005631E"/>
    <w:rsid w:val="00056471"/>
    <w:rsid w:val="000564CD"/>
    <w:rsid w:val="00056B47"/>
    <w:rsid w:val="00056B59"/>
    <w:rsid w:val="00056D17"/>
    <w:rsid w:val="00056FD4"/>
    <w:rsid w:val="0005712A"/>
    <w:rsid w:val="000571A3"/>
    <w:rsid w:val="000572C5"/>
    <w:rsid w:val="00057311"/>
    <w:rsid w:val="00057320"/>
    <w:rsid w:val="0005749C"/>
    <w:rsid w:val="000574B3"/>
    <w:rsid w:val="000575FB"/>
    <w:rsid w:val="0005762A"/>
    <w:rsid w:val="000576BD"/>
    <w:rsid w:val="00057707"/>
    <w:rsid w:val="000578B1"/>
    <w:rsid w:val="0005799D"/>
    <w:rsid w:val="00057DA3"/>
    <w:rsid w:val="000600BD"/>
    <w:rsid w:val="000601DB"/>
    <w:rsid w:val="00060387"/>
    <w:rsid w:val="000605AB"/>
    <w:rsid w:val="000605EE"/>
    <w:rsid w:val="0006064D"/>
    <w:rsid w:val="00060ECE"/>
    <w:rsid w:val="00060F23"/>
    <w:rsid w:val="00060F99"/>
    <w:rsid w:val="00061178"/>
    <w:rsid w:val="00061467"/>
    <w:rsid w:val="000614B4"/>
    <w:rsid w:val="000615BF"/>
    <w:rsid w:val="000615C7"/>
    <w:rsid w:val="000618A3"/>
    <w:rsid w:val="000618B9"/>
    <w:rsid w:val="00061A12"/>
    <w:rsid w:val="00061AA6"/>
    <w:rsid w:val="00061DD0"/>
    <w:rsid w:val="00061E9E"/>
    <w:rsid w:val="0006203C"/>
    <w:rsid w:val="0006211F"/>
    <w:rsid w:val="00062193"/>
    <w:rsid w:val="000622A2"/>
    <w:rsid w:val="000625F7"/>
    <w:rsid w:val="000629F0"/>
    <w:rsid w:val="00062B3E"/>
    <w:rsid w:val="00062BB9"/>
    <w:rsid w:val="00062CFF"/>
    <w:rsid w:val="00062D6B"/>
    <w:rsid w:val="00062F54"/>
    <w:rsid w:val="00062F63"/>
    <w:rsid w:val="00063169"/>
    <w:rsid w:val="00063203"/>
    <w:rsid w:val="00063608"/>
    <w:rsid w:val="00063707"/>
    <w:rsid w:val="000638F3"/>
    <w:rsid w:val="00063D5B"/>
    <w:rsid w:val="00063DED"/>
    <w:rsid w:val="00063DF1"/>
    <w:rsid w:val="0006416E"/>
    <w:rsid w:val="000641BB"/>
    <w:rsid w:val="000641EA"/>
    <w:rsid w:val="00064500"/>
    <w:rsid w:val="0006459F"/>
    <w:rsid w:val="00064686"/>
    <w:rsid w:val="00064777"/>
    <w:rsid w:val="0006485E"/>
    <w:rsid w:val="0006486E"/>
    <w:rsid w:val="00064A4D"/>
    <w:rsid w:val="00064B30"/>
    <w:rsid w:val="00064C01"/>
    <w:rsid w:val="00064F2B"/>
    <w:rsid w:val="00065016"/>
    <w:rsid w:val="00065062"/>
    <w:rsid w:val="00065166"/>
    <w:rsid w:val="00065266"/>
    <w:rsid w:val="000652E3"/>
    <w:rsid w:val="00065830"/>
    <w:rsid w:val="000658D1"/>
    <w:rsid w:val="00065980"/>
    <w:rsid w:val="00065B12"/>
    <w:rsid w:val="00065CB4"/>
    <w:rsid w:val="0006603F"/>
    <w:rsid w:val="00066086"/>
    <w:rsid w:val="000661A4"/>
    <w:rsid w:val="00066240"/>
    <w:rsid w:val="0006655A"/>
    <w:rsid w:val="00066963"/>
    <w:rsid w:val="00066AE1"/>
    <w:rsid w:val="00066DBC"/>
    <w:rsid w:val="00066E83"/>
    <w:rsid w:val="00066F2B"/>
    <w:rsid w:val="00066F4C"/>
    <w:rsid w:val="00067138"/>
    <w:rsid w:val="0006730C"/>
    <w:rsid w:val="00067539"/>
    <w:rsid w:val="00067582"/>
    <w:rsid w:val="000675CC"/>
    <w:rsid w:val="0006761A"/>
    <w:rsid w:val="00067749"/>
    <w:rsid w:val="000678C8"/>
    <w:rsid w:val="00067B0E"/>
    <w:rsid w:val="00067FEA"/>
    <w:rsid w:val="0007018E"/>
    <w:rsid w:val="00070270"/>
    <w:rsid w:val="0007028A"/>
    <w:rsid w:val="0007056A"/>
    <w:rsid w:val="000705F1"/>
    <w:rsid w:val="0007062C"/>
    <w:rsid w:val="00070A12"/>
    <w:rsid w:val="00070D9E"/>
    <w:rsid w:val="00070EB4"/>
    <w:rsid w:val="00071097"/>
    <w:rsid w:val="000710E3"/>
    <w:rsid w:val="000710F2"/>
    <w:rsid w:val="0007117B"/>
    <w:rsid w:val="000711E0"/>
    <w:rsid w:val="00071264"/>
    <w:rsid w:val="00071381"/>
    <w:rsid w:val="00071466"/>
    <w:rsid w:val="00071B1D"/>
    <w:rsid w:val="00071C24"/>
    <w:rsid w:val="00071C95"/>
    <w:rsid w:val="00071D59"/>
    <w:rsid w:val="000722B7"/>
    <w:rsid w:val="00072447"/>
    <w:rsid w:val="000726BA"/>
    <w:rsid w:val="000728AD"/>
    <w:rsid w:val="00072959"/>
    <w:rsid w:val="00072B6E"/>
    <w:rsid w:val="00072BED"/>
    <w:rsid w:val="00072C68"/>
    <w:rsid w:val="00072C69"/>
    <w:rsid w:val="00072CB9"/>
    <w:rsid w:val="00072E71"/>
    <w:rsid w:val="00072F27"/>
    <w:rsid w:val="00072F2B"/>
    <w:rsid w:val="0007316E"/>
    <w:rsid w:val="00073171"/>
    <w:rsid w:val="00073267"/>
    <w:rsid w:val="0007344E"/>
    <w:rsid w:val="0007345F"/>
    <w:rsid w:val="00073630"/>
    <w:rsid w:val="000737D5"/>
    <w:rsid w:val="000737F3"/>
    <w:rsid w:val="00073933"/>
    <w:rsid w:val="00073F63"/>
    <w:rsid w:val="000740CE"/>
    <w:rsid w:val="00074339"/>
    <w:rsid w:val="00074619"/>
    <w:rsid w:val="00074841"/>
    <w:rsid w:val="00074A0F"/>
    <w:rsid w:val="00074AF9"/>
    <w:rsid w:val="00074C08"/>
    <w:rsid w:val="00074CAD"/>
    <w:rsid w:val="00074D7D"/>
    <w:rsid w:val="00074EEC"/>
    <w:rsid w:val="00074F48"/>
    <w:rsid w:val="00075017"/>
    <w:rsid w:val="00075195"/>
    <w:rsid w:val="000756DF"/>
    <w:rsid w:val="0007588A"/>
    <w:rsid w:val="00075BC7"/>
    <w:rsid w:val="00075BE7"/>
    <w:rsid w:val="00075DEA"/>
    <w:rsid w:val="00076175"/>
    <w:rsid w:val="0007625F"/>
    <w:rsid w:val="00076304"/>
    <w:rsid w:val="000763AC"/>
    <w:rsid w:val="000768F9"/>
    <w:rsid w:val="00076911"/>
    <w:rsid w:val="000769B1"/>
    <w:rsid w:val="00076A61"/>
    <w:rsid w:val="00076E70"/>
    <w:rsid w:val="00076F10"/>
    <w:rsid w:val="00077283"/>
    <w:rsid w:val="0007744A"/>
    <w:rsid w:val="000775D9"/>
    <w:rsid w:val="00077705"/>
    <w:rsid w:val="00077EC5"/>
    <w:rsid w:val="00077F64"/>
    <w:rsid w:val="000802F1"/>
    <w:rsid w:val="000803B5"/>
    <w:rsid w:val="000805C5"/>
    <w:rsid w:val="00080654"/>
    <w:rsid w:val="0008074A"/>
    <w:rsid w:val="000807BD"/>
    <w:rsid w:val="00080AF9"/>
    <w:rsid w:val="00080B15"/>
    <w:rsid w:val="00080B1A"/>
    <w:rsid w:val="00080DD5"/>
    <w:rsid w:val="0008184E"/>
    <w:rsid w:val="0008186D"/>
    <w:rsid w:val="000818EC"/>
    <w:rsid w:val="00081BEA"/>
    <w:rsid w:val="00081F5A"/>
    <w:rsid w:val="00082B66"/>
    <w:rsid w:val="00082D5F"/>
    <w:rsid w:val="00083317"/>
    <w:rsid w:val="000833C5"/>
    <w:rsid w:val="000835B5"/>
    <w:rsid w:val="0008371C"/>
    <w:rsid w:val="00083C4E"/>
    <w:rsid w:val="00083D87"/>
    <w:rsid w:val="00083E6E"/>
    <w:rsid w:val="00084328"/>
    <w:rsid w:val="000845B1"/>
    <w:rsid w:val="00084D49"/>
    <w:rsid w:val="00084FE3"/>
    <w:rsid w:val="00085431"/>
    <w:rsid w:val="00085509"/>
    <w:rsid w:val="000859C6"/>
    <w:rsid w:val="00085A20"/>
    <w:rsid w:val="00085A22"/>
    <w:rsid w:val="00085B99"/>
    <w:rsid w:val="00085BD7"/>
    <w:rsid w:val="00085C9B"/>
    <w:rsid w:val="00085CF9"/>
    <w:rsid w:val="00085D26"/>
    <w:rsid w:val="000860DE"/>
    <w:rsid w:val="000861C9"/>
    <w:rsid w:val="0008629F"/>
    <w:rsid w:val="000863BC"/>
    <w:rsid w:val="00086491"/>
    <w:rsid w:val="000866D2"/>
    <w:rsid w:val="000866D3"/>
    <w:rsid w:val="0008720C"/>
    <w:rsid w:val="00087528"/>
    <w:rsid w:val="00087730"/>
    <w:rsid w:val="0008774D"/>
    <w:rsid w:val="000879F2"/>
    <w:rsid w:val="00087AEB"/>
    <w:rsid w:val="00087C15"/>
    <w:rsid w:val="00087CDA"/>
    <w:rsid w:val="00087D89"/>
    <w:rsid w:val="000905A2"/>
    <w:rsid w:val="000907D6"/>
    <w:rsid w:val="00090935"/>
    <w:rsid w:val="000909DD"/>
    <w:rsid w:val="00090AD0"/>
    <w:rsid w:val="00090ADF"/>
    <w:rsid w:val="00090AF4"/>
    <w:rsid w:val="00090C60"/>
    <w:rsid w:val="00090D43"/>
    <w:rsid w:val="00090F16"/>
    <w:rsid w:val="000910C1"/>
    <w:rsid w:val="000912CE"/>
    <w:rsid w:val="000912E3"/>
    <w:rsid w:val="000913B7"/>
    <w:rsid w:val="00091403"/>
    <w:rsid w:val="000915CB"/>
    <w:rsid w:val="000915D0"/>
    <w:rsid w:val="000918BC"/>
    <w:rsid w:val="00091917"/>
    <w:rsid w:val="00091D99"/>
    <w:rsid w:val="00091F35"/>
    <w:rsid w:val="000921CC"/>
    <w:rsid w:val="00092329"/>
    <w:rsid w:val="0009235A"/>
    <w:rsid w:val="00092475"/>
    <w:rsid w:val="000925C7"/>
    <w:rsid w:val="000926AD"/>
    <w:rsid w:val="000926E8"/>
    <w:rsid w:val="000928F1"/>
    <w:rsid w:val="000928FE"/>
    <w:rsid w:val="00092AD7"/>
    <w:rsid w:val="00092C89"/>
    <w:rsid w:val="00092C8A"/>
    <w:rsid w:val="00092CD8"/>
    <w:rsid w:val="00092D7D"/>
    <w:rsid w:val="00092E75"/>
    <w:rsid w:val="00092EDB"/>
    <w:rsid w:val="0009333D"/>
    <w:rsid w:val="000933DA"/>
    <w:rsid w:val="00093418"/>
    <w:rsid w:val="00093801"/>
    <w:rsid w:val="00093ABB"/>
    <w:rsid w:val="00093CAD"/>
    <w:rsid w:val="000940A9"/>
    <w:rsid w:val="00094206"/>
    <w:rsid w:val="000945EE"/>
    <w:rsid w:val="0009464E"/>
    <w:rsid w:val="0009475D"/>
    <w:rsid w:val="000947BC"/>
    <w:rsid w:val="00094875"/>
    <w:rsid w:val="00094AA8"/>
    <w:rsid w:val="00094CF8"/>
    <w:rsid w:val="00094E35"/>
    <w:rsid w:val="00094F7B"/>
    <w:rsid w:val="0009502B"/>
    <w:rsid w:val="0009517A"/>
    <w:rsid w:val="000951BE"/>
    <w:rsid w:val="000952B6"/>
    <w:rsid w:val="00095432"/>
    <w:rsid w:val="00095B01"/>
    <w:rsid w:val="00095F9A"/>
    <w:rsid w:val="00095FCA"/>
    <w:rsid w:val="00096123"/>
    <w:rsid w:val="0009613C"/>
    <w:rsid w:val="00096167"/>
    <w:rsid w:val="000961D0"/>
    <w:rsid w:val="00096399"/>
    <w:rsid w:val="000964F6"/>
    <w:rsid w:val="0009655F"/>
    <w:rsid w:val="000965A7"/>
    <w:rsid w:val="00096AA9"/>
    <w:rsid w:val="00096C28"/>
    <w:rsid w:val="00096E74"/>
    <w:rsid w:val="00097265"/>
    <w:rsid w:val="000973C8"/>
    <w:rsid w:val="00097490"/>
    <w:rsid w:val="000976AA"/>
    <w:rsid w:val="00097724"/>
    <w:rsid w:val="000977D4"/>
    <w:rsid w:val="00097E5F"/>
    <w:rsid w:val="00097EFF"/>
    <w:rsid w:val="000A0127"/>
    <w:rsid w:val="000A0178"/>
    <w:rsid w:val="000A0217"/>
    <w:rsid w:val="000A061B"/>
    <w:rsid w:val="000A0D39"/>
    <w:rsid w:val="000A0FE7"/>
    <w:rsid w:val="000A1247"/>
    <w:rsid w:val="000A12BB"/>
    <w:rsid w:val="000A204C"/>
    <w:rsid w:val="000A2463"/>
    <w:rsid w:val="000A25FA"/>
    <w:rsid w:val="000A2652"/>
    <w:rsid w:val="000A2740"/>
    <w:rsid w:val="000A278F"/>
    <w:rsid w:val="000A27A4"/>
    <w:rsid w:val="000A2AAD"/>
    <w:rsid w:val="000A2B0A"/>
    <w:rsid w:val="000A2C3C"/>
    <w:rsid w:val="000A2DFD"/>
    <w:rsid w:val="000A2E1C"/>
    <w:rsid w:val="000A2EE6"/>
    <w:rsid w:val="000A2F26"/>
    <w:rsid w:val="000A2F28"/>
    <w:rsid w:val="000A31EE"/>
    <w:rsid w:val="000A33E6"/>
    <w:rsid w:val="000A345E"/>
    <w:rsid w:val="000A34A7"/>
    <w:rsid w:val="000A352A"/>
    <w:rsid w:val="000A35CE"/>
    <w:rsid w:val="000A378B"/>
    <w:rsid w:val="000A37B8"/>
    <w:rsid w:val="000A37CE"/>
    <w:rsid w:val="000A3E28"/>
    <w:rsid w:val="000A3E84"/>
    <w:rsid w:val="000A3EC4"/>
    <w:rsid w:val="000A3F3E"/>
    <w:rsid w:val="000A3F5D"/>
    <w:rsid w:val="000A3FDF"/>
    <w:rsid w:val="000A40DB"/>
    <w:rsid w:val="000A4486"/>
    <w:rsid w:val="000A4703"/>
    <w:rsid w:val="000A47EC"/>
    <w:rsid w:val="000A4836"/>
    <w:rsid w:val="000A494A"/>
    <w:rsid w:val="000A49BA"/>
    <w:rsid w:val="000A4AF9"/>
    <w:rsid w:val="000A4D00"/>
    <w:rsid w:val="000A4FB8"/>
    <w:rsid w:val="000A5182"/>
    <w:rsid w:val="000A520D"/>
    <w:rsid w:val="000A5294"/>
    <w:rsid w:val="000A5517"/>
    <w:rsid w:val="000A55C4"/>
    <w:rsid w:val="000A569B"/>
    <w:rsid w:val="000A56B7"/>
    <w:rsid w:val="000A58A6"/>
    <w:rsid w:val="000A5968"/>
    <w:rsid w:val="000A5A95"/>
    <w:rsid w:val="000A5B46"/>
    <w:rsid w:val="000A5DBF"/>
    <w:rsid w:val="000A5ECA"/>
    <w:rsid w:val="000A5F68"/>
    <w:rsid w:val="000A6012"/>
    <w:rsid w:val="000A66A1"/>
    <w:rsid w:val="000A6738"/>
    <w:rsid w:val="000A6A9B"/>
    <w:rsid w:val="000A6ACA"/>
    <w:rsid w:val="000A6C00"/>
    <w:rsid w:val="000A6D0A"/>
    <w:rsid w:val="000A6D0B"/>
    <w:rsid w:val="000A6F2E"/>
    <w:rsid w:val="000A6F4F"/>
    <w:rsid w:val="000A7016"/>
    <w:rsid w:val="000A7247"/>
    <w:rsid w:val="000A734B"/>
    <w:rsid w:val="000A7920"/>
    <w:rsid w:val="000A7996"/>
    <w:rsid w:val="000A79D5"/>
    <w:rsid w:val="000A7A78"/>
    <w:rsid w:val="000A7C75"/>
    <w:rsid w:val="000A7C80"/>
    <w:rsid w:val="000A7E08"/>
    <w:rsid w:val="000A7F64"/>
    <w:rsid w:val="000A7FA1"/>
    <w:rsid w:val="000B009E"/>
    <w:rsid w:val="000B0296"/>
    <w:rsid w:val="000B05FE"/>
    <w:rsid w:val="000B06E6"/>
    <w:rsid w:val="000B075F"/>
    <w:rsid w:val="000B0AC3"/>
    <w:rsid w:val="000B142C"/>
    <w:rsid w:val="000B1867"/>
    <w:rsid w:val="000B1A05"/>
    <w:rsid w:val="000B1BC3"/>
    <w:rsid w:val="000B1DA7"/>
    <w:rsid w:val="000B2159"/>
    <w:rsid w:val="000B248F"/>
    <w:rsid w:val="000B264C"/>
    <w:rsid w:val="000B26C0"/>
    <w:rsid w:val="000B27DF"/>
    <w:rsid w:val="000B28CB"/>
    <w:rsid w:val="000B2F37"/>
    <w:rsid w:val="000B303F"/>
    <w:rsid w:val="000B3048"/>
    <w:rsid w:val="000B308D"/>
    <w:rsid w:val="000B30BD"/>
    <w:rsid w:val="000B3108"/>
    <w:rsid w:val="000B34E8"/>
    <w:rsid w:val="000B352F"/>
    <w:rsid w:val="000B372F"/>
    <w:rsid w:val="000B3751"/>
    <w:rsid w:val="000B395A"/>
    <w:rsid w:val="000B3AD4"/>
    <w:rsid w:val="000B3CB3"/>
    <w:rsid w:val="000B3E1B"/>
    <w:rsid w:val="000B466E"/>
    <w:rsid w:val="000B472E"/>
    <w:rsid w:val="000B478A"/>
    <w:rsid w:val="000B47C0"/>
    <w:rsid w:val="000B488F"/>
    <w:rsid w:val="000B48CC"/>
    <w:rsid w:val="000B4938"/>
    <w:rsid w:val="000B4D85"/>
    <w:rsid w:val="000B5018"/>
    <w:rsid w:val="000B502A"/>
    <w:rsid w:val="000B5112"/>
    <w:rsid w:val="000B5221"/>
    <w:rsid w:val="000B532F"/>
    <w:rsid w:val="000B5365"/>
    <w:rsid w:val="000B58B3"/>
    <w:rsid w:val="000B5950"/>
    <w:rsid w:val="000B5957"/>
    <w:rsid w:val="000B59DB"/>
    <w:rsid w:val="000B5AE5"/>
    <w:rsid w:val="000B5DA2"/>
    <w:rsid w:val="000B5DDA"/>
    <w:rsid w:val="000B5E83"/>
    <w:rsid w:val="000B5EAA"/>
    <w:rsid w:val="000B5F18"/>
    <w:rsid w:val="000B5F2B"/>
    <w:rsid w:val="000B6168"/>
    <w:rsid w:val="000B642D"/>
    <w:rsid w:val="000B64B9"/>
    <w:rsid w:val="000B6656"/>
    <w:rsid w:val="000B666E"/>
    <w:rsid w:val="000B698F"/>
    <w:rsid w:val="000B6A58"/>
    <w:rsid w:val="000B6C9E"/>
    <w:rsid w:val="000B6ECB"/>
    <w:rsid w:val="000B7038"/>
    <w:rsid w:val="000B7121"/>
    <w:rsid w:val="000B71D6"/>
    <w:rsid w:val="000B7433"/>
    <w:rsid w:val="000B78F7"/>
    <w:rsid w:val="000B7954"/>
    <w:rsid w:val="000B7D36"/>
    <w:rsid w:val="000B7DE4"/>
    <w:rsid w:val="000B7F71"/>
    <w:rsid w:val="000C05F9"/>
    <w:rsid w:val="000C0C06"/>
    <w:rsid w:val="000C11C5"/>
    <w:rsid w:val="000C11F4"/>
    <w:rsid w:val="000C1496"/>
    <w:rsid w:val="000C15B9"/>
    <w:rsid w:val="000C1B50"/>
    <w:rsid w:val="000C1C0F"/>
    <w:rsid w:val="000C1C51"/>
    <w:rsid w:val="000C1D4F"/>
    <w:rsid w:val="000C1F8A"/>
    <w:rsid w:val="000C22AC"/>
    <w:rsid w:val="000C2463"/>
    <w:rsid w:val="000C2625"/>
    <w:rsid w:val="000C26E3"/>
    <w:rsid w:val="000C272A"/>
    <w:rsid w:val="000C28F7"/>
    <w:rsid w:val="000C2C8C"/>
    <w:rsid w:val="000C304F"/>
    <w:rsid w:val="000C346D"/>
    <w:rsid w:val="000C3550"/>
    <w:rsid w:val="000C36AB"/>
    <w:rsid w:val="000C3709"/>
    <w:rsid w:val="000C3852"/>
    <w:rsid w:val="000C38DA"/>
    <w:rsid w:val="000C3A17"/>
    <w:rsid w:val="000C3B7D"/>
    <w:rsid w:val="000C3F94"/>
    <w:rsid w:val="000C4214"/>
    <w:rsid w:val="000C42BA"/>
    <w:rsid w:val="000C4307"/>
    <w:rsid w:val="000C4621"/>
    <w:rsid w:val="000C48B7"/>
    <w:rsid w:val="000C4929"/>
    <w:rsid w:val="000C513B"/>
    <w:rsid w:val="000C5210"/>
    <w:rsid w:val="000C53B4"/>
    <w:rsid w:val="000C5426"/>
    <w:rsid w:val="000C54E2"/>
    <w:rsid w:val="000C55A6"/>
    <w:rsid w:val="000C57E0"/>
    <w:rsid w:val="000C5809"/>
    <w:rsid w:val="000C58AE"/>
    <w:rsid w:val="000C5B8C"/>
    <w:rsid w:val="000C5F1D"/>
    <w:rsid w:val="000C6125"/>
    <w:rsid w:val="000C6134"/>
    <w:rsid w:val="000C6218"/>
    <w:rsid w:val="000C629C"/>
    <w:rsid w:val="000C63BB"/>
    <w:rsid w:val="000C641E"/>
    <w:rsid w:val="000C64E4"/>
    <w:rsid w:val="000C6628"/>
    <w:rsid w:val="000C6716"/>
    <w:rsid w:val="000C67C8"/>
    <w:rsid w:val="000C6814"/>
    <w:rsid w:val="000C69CD"/>
    <w:rsid w:val="000C69F3"/>
    <w:rsid w:val="000C6AD9"/>
    <w:rsid w:val="000C6BE5"/>
    <w:rsid w:val="000C6D99"/>
    <w:rsid w:val="000C730C"/>
    <w:rsid w:val="000C735F"/>
    <w:rsid w:val="000C772B"/>
    <w:rsid w:val="000C7753"/>
    <w:rsid w:val="000C7764"/>
    <w:rsid w:val="000C78B4"/>
    <w:rsid w:val="000C79F9"/>
    <w:rsid w:val="000C7A4E"/>
    <w:rsid w:val="000C7EAA"/>
    <w:rsid w:val="000C7F34"/>
    <w:rsid w:val="000D0189"/>
    <w:rsid w:val="000D0297"/>
    <w:rsid w:val="000D02F3"/>
    <w:rsid w:val="000D0720"/>
    <w:rsid w:val="000D0DC3"/>
    <w:rsid w:val="000D0FB0"/>
    <w:rsid w:val="000D1083"/>
    <w:rsid w:val="000D1270"/>
    <w:rsid w:val="000D172B"/>
    <w:rsid w:val="000D1B1C"/>
    <w:rsid w:val="000D1C96"/>
    <w:rsid w:val="000D1D57"/>
    <w:rsid w:val="000D1E79"/>
    <w:rsid w:val="000D1EA1"/>
    <w:rsid w:val="000D1EFD"/>
    <w:rsid w:val="000D2020"/>
    <w:rsid w:val="000D2098"/>
    <w:rsid w:val="000D24DA"/>
    <w:rsid w:val="000D267D"/>
    <w:rsid w:val="000D26A4"/>
    <w:rsid w:val="000D286A"/>
    <w:rsid w:val="000D295D"/>
    <w:rsid w:val="000D29BB"/>
    <w:rsid w:val="000D2B5C"/>
    <w:rsid w:val="000D2BDF"/>
    <w:rsid w:val="000D2CE2"/>
    <w:rsid w:val="000D3006"/>
    <w:rsid w:val="000D3366"/>
    <w:rsid w:val="000D34F5"/>
    <w:rsid w:val="000D355A"/>
    <w:rsid w:val="000D3FF9"/>
    <w:rsid w:val="000D402A"/>
    <w:rsid w:val="000D4100"/>
    <w:rsid w:val="000D4219"/>
    <w:rsid w:val="000D4815"/>
    <w:rsid w:val="000D4980"/>
    <w:rsid w:val="000D49CD"/>
    <w:rsid w:val="000D4B2B"/>
    <w:rsid w:val="000D4B9B"/>
    <w:rsid w:val="000D4DB3"/>
    <w:rsid w:val="000D4E56"/>
    <w:rsid w:val="000D50A8"/>
    <w:rsid w:val="000D531E"/>
    <w:rsid w:val="000D58A2"/>
    <w:rsid w:val="000D5994"/>
    <w:rsid w:val="000D5A0E"/>
    <w:rsid w:val="000D5C44"/>
    <w:rsid w:val="000D5CC7"/>
    <w:rsid w:val="000D5CEE"/>
    <w:rsid w:val="000D5F48"/>
    <w:rsid w:val="000D60C5"/>
    <w:rsid w:val="000D61B0"/>
    <w:rsid w:val="000D629D"/>
    <w:rsid w:val="000D6445"/>
    <w:rsid w:val="000D65A0"/>
    <w:rsid w:val="000D682D"/>
    <w:rsid w:val="000D6A3A"/>
    <w:rsid w:val="000D6B84"/>
    <w:rsid w:val="000D6BDB"/>
    <w:rsid w:val="000D6C14"/>
    <w:rsid w:val="000D6EC4"/>
    <w:rsid w:val="000D73A0"/>
    <w:rsid w:val="000D7845"/>
    <w:rsid w:val="000D7961"/>
    <w:rsid w:val="000D79FD"/>
    <w:rsid w:val="000D7B55"/>
    <w:rsid w:val="000D7BD2"/>
    <w:rsid w:val="000D7CDB"/>
    <w:rsid w:val="000D7F6D"/>
    <w:rsid w:val="000E0076"/>
    <w:rsid w:val="000E035D"/>
    <w:rsid w:val="000E03FD"/>
    <w:rsid w:val="000E0746"/>
    <w:rsid w:val="000E09CB"/>
    <w:rsid w:val="000E0A59"/>
    <w:rsid w:val="000E0C6C"/>
    <w:rsid w:val="000E0CAD"/>
    <w:rsid w:val="000E1045"/>
    <w:rsid w:val="000E110C"/>
    <w:rsid w:val="000E130C"/>
    <w:rsid w:val="000E13BE"/>
    <w:rsid w:val="000E15BD"/>
    <w:rsid w:val="000E18CF"/>
    <w:rsid w:val="000E190D"/>
    <w:rsid w:val="000E1A58"/>
    <w:rsid w:val="000E1AD5"/>
    <w:rsid w:val="000E1B50"/>
    <w:rsid w:val="000E1DFE"/>
    <w:rsid w:val="000E1E5B"/>
    <w:rsid w:val="000E1E7A"/>
    <w:rsid w:val="000E21A2"/>
    <w:rsid w:val="000E2277"/>
    <w:rsid w:val="000E2286"/>
    <w:rsid w:val="000E25C1"/>
    <w:rsid w:val="000E26BC"/>
    <w:rsid w:val="000E271C"/>
    <w:rsid w:val="000E287C"/>
    <w:rsid w:val="000E2897"/>
    <w:rsid w:val="000E29F1"/>
    <w:rsid w:val="000E2B06"/>
    <w:rsid w:val="000E2BBC"/>
    <w:rsid w:val="000E3082"/>
    <w:rsid w:val="000E30B5"/>
    <w:rsid w:val="000E3104"/>
    <w:rsid w:val="000E3216"/>
    <w:rsid w:val="000E336D"/>
    <w:rsid w:val="000E3585"/>
    <w:rsid w:val="000E36F1"/>
    <w:rsid w:val="000E3954"/>
    <w:rsid w:val="000E3B27"/>
    <w:rsid w:val="000E41D8"/>
    <w:rsid w:val="000E43CE"/>
    <w:rsid w:val="000E4527"/>
    <w:rsid w:val="000E45DE"/>
    <w:rsid w:val="000E4603"/>
    <w:rsid w:val="000E4706"/>
    <w:rsid w:val="000E47D4"/>
    <w:rsid w:val="000E487B"/>
    <w:rsid w:val="000E48EF"/>
    <w:rsid w:val="000E4A8E"/>
    <w:rsid w:val="000E4AD0"/>
    <w:rsid w:val="000E4B15"/>
    <w:rsid w:val="000E4C9B"/>
    <w:rsid w:val="000E4D31"/>
    <w:rsid w:val="000E4F45"/>
    <w:rsid w:val="000E4FDA"/>
    <w:rsid w:val="000E532C"/>
    <w:rsid w:val="000E5511"/>
    <w:rsid w:val="000E56C4"/>
    <w:rsid w:val="000E5961"/>
    <w:rsid w:val="000E5AF5"/>
    <w:rsid w:val="000E634C"/>
    <w:rsid w:val="000E63F6"/>
    <w:rsid w:val="000E6567"/>
    <w:rsid w:val="000E65F6"/>
    <w:rsid w:val="000E6C3F"/>
    <w:rsid w:val="000E6CF6"/>
    <w:rsid w:val="000E6FE4"/>
    <w:rsid w:val="000E7AF8"/>
    <w:rsid w:val="000E7ED1"/>
    <w:rsid w:val="000E7F2C"/>
    <w:rsid w:val="000F008A"/>
    <w:rsid w:val="000F0438"/>
    <w:rsid w:val="000F0529"/>
    <w:rsid w:val="000F0584"/>
    <w:rsid w:val="000F06E6"/>
    <w:rsid w:val="000F0BD6"/>
    <w:rsid w:val="000F0C65"/>
    <w:rsid w:val="000F0C99"/>
    <w:rsid w:val="000F0E51"/>
    <w:rsid w:val="000F12F7"/>
    <w:rsid w:val="000F1306"/>
    <w:rsid w:val="000F1332"/>
    <w:rsid w:val="000F1496"/>
    <w:rsid w:val="000F15BB"/>
    <w:rsid w:val="000F17C7"/>
    <w:rsid w:val="000F1B20"/>
    <w:rsid w:val="000F1CF0"/>
    <w:rsid w:val="000F1D8D"/>
    <w:rsid w:val="000F1E2C"/>
    <w:rsid w:val="000F1FD2"/>
    <w:rsid w:val="000F2061"/>
    <w:rsid w:val="000F20D1"/>
    <w:rsid w:val="000F21B8"/>
    <w:rsid w:val="000F2454"/>
    <w:rsid w:val="000F258F"/>
    <w:rsid w:val="000F27EC"/>
    <w:rsid w:val="000F27FD"/>
    <w:rsid w:val="000F28D6"/>
    <w:rsid w:val="000F29E4"/>
    <w:rsid w:val="000F2B13"/>
    <w:rsid w:val="000F2DCB"/>
    <w:rsid w:val="000F2E6F"/>
    <w:rsid w:val="000F2E8E"/>
    <w:rsid w:val="000F2F0A"/>
    <w:rsid w:val="000F3058"/>
    <w:rsid w:val="000F3373"/>
    <w:rsid w:val="000F34FA"/>
    <w:rsid w:val="000F36B9"/>
    <w:rsid w:val="000F38D2"/>
    <w:rsid w:val="000F3983"/>
    <w:rsid w:val="000F3A62"/>
    <w:rsid w:val="000F3A6A"/>
    <w:rsid w:val="000F3BF4"/>
    <w:rsid w:val="000F3CA9"/>
    <w:rsid w:val="000F3E23"/>
    <w:rsid w:val="000F3FCE"/>
    <w:rsid w:val="000F40A6"/>
    <w:rsid w:val="000F40E7"/>
    <w:rsid w:val="000F4126"/>
    <w:rsid w:val="000F41DE"/>
    <w:rsid w:val="000F4468"/>
    <w:rsid w:val="000F44EC"/>
    <w:rsid w:val="000F4580"/>
    <w:rsid w:val="000F47E3"/>
    <w:rsid w:val="000F488D"/>
    <w:rsid w:val="000F4915"/>
    <w:rsid w:val="000F4B50"/>
    <w:rsid w:val="000F4BFC"/>
    <w:rsid w:val="000F4C1C"/>
    <w:rsid w:val="000F4CF2"/>
    <w:rsid w:val="000F4F56"/>
    <w:rsid w:val="000F4FD2"/>
    <w:rsid w:val="000F50D6"/>
    <w:rsid w:val="000F50FA"/>
    <w:rsid w:val="000F516A"/>
    <w:rsid w:val="000F517E"/>
    <w:rsid w:val="000F5340"/>
    <w:rsid w:val="000F54D6"/>
    <w:rsid w:val="000F5758"/>
    <w:rsid w:val="000F59DE"/>
    <w:rsid w:val="000F5AC6"/>
    <w:rsid w:val="000F5BDB"/>
    <w:rsid w:val="000F5CEF"/>
    <w:rsid w:val="000F5FED"/>
    <w:rsid w:val="000F62EF"/>
    <w:rsid w:val="000F637B"/>
    <w:rsid w:val="000F6574"/>
    <w:rsid w:val="000F6A78"/>
    <w:rsid w:val="000F6B9B"/>
    <w:rsid w:val="000F6C1F"/>
    <w:rsid w:val="000F6D6F"/>
    <w:rsid w:val="000F6E29"/>
    <w:rsid w:val="000F6FF3"/>
    <w:rsid w:val="000F71B8"/>
    <w:rsid w:val="000F7250"/>
    <w:rsid w:val="000F7367"/>
    <w:rsid w:val="000F736F"/>
    <w:rsid w:val="000F74EB"/>
    <w:rsid w:val="000F756F"/>
    <w:rsid w:val="000F79D8"/>
    <w:rsid w:val="000F79E4"/>
    <w:rsid w:val="000F7A01"/>
    <w:rsid w:val="000F7A61"/>
    <w:rsid w:val="000F7CDE"/>
    <w:rsid w:val="000F7DAA"/>
    <w:rsid w:val="000F7E81"/>
    <w:rsid w:val="001001D7"/>
    <w:rsid w:val="0010029A"/>
    <w:rsid w:val="001004BC"/>
    <w:rsid w:val="001004E2"/>
    <w:rsid w:val="00100A71"/>
    <w:rsid w:val="00100D0F"/>
    <w:rsid w:val="00100D2A"/>
    <w:rsid w:val="00100E14"/>
    <w:rsid w:val="001010B5"/>
    <w:rsid w:val="0010127E"/>
    <w:rsid w:val="00101325"/>
    <w:rsid w:val="0010139D"/>
    <w:rsid w:val="0010147C"/>
    <w:rsid w:val="00101499"/>
    <w:rsid w:val="0010155C"/>
    <w:rsid w:val="00101A1D"/>
    <w:rsid w:val="00101CDC"/>
    <w:rsid w:val="00101E73"/>
    <w:rsid w:val="001025BD"/>
    <w:rsid w:val="001025E8"/>
    <w:rsid w:val="001025EE"/>
    <w:rsid w:val="00102698"/>
    <w:rsid w:val="00102DF1"/>
    <w:rsid w:val="00102E11"/>
    <w:rsid w:val="00102F22"/>
    <w:rsid w:val="001034D3"/>
    <w:rsid w:val="00103528"/>
    <w:rsid w:val="00103561"/>
    <w:rsid w:val="001036CE"/>
    <w:rsid w:val="00103819"/>
    <w:rsid w:val="00103B18"/>
    <w:rsid w:val="00103B62"/>
    <w:rsid w:val="00103E92"/>
    <w:rsid w:val="00103F02"/>
    <w:rsid w:val="0010422E"/>
    <w:rsid w:val="00104600"/>
    <w:rsid w:val="00104602"/>
    <w:rsid w:val="00104779"/>
    <w:rsid w:val="00104C5B"/>
    <w:rsid w:val="00104E5F"/>
    <w:rsid w:val="00104E7B"/>
    <w:rsid w:val="00105028"/>
    <w:rsid w:val="00105112"/>
    <w:rsid w:val="00105508"/>
    <w:rsid w:val="001055D3"/>
    <w:rsid w:val="00105658"/>
    <w:rsid w:val="001057B3"/>
    <w:rsid w:val="00105819"/>
    <w:rsid w:val="00105854"/>
    <w:rsid w:val="001059DA"/>
    <w:rsid w:val="00105D38"/>
    <w:rsid w:val="00105F70"/>
    <w:rsid w:val="00105FB5"/>
    <w:rsid w:val="00106066"/>
    <w:rsid w:val="0010627C"/>
    <w:rsid w:val="00106358"/>
    <w:rsid w:val="00106772"/>
    <w:rsid w:val="0010677B"/>
    <w:rsid w:val="00106AF6"/>
    <w:rsid w:val="00106BFD"/>
    <w:rsid w:val="00106D2D"/>
    <w:rsid w:val="00106EAB"/>
    <w:rsid w:val="001070A6"/>
    <w:rsid w:val="0010717F"/>
    <w:rsid w:val="001074BF"/>
    <w:rsid w:val="0010767C"/>
    <w:rsid w:val="00107939"/>
    <w:rsid w:val="001079DD"/>
    <w:rsid w:val="00107A14"/>
    <w:rsid w:val="00107AAD"/>
    <w:rsid w:val="00107C13"/>
    <w:rsid w:val="00107F2B"/>
    <w:rsid w:val="0011015E"/>
    <w:rsid w:val="001101FA"/>
    <w:rsid w:val="00110469"/>
    <w:rsid w:val="001109E8"/>
    <w:rsid w:val="001109F5"/>
    <w:rsid w:val="00110AB1"/>
    <w:rsid w:val="00110BE5"/>
    <w:rsid w:val="00110C0C"/>
    <w:rsid w:val="00110CA3"/>
    <w:rsid w:val="00110CC2"/>
    <w:rsid w:val="00110D0D"/>
    <w:rsid w:val="00110EF1"/>
    <w:rsid w:val="00110FBF"/>
    <w:rsid w:val="00111345"/>
    <w:rsid w:val="00111393"/>
    <w:rsid w:val="001115BF"/>
    <w:rsid w:val="00111973"/>
    <w:rsid w:val="001119C1"/>
    <w:rsid w:val="00111A58"/>
    <w:rsid w:val="00111AA7"/>
    <w:rsid w:val="00111ACE"/>
    <w:rsid w:val="00111CBE"/>
    <w:rsid w:val="00112011"/>
    <w:rsid w:val="0011231D"/>
    <w:rsid w:val="0011236F"/>
    <w:rsid w:val="0011254F"/>
    <w:rsid w:val="001125BD"/>
    <w:rsid w:val="001125D6"/>
    <w:rsid w:val="00112604"/>
    <w:rsid w:val="00112ABB"/>
    <w:rsid w:val="00112AD1"/>
    <w:rsid w:val="00112BEA"/>
    <w:rsid w:val="00112C95"/>
    <w:rsid w:val="00112DD5"/>
    <w:rsid w:val="00112F53"/>
    <w:rsid w:val="00112F75"/>
    <w:rsid w:val="0011316B"/>
    <w:rsid w:val="00113174"/>
    <w:rsid w:val="001132FE"/>
    <w:rsid w:val="0011344E"/>
    <w:rsid w:val="00113456"/>
    <w:rsid w:val="001137B0"/>
    <w:rsid w:val="001139C4"/>
    <w:rsid w:val="00113CD1"/>
    <w:rsid w:val="00113D56"/>
    <w:rsid w:val="00113DD7"/>
    <w:rsid w:val="00113DED"/>
    <w:rsid w:val="00113E71"/>
    <w:rsid w:val="00113F32"/>
    <w:rsid w:val="00113FCD"/>
    <w:rsid w:val="001143C5"/>
    <w:rsid w:val="00114505"/>
    <w:rsid w:val="001145BD"/>
    <w:rsid w:val="0011462A"/>
    <w:rsid w:val="00114A35"/>
    <w:rsid w:val="00114BB4"/>
    <w:rsid w:val="00114C9B"/>
    <w:rsid w:val="00114DB0"/>
    <w:rsid w:val="00114DD3"/>
    <w:rsid w:val="00114E2E"/>
    <w:rsid w:val="00115072"/>
    <w:rsid w:val="0011514A"/>
    <w:rsid w:val="00115248"/>
    <w:rsid w:val="00115361"/>
    <w:rsid w:val="001153D8"/>
    <w:rsid w:val="001155F8"/>
    <w:rsid w:val="00115662"/>
    <w:rsid w:val="00115863"/>
    <w:rsid w:val="0011599C"/>
    <w:rsid w:val="00115DC1"/>
    <w:rsid w:val="0011607A"/>
    <w:rsid w:val="00116365"/>
    <w:rsid w:val="0011651B"/>
    <w:rsid w:val="001165C4"/>
    <w:rsid w:val="00116B18"/>
    <w:rsid w:val="00116CBB"/>
    <w:rsid w:val="00117005"/>
    <w:rsid w:val="00117027"/>
    <w:rsid w:val="0011707A"/>
    <w:rsid w:val="0011709E"/>
    <w:rsid w:val="00117183"/>
    <w:rsid w:val="001171CB"/>
    <w:rsid w:val="001171F3"/>
    <w:rsid w:val="00117250"/>
    <w:rsid w:val="0011764F"/>
    <w:rsid w:val="001200BF"/>
    <w:rsid w:val="0012012C"/>
    <w:rsid w:val="001203C2"/>
    <w:rsid w:val="00120569"/>
    <w:rsid w:val="00120598"/>
    <w:rsid w:val="001205EB"/>
    <w:rsid w:val="001207B6"/>
    <w:rsid w:val="0012081A"/>
    <w:rsid w:val="0012099C"/>
    <w:rsid w:val="001209BB"/>
    <w:rsid w:val="00120A6F"/>
    <w:rsid w:val="00120BD7"/>
    <w:rsid w:val="00120BF6"/>
    <w:rsid w:val="00120CA1"/>
    <w:rsid w:val="00120D05"/>
    <w:rsid w:val="00120EA3"/>
    <w:rsid w:val="00120EA6"/>
    <w:rsid w:val="00120EF7"/>
    <w:rsid w:val="00120F25"/>
    <w:rsid w:val="00120FD6"/>
    <w:rsid w:val="001210DD"/>
    <w:rsid w:val="001214E6"/>
    <w:rsid w:val="00121519"/>
    <w:rsid w:val="001215B7"/>
    <w:rsid w:val="0012167F"/>
    <w:rsid w:val="001216BE"/>
    <w:rsid w:val="001216D1"/>
    <w:rsid w:val="0012199E"/>
    <w:rsid w:val="00121BCE"/>
    <w:rsid w:val="00121C0C"/>
    <w:rsid w:val="00121C80"/>
    <w:rsid w:val="00121D5C"/>
    <w:rsid w:val="00121E64"/>
    <w:rsid w:val="001221E0"/>
    <w:rsid w:val="001222CB"/>
    <w:rsid w:val="00122462"/>
    <w:rsid w:val="001224DF"/>
    <w:rsid w:val="00122590"/>
    <w:rsid w:val="001226BD"/>
    <w:rsid w:val="00122940"/>
    <w:rsid w:val="0012298E"/>
    <w:rsid w:val="00122B1E"/>
    <w:rsid w:val="00122B26"/>
    <w:rsid w:val="00122CA5"/>
    <w:rsid w:val="00122E26"/>
    <w:rsid w:val="00122EE4"/>
    <w:rsid w:val="001231A4"/>
    <w:rsid w:val="001232E1"/>
    <w:rsid w:val="001234C0"/>
    <w:rsid w:val="00123934"/>
    <w:rsid w:val="001239BA"/>
    <w:rsid w:val="00123B9E"/>
    <w:rsid w:val="00123E04"/>
    <w:rsid w:val="001241F3"/>
    <w:rsid w:val="0012427D"/>
    <w:rsid w:val="0012433F"/>
    <w:rsid w:val="001244B6"/>
    <w:rsid w:val="001245F5"/>
    <w:rsid w:val="00124618"/>
    <w:rsid w:val="00124A76"/>
    <w:rsid w:val="00124AEC"/>
    <w:rsid w:val="00124B0D"/>
    <w:rsid w:val="00124B67"/>
    <w:rsid w:val="00124BD0"/>
    <w:rsid w:val="00124C77"/>
    <w:rsid w:val="00124C8E"/>
    <w:rsid w:val="00124C9A"/>
    <w:rsid w:val="00124E2E"/>
    <w:rsid w:val="00124FBE"/>
    <w:rsid w:val="00125028"/>
    <w:rsid w:val="001250A2"/>
    <w:rsid w:val="001250A9"/>
    <w:rsid w:val="001252EA"/>
    <w:rsid w:val="0012548A"/>
    <w:rsid w:val="001254D0"/>
    <w:rsid w:val="0012552B"/>
    <w:rsid w:val="00125602"/>
    <w:rsid w:val="0012569A"/>
    <w:rsid w:val="0012572E"/>
    <w:rsid w:val="001257E2"/>
    <w:rsid w:val="0012599A"/>
    <w:rsid w:val="00125C18"/>
    <w:rsid w:val="00125CD8"/>
    <w:rsid w:val="00125D1F"/>
    <w:rsid w:val="00125D70"/>
    <w:rsid w:val="00126319"/>
    <w:rsid w:val="00126500"/>
    <w:rsid w:val="00126A2B"/>
    <w:rsid w:val="00126B65"/>
    <w:rsid w:val="00126CC3"/>
    <w:rsid w:val="00126E65"/>
    <w:rsid w:val="00126EB2"/>
    <w:rsid w:val="00126F87"/>
    <w:rsid w:val="001274C1"/>
    <w:rsid w:val="00127684"/>
    <w:rsid w:val="001279CC"/>
    <w:rsid w:val="001279D0"/>
    <w:rsid w:val="00127A9F"/>
    <w:rsid w:val="00127DD9"/>
    <w:rsid w:val="0013008B"/>
    <w:rsid w:val="001300A7"/>
    <w:rsid w:val="001300CC"/>
    <w:rsid w:val="00130252"/>
    <w:rsid w:val="0013033A"/>
    <w:rsid w:val="001303F6"/>
    <w:rsid w:val="0013051E"/>
    <w:rsid w:val="00130583"/>
    <w:rsid w:val="001307B9"/>
    <w:rsid w:val="0013095E"/>
    <w:rsid w:val="00130A82"/>
    <w:rsid w:val="00130BA5"/>
    <w:rsid w:val="00130E2C"/>
    <w:rsid w:val="001310E8"/>
    <w:rsid w:val="00131120"/>
    <w:rsid w:val="001311FF"/>
    <w:rsid w:val="001312C3"/>
    <w:rsid w:val="00131360"/>
    <w:rsid w:val="00131500"/>
    <w:rsid w:val="0013178F"/>
    <w:rsid w:val="00131823"/>
    <w:rsid w:val="001318A6"/>
    <w:rsid w:val="00131A65"/>
    <w:rsid w:val="0013202B"/>
    <w:rsid w:val="0013211E"/>
    <w:rsid w:val="00132154"/>
    <w:rsid w:val="001323AE"/>
    <w:rsid w:val="0013249D"/>
    <w:rsid w:val="0013259D"/>
    <w:rsid w:val="001325A2"/>
    <w:rsid w:val="001326A2"/>
    <w:rsid w:val="0013273D"/>
    <w:rsid w:val="001327ED"/>
    <w:rsid w:val="00132814"/>
    <w:rsid w:val="0013296B"/>
    <w:rsid w:val="00132ED1"/>
    <w:rsid w:val="0013311B"/>
    <w:rsid w:val="001331C9"/>
    <w:rsid w:val="001332C7"/>
    <w:rsid w:val="00133311"/>
    <w:rsid w:val="0013358B"/>
    <w:rsid w:val="00133EA1"/>
    <w:rsid w:val="00133EE8"/>
    <w:rsid w:val="00134091"/>
    <w:rsid w:val="001347BD"/>
    <w:rsid w:val="001348C8"/>
    <w:rsid w:val="00134A1E"/>
    <w:rsid w:val="00134AEF"/>
    <w:rsid w:val="00134BBB"/>
    <w:rsid w:val="00134DB5"/>
    <w:rsid w:val="00134DDC"/>
    <w:rsid w:val="00134F4A"/>
    <w:rsid w:val="00134FDC"/>
    <w:rsid w:val="00135188"/>
    <w:rsid w:val="001353A1"/>
    <w:rsid w:val="001354B4"/>
    <w:rsid w:val="00135672"/>
    <w:rsid w:val="001357BC"/>
    <w:rsid w:val="001357EC"/>
    <w:rsid w:val="00135A16"/>
    <w:rsid w:val="00135AAF"/>
    <w:rsid w:val="00135B14"/>
    <w:rsid w:val="00135BD7"/>
    <w:rsid w:val="00135C45"/>
    <w:rsid w:val="00135CE2"/>
    <w:rsid w:val="00135CE3"/>
    <w:rsid w:val="00135F74"/>
    <w:rsid w:val="00136174"/>
    <w:rsid w:val="00136254"/>
    <w:rsid w:val="00136334"/>
    <w:rsid w:val="001364D5"/>
    <w:rsid w:val="001369B0"/>
    <w:rsid w:val="00136ABC"/>
    <w:rsid w:val="00136AC5"/>
    <w:rsid w:val="00136BC7"/>
    <w:rsid w:val="00136C9F"/>
    <w:rsid w:val="00137157"/>
    <w:rsid w:val="001371B0"/>
    <w:rsid w:val="001372F1"/>
    <w:rsid w:val="001373ED"/>
    <w:rsid w:val="00137589"/>
    <w:rsid w:val="001375CC"/>
    <w:rsid w:val="00137682"/>
    <w:rsid w:val="00137753"/>
    <w:rsid w:val="00137754"/>
    <w:rsid w:val="00137A6C"/>
    <w:rsid w:val="00137C10"/>
    <w:rsid w:val="00137D11"/>
    <w:rsid w:val="00140214"/>
    <w:rsid w:val="001402A6"/>
    <w:rsid w:val="00140309"/>
    <w:rsid w:val="0014036E"/>
    <w:rsid w:val="001405AE"/>
    <w:rsid w:val="001406B9"/>
    <w:rsid w:val="0014070C"/>
    <w:rsid w:val="00140820"/>
    <w:rsid w:val="00140917"/>
    <w:rsid w:val="001409C2"/>
    <w:rsid w:val="00140A42"/>
    <w:rsid w:val="00140F2F"/>
    <w:rsid w:val="00140FEF"/>
    <w:rsid w:val="00141279"/>
    <w:rsid w:val="001413D1"/>
    <w:rsid w:val="00141495"/>
    <w:rsid w:val="00141704"/>
    <w:rsid w:val="001417F4"/>
    <w:rsid w:val="00141AFF"/>
    <w:rsid w:val="00141CF2"/>
    <w:rsid w:val="00141F71"/>
    <w:rsid w:val="00142077"/>
    <w:rsid w:val="001421DD"/>
    <w:rsid w:val="0014224D"/>
    <w:rsid w:val="00142292"/>
    <w:rsid w:val="00142420"/>
    <w:rsid w:val="00142497"/>
    <w:rsid w:val="00142536"/>
    <w:rsid w:val="001425F9"/>
    <w:rsid w:val="0014293B"/>
    <w:rsid w:val="00142981"/>
    <w:rsid w:val="001429DF"/>
    <w:rsid w:val="00142AF9"/>
    <w:rsid w:val="00142BD4"/>
    <w:rsid w:val="00142C46"/>
    <w:rsid w:val="00142DAC"/>
    <w:rsid w:val="00142F4C"/>
    <w:rsid w:val="001430A5"/>
    <w:rsid w:val="001430C5"/>
    <w:rsid w:val="0014319D"/>
    <w:rsid w:val="001436B0"/>
    <w:rsid w:val="0014391C"/>
    <w:rsid w:val="001439ED"/>
    <w:rsid w:val="00143A81"/>
    <w:rsid w:val="00143D7B"/>
    <w:rsid w:val="00143D83"/>
    <w:rsid w:val="00144090"/>
    <w:rsid w:val="00144295"/>
    <w:rsid w:val="00144317"/>
    <w:rsid w:val="001443DE"/>
    <w:rsid w:val="00144491"/>
    <w:rsid w:val="001446B4"/>
    <w:rsid w:val="00144913"/>
    <w:rsid w:val="001449D3"/>
    <w:rsid w:val="00144A04"/>
    <w:rsid w:val="00144BD6"/>
    <w:rsid w:val="00144BEB"/>
    <w:rsid w:val="00144DB3"/>
    <w:rsid w:val="00144E45"/>
    <w:rsid w:val="00144EE3"/>
    <w:rsid w:val="00144F7D"/>
    <w:rsid w:val="0014503C"/>
    <w:rsid w:val="0014527F"/>
    <w:rsid w:val="001452BC"/>
    <w:rsid w:val="001452D6"/>
    <w:rsid w:val="001452FA"/>
    <w:rsid w:val="001456FD"/>
    <w:rsid w:val="001457FD"/>
    <w:rsid w:val="001459EF"/>
    <w:rsid w:val="00145A7E"/>
    <w:rsid w:val="00146165"/>
    <w:rsid w:val="0014626B"/>
    <w:rsid w:val="00146410"/>
    <w:rsid w:val="001465E6"/>
    <w:rsid w:val="001465FB"/>
    <w:rsid w:val="0014671C"/>
    <w:rsid w:val="00146AB9"/>
    <w:rsid w:val="00146B19"/>
    <w:rsid w:val="00146BE1"/>
    <w:rsid w:val="00146F23"/>
    <w:rsid w:val="001471A2"/>
    <w:rsid w:val="00147309"/>
    <w:rsid w:val="001473A2"/>
    <w:rsid w:val="001473A6"/>
    <w:rsid w:val="001473A9"/>
    <w:rsid w:val="00147507"/>
    <w:rsid w:val="00147652"/>
    <w:rsid w:val="00147C76"/>
    <w:rsid w:val="00147E3E"/>
    <w:rsid w:val="00147E77"/>
    <w:rsid w:val="00147F93"/>
    <w:rsid w:val="001505FA"/>
    <w:rsid w:val="00150716"/>
    <w:rsid w:val="001509F3"/>
    <w:rsid w:val="00150A5B"/>
    <w:rsid w:val="00150E8E"/>
    <w:rsid w:val="00151383"/>
    <w:rsid w:val="001515A1"/>
    <w:rsid w:val="0015163D"/>
    <w:rsid w:val="00151662"/>
    <w:rsid w:val="001518B0"/>
    <w:rsid w:val="00151D72"/>
    <w:rsid w:val="00151E1E"/>
    <w:rsid w:val="00151F1F"/>
    <w:rsid w:val="00152015"/>
    <w:rsid w:val="001524B7"/>
    <w:rsid w:val="0015271D"/>
    <w:rsid w:val="0015291B"/>
    <w:rsid w:val="00152A71"/>
    <w:rsid w:val="00152C89"/>
    <w:rsid w:val="00152E54"/>
    <w:rsid w:val="00152F9B"/>
    <w:rsid w:val="0015328F"/>
    <w:rsid w:val="001532B4"/>
    <w:rsid w:val="001532F9"/>
    <w:rsid w:val="00153683"/>
    <w:rsid w:val="00153911"/>
    <w:rsid w:val="00153A62"/>
    <w:rsid w:val="00153B50"/>
    <w:rsid w:val="00153B93"/>
    <w:rsid w:val="00153D3B"/>
    <w:rsid w:val="00153EAD"/>
    <w:rsid w:val="00154629"/>
    <w:rsid w:val="00154983"/>
    <w:rsid w:val="00154D4A"/>
    <w:rsid w:val="00154D8B"/>
    <w:rsid w:val="0015513F"/>
    <w:rsid w:val="0015515B"/>
    <w:rsid w:val="0015542D"/>
    <w:rsid w:val="001554A8"/>
    <w:rsid w:val="0015571A"/>
    <w:rsid w:val="001558A3"/>
    <w:rsid w:val="0015596F"/>
    <w:rsid w:val="00155B01"/>
    <w:rsid w:val="00155B62"/>
    <w:rsid w:val="00155E0C"/>
    <w:rsid w:val="00155FCD"/>
    <w:rsid w:val="001560EC"/>
    <w:rsid w:val="001562FF"/>
    <w:rsid w:val="0015659F"/>
    <w:rsid w:val="001567F3"/>
    <w:rsid w:val="001569D5"/>
    <w:rsid w:val="00156CF5"/>
    <w:rsid w:val="00156F83"/>
    <w:rsid w:val="00157075"/>
    <w:rsid w:val="00157125"/>
    <w:rsid w:val="00157190"/>
    <w:rsid w:val="001571A2"/>
    <w:rsid w:val="001571EB"/>
    <w:rsid w:val="00157259"/>
    <w:rsid w:val="001572AD"/>
    <w:rsid w:val="0015744F"/>
    <w:rsid w:val="00157473"/>
    <w:rsid w:val="001574C8"/>
    <w:rsid w:val="00157589"/>
    <w:rsid w:val="0015765C"/>
    <w:rsid w:val="00157B26"/>
    <w:rsid w:val="00157B35"/>
    <w:rsid w:val="00157D91"/>
    <w:rsid w:val="001600C5"/>
    <w:rsid w:val="001602AB"/>
    <w:rsid w:val="001604E8"/>
    <w:rsid w:val="00160832"/>
    <w:rsid w:val="00160892"/>
    <w:rsid w:val="0016091B"/>
    <w:rsid w:val="00160C66"/>
    <w:rsid w:val="00160CBB"/>
    <w:rsid w:val="00160D9B"/>
    <w:rsid w:val="00160DB5"/>
    <w:rsid w:val="00160FF1"/>
    <w:rsid w:val="00161051"/>
    <w:rsid w:val="0016108A"/>
    <w:rsid w:val="0016128F"/>
    <w:rsid w:val="00161322"/>
    <w:rsid w:val="001613C1"/>
    <w:rsid w:val="001615AD"/>
    <w:rsid w:val="001616F0"/>
    <w:rsid w:val="00161B05"/>
    <w:rsid w:val="00162225"/>
    <w:rsid w:val="0016225C"/>
    <w:rsid w:val="00162395"/>
    <w:rsid w:val="001626BC"/>
    <w:rsid w:val="00162A1C"/>
    <w:rsid w:val="00162A2B"/>
    <w:rsid w:val="00162C1B"/>
    <w:rsid w:val="00162D83"/>
    <w:rsid w:val="00162E74"/>
    <w:rsid w:val="00162E91"/>
    <w:rsid w:val="00162EDE"/>
    <w:rsid w:val="00163460"/>
    <w:rsid w:val="00163517"/>
    <w:rsid w:val="00163880"/>
    <w:rsid w:val="0016396B"/>
    <w:rsid w:val="00163BE9"/>
    <w:rsid w:val="00164271"/>
    <w:rsid w:val="00164380"/>
    <w:rsid w:val="00164498"/>
    <w:rsid w:val="001644BE"/>
    <w:rsid w:val="001646AD"/>
    <w:rsid w:val="001647D3"/>
    <w:rsid w:val="00164B9B"/>
    <w:rsid w:val="00164BAD"/>
    <w:rsid w:val="00164D0B"/>
    <w:rsid w:val="00164DBA"/>
    <w:rsid w:val="00164E13"/>
    <w:rsid w:val="00164E6D"/>
    <w:rsid w:val="00164F31"/>
    <w:rsid w:val="00165026"/>
    <w:rsid w:val="0016504C"/>
    <w:rsid w:val="00165162"/>
    <w:rsid w:val="00165973"/>
    <w:rsid w:val="00165BAD"/>
    <w:rsid w:val="00165C24"/>
    <w:rsid w:val="00165D33"/>
    <w:rsid w:val="00165E5C"/>
    <w:rsid w:val="00165E82"/>
    <w:rsid w:val="00165F6A"/>
    <w:rsid w:val="00165F98"/>
    <w:rsid w:val="00165FA8"/>
    <w:rsid w:val="00166070"/>
    <w:rsid w:val="001662DA"/>
    <w:rsid w:val="0016638C"/>
    <w:rsid w:val="00166407"/>
    <w:rsid w:val="00166665"/>
    <w:rsid w:val="00166671"/>
    <w:rsid w:val="001666BA"/>
    <w:rsid w:val="00166726"/>
    <w:rsid w:val="001668BD"/>
    <w:rsid w:val="001668EC"/>
    <w:rsid w:val="0016695E"/>
    <w:rsid w:val="001669D3"/>
    <w:rsid w:val="00166C9A"/>
    <w:rsid w:val="00166D33"/>
    <w:rsid w:val="00166E9B"/>
    <w:rsid w:val="00167427"/>
    <w:rsid w:val="0016745B"/>
    <w:rsid w:val="0016747F"/>
    <w:rsid w:val="001676E3"/>
    <w:rsid w:val="001678AB"/>
    <w:rsid w:val="00167927"/>
    <w:rsid w:val="001679B5"/>
    <w:rsid w:val="001679D7"/>
    <w:rsid w:val="00167BB3"/>
    <w:rsid w:val="00167CC9"/>
    <w:rsid w:val="00167D57"/>
    <w:rsid w:val="00167E1C"/>
    <w:rsid w:val="00167EE0"/>
    <w:rsid w:val="00170093"/>
    <w:rsid w:val="00170190"/>
    <w:rsid w:val="001702C8"/>
    <w:rsid w:val="00170514"/>
    <w:rsid w:val="00170ADF"/>
    <w:rsid w:val="00170B2C"/>
    <w:rsid w:val="00170B53"/>
    <w:rsid w:val="00170E33"/>
    <w:rsid w:val="00170E36"/>
    <w:rsid w:val="00170E70"/>
    <w:rsid w:val="00170F32"/>
    <w:rsid w:val="0017131B"/>
    <w:rsid w:val="00171516"/>
    <w:rsid w:val="001715AE"/>
    <w:rsid w:val="0017171E"/>
    <w:rsid w:val="001718DD"/>
    <w:rsid w:val="00171AC9"/>
    <w:rsid w:val="00171BAE"/>
    <w:rsid w:val="00171C5D"/>
    <w:rsid w:val="00171DEE"/>
    <w:rsid w:val="00171DFE"/>
    <w:rsid w:val="00172380"/>
    <w:rsid w:val="001725AA"/>
    <w:rsid w:val="001726DC"/>
    <w:rsid w:val="0017279F"/>
    <w:rsid w:val="001729B0"/>
    <w:rsid w:val="001729F0"/>
    <w:rsid w:val="00172BD3"/>
    <w:rsid w:val="00172CAB"/>
    <w:rsid w:val="00172F28"/>
    <w:rsid w:val="00172FD7"/>
    <w:rsid w:val="00173096"/>
    <w:rsid w:val="00173103"/>
    <w:rsid w:val="001733A9"/>
    <w:rsid w:val="001733CD"/>
    <w:rsid w:val="0017349A"/>
    <w:rsid w:val="001734BC"/>
    <w:rsid w:val="00173587"/>
    <w:rsid w:val="001735B3"/>
    <w:rsid w:val="001738C9"/>
    <w:rsid w:val="00173A67"/>
    <w:rsid w:val="00173BD4"/>
    <w:rsid w:val="0017409A"/>
    <w:rsid w:val="001743EF"/>
    <w:rsid w:val="001744A7"/>
    <w:rsid w:val="001745E6"/>
    <w:rsid w:val="001746BC"/>
    <w:rsid w:val="00174831"/>
    <w:rsid w:val="00174886"/>
    <w:rsid w:val="0017492A"/>
    <w:rsid w:val="00174935"/>
    <w:rsid w:val="001749B5"/>
    <w:rsid w:val="00174A9C"/>
    <w:rsid w:val="00174B00"/>
    <w:rsid w:val="00174B26"/>
    <w:rsid w:val="00174B41"/>
    <w:rsid w:val="00174CC6"/>
    <w:rsid w:val="00174D5C"/>
    <w:rsid w:val="00174E37"/>
    <w:rsid w:val="00175165"/>
    <w:rsid w:val="00175347"/>
    <w:rsid w:val="00175435"/>
    <w:rsid w:val="00175480"/>
    <w:rsid w:val="00175563"/>
    <w:rsid w:val="001755E3"/>
    <w:rsid w:val="00175682"/>
    <w:rsid w:val="001756A2"/>
    <w:rsid w:val="001756CC"/>
    <w:rsid w:val="00175804"/>
    <w:rsid w:val="00175A3A"/>
    <w:rsid w:val="00175B37"/>
    <w:rsid w:val="00175DE5"/>
    <w:rsid w:val="00175DF9"/>
    <w:rsid w:val="0017613F"/>
    <w:rsid w:val="001761CA"/>
    <w:rsid w:val="0017631F"/>
    <w:rsid w:val="0017663E"/>
    <w:rsid w:val="00176642"/>
    <w:rsid w:val="00176652"/>
    <w:rsid w:val="001766AA"/>
    <w:rsid w:val="001767AC"/>
    <w:rsid w:val="001767F3"/>
    <w:rsid w:val="0017687E"/>
    <w:rsid w:val="00176913"/>
    <w:rsid w:val="00176A0F"/>
    <w:rsid w:val="00176A84"/>
    <w:rsid w:val="00176AD0"/>
    <w:rsid w:val="00176CAC"/>
    <w:rsid w:val="00176D8F"/>
    <w:rsid w:val="00176E93"/>
    <w:rsid w:val="00176F23"/>
    <w:rsid w:val="0017724D"/>
    <w:rsid w:val="00177349"/>
    <w:rsid w:val="00177395"/>
    <w:rsid w:val="0017753A"/>
    <w:rsid w:val="001777C5"/>
    <w:rsid w:val="001777D4"/>
    <w:rsid w:val="001777D5"/>
    <w:rsid w:val="001777DA"/>
    <w:rsid w:val="001777E7"/>
    <w:rsid w:val="00177A5F"/>
    <w:rsid w:val="00177E74"/>
    <w:rsid w:val="00180353"/>
    <w:rsid w:val="00180990"/>
    <w:rsid w:val="00180AF0"/>
    <w:rsid w:val="00180E2F"/>
    <w:rsid w:val="00180EA2"/>
    <w:rsid w:val="0018118E"/>
    <w:rsid w:val="001811E2"/>
    <w:rsid w:val="00181655"/>
    <w:rsid w:val="00181733"/>
    <w:rsid w:val="001819BE"/>
    <w:rsid w:val="00181B8D"/>
    <w:rsid w:val="00181BBA"/>
    <w:rsid w:val="00181DDD"/>
    <w:rsid w:val="00181E16"/>
    <w:rsid w:val="00181FF6"/>
    <w:rsid w:val="0018227D"/>
    <w:rsid w:val="0018231E"/>
    <w:rsid w:val="00182406"/>
    <w:rsid w:val="00182517"/>
    <w:rsid w:val="0018258B"/>
    <w:rsid w:val="00182851"/>
    <w:rsid w:val="00182964"/>
    <w:rsid w:val="00182965"/>
    <w:rsid w:val="00182983"/>
    <w:rsid w:val="00182B85"/>
    <w:rsid w:val="00182DCC"/>
    <w:rsid w:val="00182ED8"/>
    <w:rsid w:val="00182F94"/>
    <w:rsid w:val="00183226"/>
    <w:rsid w:val="001834FA"/>
    <w:rsid w:val="0018364B"/>
    <w:rsid w:val="00183785"/>
    <w:rsid w:val="00183793"/>
    <w:rsid w:val="00183B26"/>
    <w:rsid w:val="00183BF5"/>
    <w:rsid w:val="00183E45"/>
    <w:rsid w:val="00184055"/>
    <w:rsid w:val="00184107"/>
    <w:rsid w:val="0018410A"/>
    <w:rsid w:val="0018419A"/>
    <w:rsid w:val="001842BD"/>
    <w:rsid w:val="001842EA"/>
    <w:rsid w:val="001843F7"/>
    <w:rsid w:val="00184444"/>
    <w:rsid w:val="00184625"/>
    <w:rsid w:val="0018471E"/>
    <w:rsid w:val="00184791"/>
    <w:rsid w:val="001848EB"/>
    <w:rsid w:val="0018494C"/>
    <w:rsid w:val="00184AF4"/>
    <w:rsid w:val="00184BA1"/>
    <w:rsid w:val="00184C37"/>
    <w:rsid w:val="00184FD9"/>
    <w:rsid w:val="001852B8"/>
    <w:rsid w:val="00185514"/>
    <w:rsid w:val="00185602"/>
    <w:rsid w:val="00185A69"/>
    <w:rsid w:val="00185AC9"/>
    <w:rsid w:val="00185AF3"/>
    <w:rsid w:val="00185B1E"/>
    <w:rsid w:val="00185B67"/>
    <w:rsid w:val="00185D4A"/>
    <w:rsid w:val="00185DB7"/>
    <w:rsid w:val="00185F28"/>
    <w:rsid w:val="00185F2D"/>
    <w:rsid w:val="00186184"/>
    <w:rsid w:val="0018625A"/>
    <w:rsid w:val="001862A7"/>
    <w:rsid w:val="00186705"/>
    <w:rsid w:val="001867A5"/>
    <w:rsid w:val="00186877"/>
    <w:rsid w:val="001868F7"/>
    <w:rsid w:val="00186B7A"/>
    <w:rsid w:val="00186BA3"/>
    <w:rsid w:val="00186EC7"/>
    <w:rsid w:val="00187249"/>
    <w:rsid w:val="0018736C"/>
    <w:rsid w:val="001873D2"/>
    <w:rsid w:val="001874EF"/>
    <w:rsid w:val="001876A4"/>
    <w:rsid w:val="0018781D"/>
    <w:rsid w:val="00187912"/>
    <w:rsid w:val="00190046"/>
    <w:rsid w:val="0019010B"/>
    <w:rsid w:val="0019013F"/>
    <w:rsid w:val="001903CF"/>
    <w:rsid w:val="001904E4"/>
    <w:rsid w:val="001905FB"/>
    <w:rsid w:val="00190661"/>
    <w:rsid w:val="00190684"/>
    <w:rsid w:val="00190755"/>
    <w:rsid w:val="001907C0"/>
    <w:rsid w:val="001909FE"/>
    <w:rsid w:val="00190C8E"/>
    <w:rsid w:val="00190CF6"/>
    <w:rsid w:val="00190E33"/>
    <w:rsid w:val="00191074"/>
    <w:rsid w:val="001911D8"/>
    <w:rsid w:val="00191270"/>
    <w:rsid w:val="001913BE"/>
    <w:rsid w:val="001913C2"/>
    <w:rsid w:val="00191571"/>
    <w:rsid w:val="001916FD"/>
    <w:rsid w:val="00191B6E"/>
    <w:rsid w:val="00191CF7"/>
    <w:rsid w:val="00191D68"/>
    <w:rsid w:val="0019224B"/>
    <w:rsid w:val="0019244A"/>
    <w:rsid w:val="0019266A"/>
    <w:rsid w:val="001928FF"/>
    <w:rsid w:val="001929C3"/>
    <w:rsid w:val="001929D7"/>
    <w:rsid w:val="00192C14"/>
    <w:rsid w:val="00192CFC"/>
    <w:rsid w:val="00192F5A"/>
    <w:rsid w:val="0019302C"/>
    <w:rsid w:val="001930AC"/>
    <w:rsid w:val="00193114"/>
    <w:rsid w:val="00193186"/>
    <w:rsid w:val="001932EE"/>
    <w:rsid w:val="0019359F"/>
    <w:rsid w:val="00193766"/>
    <w:rsid w:val="00193937"/>
    <w:rsid w:val="00193C07"/>
    <w:rsid w:val="00193E4D"/>
    <w:rsid w:val="00193FFD"/>
    <w:rsid w:val="00194257"/>
    <w:rsid w:val="0019427C"/>
    <w:rsid w:val="00194521"/>
    <w:rsid w:val="00194581"/>
    <w:rsid w:val="00194659"/>
    <w:rsid w:val="00194680"/>
    <w:rsid w:val="00194AC6"/>
    <w:rsid w:val="00194B97"/>
    <w:rsid w:val="00194C0B"/>
    <w:rsid w:val="00194C0D"/>
    <w:rsid w:val="00194C68"/>
    <w:rsid w:val="00194E41"/>
    <w:rsid w:val="00194EDC"/>
    <w:rsid w:val="00194EFF"/>
    <w:rsid w:val="00194F09"/>
    <w:rsid w:val="00194F45"/>
    <w:rsid w:val="00195280"/>
    <w:rsid w:val="001952C5"/>
    <w:rsid w:val="00195574"/>
    <w:rsid w:val="001959AD"/>
    <w:rsid w:val="00195B91"/>
    <w:rsid w:val="00195C41"/>
    <w:rsid w:val="00195F12"/>
    <w:rsid w:val="00195F26"/>
    <w:rsid w:val="001960A6"/>
    <w:rsid w:val="001961E4"/>
    <w:rsid w:val="0019640F"/>
    <w:rsid w:val="0019678A"/>
    <w:rsid w:val="001967D4"/>
    <w:rsid w:val="001967DB"/>
    <w:rsid w:val="00196FD9"/>
    <w:rsid w:val="00197308"/>
    <w:rsid w:val="00197365"/>
    <w:rsid w:val="0019751E"/>
    <w:rsid w:val="001975CD"/>
    <w:rsid w:val="00197891"/>
    <w:rsid w:val="00197BB2"/>
    <w:rsid w:val="00197C36"/>
    <w:rsid w:val="00197EF8"/>
    <w:rsid w:val="001A0245"/>
    <w:rsid w:val="001A0589"/>
    <w:rsid w:val="001A0A17"/>
    <w:rsid w:val="001A101B"/>
    <w:rsid w:val="001A1035"/>
    <w:rsid w:val="001A10AA"/>
    <w:rsid w:val="001A1100"/>
    <w:rsid w:val="001A1172"/>
    <w:rsid w:val="001A11C3"/>
    <w:rsid w:val="001A1418"/>
    <w:rsid w:val="001A1647"/>
    <w:rsid w:val="001A18E5"/>
    <w:rsid w:val="001A19ED"/>
    <w:rsid w:val="001A1B71"/>
    <w:rsid w:val="001A1CE5"/>
    <w:rsid w:val="001A1FE7"/>
    <w:rsid w:val="001A2212"/>
    <w:rsid w:val="001A2480"/>
    <w:rsid w:val="001A25EF"/>
    <w:rsid w:val="001A26DE"/>
    <w:rsid w:val="001A27E4"/>
    <w:rsid w:val="001A28C5"/>
    <w:rsid w:val="001A293D"/>
    <w:rsid w:val="001A2C0A"/>
    <w:rsid w:val="001A2D68"/>
    <w:rsid w:val="001A3026"/>
    <w:rsid w:val="001A34B3"/>
    <w:rsid w:val="001A367D"/>
    <w:rsid w:val="001A3717"/>
    <w:rsid w:val="001A3746"/>
    <w:rsid w:val="001A38C4"/>
    <w:rsid w:val="001A3A35"/>
    <w:rsid w:val="001A3AC5"/>
    <w:rsid w:val="001A3C9C"/>
    <w:rsid w:val="001A3CAD"/>
    <w:rsid w:val="001A3D5E"/>
    <w:rsid w:val="001A3E06"/>
    <w:rsid w:val="001A3F95"/>
    <w:rsid w:val="001A421A"/>
    <w:rsid w:val="001A43E4"/>
    <w:rsid w:val="001A44CE"/>
    <w:rsid w:val="001A467A"/>
    <w:rsid w:val="001A472B"/>
    <w:rsid w:val="001A4A94"/>
    <w:rsid w:val="001A4AC4"/>
    <w:rsid w:val="001A4B56"/>
    <w:rsid w:val="001A4D4F"/>
    <w:rsid w:val="001A4E7D"/>
    <w:rsid w:val="001A4F97"/>
    <w:rsid w:val="001A5020"/>
    <w:rsid w:val="001A5094"/>
    <w:rsid w:val="001A52F7"/>
    <w:rsid w:val="001A5370"/>
    <w:rsid w:val="001A583F"/>
    <w:rsid w:val="001A5883"/>
    <w:rsid w:val="001A59E8"/>
    <w:rsid w:val="001A5A08"/>
    <w:rsid w:val="001A5BF4"/>
    <w:rsid w:val="001A5C0E"/>
    <w:rsid w:val="001A5C34"/>
    <w:rsid w:val="001A5EEE"/>
    <w:rsid w:val="001A67D7"/>
    <w:rsid w:val="001A6895"/>
    <w:rsid w:val="001A6934"/>
    <w:rsid w:val="001A69D2"/>
    <w:rsid w:val="001A726C"/>
    <w:rsid w:val="001A75CD"/>
    <w:rsid w:val="001A75D2"/>
    <w:rsid w:val="001A7718"/>
    <w:rsid w:val="001A7778"/>
    <w:rsid w:val="001A7779"/>
    <w:rsid w:val="001A7A43"/>
    <w:rsid w:val="001A7A89"/>
    <w:rsid w:val="001A7AAD"/>
    <w:rsid w:val="001A7BE7"/>
    <w:rsid w:val="001A7DBB"/>
    <w:rsid w:val="001A7E84"/>
    <w:rsid w:val="001A7F1B"/>
    <w:rsid w:val="001B01B8"/>
    <w:rsid w:val="001B0282"/>
    <w:rsid w:val="001B0469"/>
    <w:rsid w:val="001B05BD"/>
    <w:rsid w:val="001B0626"/>
    <w:rsid w:val="001B06AB"/>
    <w:rsid w:val="001B0707"/>
    <w:rsid w:val="001B096C"/>
    <w:rsid w:val="001B0B16"/>
    <w:rsid w:val="001B0D1C"/>
    <w:rsid w:val="001B0E88"/>
    <w:rsid w:val="001B0EAA"/>
    <w:rsid w:val="001B113C"/>
    <w:rsid w:val="001B1284"/>
    <w:rsid w:val="001B12B0"/>
    <w:rsid w:val="001B1337"/>
    <w:rsid w:val="001B135D"/>
    <w:rsid w:val="001B15E1"/>
    <w:rsid w:val="001B1867"/>
    <w:rsid w:val="001B1888"/>
    <w:rsid w:val="001B1926"/>
    <w:rsid w:val="001B19B5"/>
    <w:rsid w:val="001B1AC4"/>
    <w:rsid w:val="001B1B42"/>
    <w:rsid w:val="001B1C1E"/>
    <w:rsid w:val="001B1E0F"/>
    <w:rsid w:val="001B1E7A"/>
    <w:rsid w:val="001B1F7D"/>
    <w:rsid w:val="001B1FB3"/>
    <w:rsid w:val="001B2167"/>
    <w:rsid w:val="001B232C"/>
    <w:rsid w:val="001B2398"/>
    <w:rsid w:val="001B23DF"/>
    <w:rsid w:val="001B25C7"/>
    <w:rsid w:val="001B26F6"/>
    <w:rsid w:val="001B271E"/>
    <w:rsid w:val="001B2BFD"/>
    <w:rsid w:val="001B2CF8"/>
    <w:rsid w:val="001B2DCF"/>
    <w:rsid w:val="001B2E29"/>
    <w:rsid w:val="001B2EA8"/>
    <w:rsid w:val="001B2F56"/>
    <w:rsid w:val="001B3024"/>
    <w:rsid w:val="001B303D"/>
    <w:rsid w:val="001B32A7"/>
    <w:rsid w:val="001B333C"/>
    <w:rsid w:val="001B3401"/>
    <w:rsid w:val="001B3513"/>
    <w:rsid w:val="001B3593"/>
    <w:rsid w:val="001B36BE"/>
    <w:rsid w:val="001B3703"/>
    <w:rsid w:val="001B3738"/>
    <w:rsid w:val="001B3D78"/>
    <w:rsid w:val="001B3E22"/>
    <w:rsid w:val="001B3EA1"/>
    <w:rsid w:val="001B4105"/>
    <w:rsid w:val="001B436B"/>
    <w:rsid w:val="001B43A1"/>
    <w:rsid w:val="001B446A"/>
    <w:rsid w:val="001B45C1"/>
    <w:rsid w:val="001B4766"/>
    <w:rsid w:val="001B4AF3"/>
    <w:rsid w:val="001B4C6E"/>
    <w:rsid w:val="001B4ED6"/>
    <w:rsid w:val="001B5407"/>
    <w:rsid w:val="001B5631"/>
    <w:rsid w:val="001B5836"/>
    <w:rsid w:val="001B58BE"/>
    <w:rsid w:val="001B595A"/>
    <w:rsid w:val="001B5D2A"/>
    <w:rsid w:val="001B5FB1"/>
    <w:rsid w:val="001B623F"/>
    <w:rsid w:val="001B6425"/>
    <w:rsid w:val="001B6790"/>
    <w:rsid w:val="001B6804"/>
    <w:rsid w:val="001B68B9"/>
    <w:rsid w:val="001B6A21"/>
    <w:rsid w:val="001B6A64"/>
    <w:rsid w:val="001B6B5F"/>
    <w:rsid w:val="001B6B98"/>
    <w:rsid w:val="001B6BC9"/>
    <w:rsid w:val="001B6DBC"/>
    <w:rsid w:val="001B6F84"/>
    <w:rsid w:val="001B74FC"/>
    <w:rsid w:val="001B759B"/>
    <w:rsid w:val="001B760B"/>
    <w:rsid w:val="001B76A1"/>
    <w:rsid w:val="001B778C"/>
    <w:rsid w:val="001B7A4C"/>
    <w:rsid w:val="001B7CC5"/>
    <w:rsid w:val="001B7CF8"/>
    <w:rsid w:val="001B7E4C"/>
    <w:rsid w:val="001B7E87"/>
    <w:rsid w:val="001B7EA6"/>
    <w:rsid w:val="001B7F82"/>
    <w:rsid w:val="001C026A"/>
    <w:rsid w:val="001C02DB"/>
    <w:rsid w:val="001C03D4"/>
    <w:rsid w:val="001C067D"/>
    <w:rsid w:val="001C09C6"/>
    <w:rsid w:val="001C0C1D"/>
    <w:rsid w:val="001C0C75"/>
    <w:rsid w:val="001C0CCF"/>
    <w:rsid w:val="001C0D30"/>
    <w:rsid w:val="001C1080"/>
    <w:rsid w:val="001C1451"/>
    <w:rsid w:val="001C15B1"/>
    <w:rsid w:val="001C1B24"/>
    <w:rsid w:val="001C1C6E"/>
    <w:rsid w:val="001C1D2F"/>
    <w:rsid w:val="001C209B"/>
    <w:rsid w:val="001C20ED"/>
    <w:rsid w:val="001C2669"/>
    <w:rsid w:val="001C2A55"/>
    <w:rsid w:val="001C2AF6"/>
    <w:rsid w:val="001C2BA2"/>
    <w:rsid w:val="001C2BF5"/>
    <w:rsid w:val="001C2C03"/>
    <w:rsid w:val="001C2CF1"/>
    <w:rsid w:val="001C2D45"/>
    <w:rsid w:val="001C345B"/>
    <w:rsid w:val="001C357C"/>
    <w:rsid w:val="001C3BAC"/>
    <w:rsid w:val="001C3F9D"/>
    <w:rsid w:val="001C426F"/>
    <w:rsid w:val="001C4424"/>
    <w:rsid w:val="001C449F"/>
    <w:rsid w:val="001C4701"/>
    <w:rsid w:val="001C4B12"/>
    <w:rsid w:val="001C4C45"/>
    <w:rsid w:val="001C4CC9"/>
    <w:rsid w:val="001C4CE4"/>
    <w:rsid w:val="001C4CFC"/>
    <w:rsid w:val="001C4F6D"/>
    <w:rsid w:val="001C502D"/>
    <w:rsid w:val="001C52BD"/>
    <w:rsid w:val="001C547F"/>
    <w:rsid w:val="001C5612"/>
    <w:rsid w:val="001C573F"/>
    <w:rsid w:val="001C57E1"/>
    <w:rsid w:val="001C5A02"/>
    <w:rsid w:val="001C5AD1"/>
    <w:rsid w:val="001C5C1C"/>
    <w:rsid w:val="001C5EE1"/>
    <w:rsid w:val="001C609A"/>
    <w:rsid w:val="001C60B5"/>
    <w:rsid w:val="001C6126"/>
    <w:rsid w:val="001C6476"/>
    <w:rsid w:val="001C6510"/>
    <w:rsid w:val="001C6555"/>
    <w:rsid w:val="001C674D"/>
    <w:rsid w:val="001C6A37"/>
    <w:rsid w:val="001C6D66"/>
    <w:rsid w:val="001C6EB6"/>
    <w:rsid w:val="001C6EF5"/>
    <w:rsid w:val="001C6F02"/>
    <w:rsid w:val="001C6FFC"/>
    <w:rsid w:val="001C7243"/>
    <w:rsid w:val="001C7258"/>
    <w:rsid w:val="001C7354"/>
    <w:rsid w:val="001C74C8"/>
    <w:rsid w:val="001C7601"/>
    <w:rsid w:val="001C76DB"/>
    <w:rsid w:val="001C772C"/>
    <w:rsid w:val="001C7759"/>
    <w:rsid w:val="001C7A37"/>
    <w:rsid w:val="001C7CB0"/>
    <w:rsid w:val="001C7E34"/>
    <w:rsid w:val="001C7FDA"/>
    <w:rsid w:val="001D0164"/>
    <w:rsid w:val="001D0305"/>
    <w:rsid w:val="001D0681"/>
    <w:rsid w:val="001D06BA"/>
    <w:rsid w:val="001D06D7"/>
    <w:rsid w:val="001D07DB"/>
    <w:rsid w:val="001D0BC1"/>
    <w:rsid w:val="001D10E1"/>
    <w:rsid w:val="001D11B0"/>
    <w:rsid w:val="001D11B9"/>
    <w:rsid w:val="001D1605"/>
    <w:rsid w:val="001D163E"/>
    <w:rsid w:val="001D171E"/>
    <w:rsid w:val="001D1A51"/>
    <w:rsid w:val="001D1ACE"/>
    <w:rsid w:val="001D1C0A"/>
    <w:rsid w:val="001D1D2E"/>
    <w:rsid w:val="001D1DC6"/>
    <w:rsid w:val="001D1DDA"/>
    <w:rsid w:val="001D213D"/>
    <w:rsid w:val="001D22BC"/>
    <w:rsid w:val="001D2442"/>
    <w:rsid w:val="001D2FED"/>
    <w:rsid w:val="001D2FF0"/>
    <w:rsid w:val="001D3000"/>
    <w:rsid w:val="001D3034"/>
    <w:rsid w:val="001D311D"/>
    <w:rsid w:val="001D31EE"/>
    <w:rsid w:val="001D3352"/>
    <w:rsid w:val="001D3495"/>
    <w:rsid w:val="001D35F9"/>
    <w:rsid w:val="001D3699"/>
    <w:rsid w:val="001D36D7"/>
    <w:rsid w:val="001D3829"/>
    <w:rsid w:val="001D39EB"/>
    <w:rsid w:val="001D3C0A"/>
    <w:rsid w:val="001D3C8B"/>
    <w:rsid w:val="001D41FD"/>
    <w:rsid w:val="001D43F0"/>
    <w:rsid w:val="001D4430"/>
    <w:rsid w:val="001D4572"/>
    <w:rsid w:val="001D4C42"/>
    <w:rsid w:val="001D4D3C"/>
    <w:rsid w:val="001D4E6D"/>
    <w:rsid w:val="001D4FF3"/>
    <w:rsid w:val="001D4FFB"/>
    <w:rsid w:val="001D5241"/>
    <w:rsid w:val="001D5270"/>
    <w:rsid w:val="001D5465"/>
    <w:rsid w:val="001D5504"/>
    <w:rsid w:val="001D5CF4"/>
    <w:rsid w:val="001D5DAC"/>
    <w:rsid w:val="001D5DD3"/>
    <w:rsid w:val="001D5E0D"/>
    <w:rsid w:val="001D5EBB"/>
    <w:rsid w:val="001D60D0"/>
    <w:rsid w:val="001D6170"/>
    <w:rsid w:val="001D626E"/>
    <w:rsid w:val="001D6344"/>
    <w:rsid w:val="001D65B3"/>
    <w:rsid w:val="001D65F0"/>
    <w:rsid w:val="001D6697"/>
    <w:rsid w:val="001D696C"/>
    <w:rsid w:val="001D6A30"/>
    <w:rsid w:val="001D6B03"/>
    <w:rsid w:val="001D7241"/>
    <w:rsid w:val="001D72A1"/>
    <w:rsid w:val="001D7564"/>
    <w:rsid w:val="001D775A"/>
    <w:rsid w:val="001D78FB"/>
    <w:rsid w:val="001D79A3"/>
    <w:rsid w:val="001D7AEC"/>
    <w:rsid w:val="001D7B53"/>
    <w:rsid w:val="001D7C7A"/>
    <w:rsid w:val="001D7D97"/>
    <w:rsid w:val="001E002C"/>
    <w:rsid w:val="001E0266"/>
    <w:rsid w:val="001E02BB"/>
    <w:rsid w:val="001E0351"/>
    <w:rsid w:val="001E035F"/>
    <w:rsid w:val="001E03F7"/>
    <w:rsid w:val="001E0402"/>
    <w:rsid w:val="001E0450"/>
    <w:rsid w:val="001E046B"/>
    <w:rsid w:val="001E0868"/>
    <w:rsid w:val="001E0886"/>
    <w:rsid w:val="001E09ED"/>
    <w:rsid w:val="001E0B61"/>
    <w:rsid w:val="001E0BA9"/>
    <w:rsid w:val="001E0CBC"/>
    <w:rsid w:val="001E0F94"/>
    <w:rsid w:val="001E10C8"/>
    <w:rsid w:val="001E11AF"/>
    <w:rsid w:val="001E1408"/>
    <w:rsid w:val="001E145E"/>
    <w:rsid w:val="001E14E0"/>
    <w:rsid w:val="001E14FD"/>
    <w:rsid w:val="001E167B"/>
    <w:rsid w:val="001E1B39"/>
    <w:rsid w:val="001E1C37"/>
    <w:rsid w:val="001E1C9A"/>
    <w:rsid w:val="001E1D4E"/>
    <w:rsid w:val="001E2145"/>
    <w:rsid w:val="001E21AC"/>
    <w:rsid w:val="001E261A"/>
    <w:rsid w:val="001E2A84"/>
    <w:rsid w:val="001E2C1C"/>
    <w:rsid w:val="001E2C3B"/>
    <w:rsid w:val="001E2C62"/>
    <w:rsid w:val="001E2C7E"/>
    <w:rsid w:val="001E2E11"/>
    <w:rsid w:val="001E2F8E"/>
    <w:rsid w:val="001E2FC5"/>
    <w:rsid w:val="001E32BD"/>
    <w:rsid w:val="001E34D4"/>
    <w:rsid w:val="001E35C9"/>
    <w:rsid w:val="001E377E"/>
    <w:rsid w:val="001E3B2D"/>
    <w:rsid w:val="001E3B84"/>
    <w:rsid w:val="001E3C67"/>
    <w:rsid w:val="001E3F1A"/>
    <w:rsid w:val="001E3FE9"/>
    <w:rsid w:val="001E4014"/>
    <w:rsid w:val="001E414C"/>
    <w:rsid w:val="001E446C"/>
    <w:rsid w:val="001E4620"/>
    <w:rsid w:val="001E4810"/>
    <w:rsid w:val="001E48AF"/>
    <w:rsid w:val="001E48DF"/>
    <w:rsid w:val="001E4941"/>
    <w:rsid w:val="001E4B52"/>
    <w:rsid w:val="001E4BA6"/>
    <w:rsid w:val="001E552E"/>
    <w:rsid w:val="001E5837"/>
    <w:rsid w:val="001E5CD1"/>
    <w:rsid w:val="001E60E3"/>
    <w:rsid w:val="001E61A2"/>
    <w:rsid w:val="001E61E9"/>
    <w:rsid w:val="001E6309"/>
    <w:rsid w:val="001E6328"/>
    <w:rsid w:val="001E6557"/>
    <w:rsid w:val="001E655E"/>
    <w:rsid w:val="001E65FA"/>
    <w:rsid w:val="001E6C75"/>
    <w:rsid w:val="001E6EE7"/>
    <w:rsid w:val="001E6F33"/>
    <w:rsid w:val="001E6F34"/>
    <w:rsid w:val="001E6FD2"/>
    <w:rsid w:val="001E6FD9"/>
    <w:rsid w:val="001E705D"/>
    <w:rsid w:val="001E726C"/>
    <w:rsid w:val="001E73DC"/>
    <w:rsid w:val="001E7502"/>
    <w:rsid w:val="001E7582"/>
    <w:rsid w:val="001E76BC"/>
    <w:rsid w:val="001E77B5"/>
    <w:rsid w:val="001E77DC"/>
    <w:rsid w:val="001E781C"/>
    <w:rsid w:val="001E7844"/>
    <w:rsid w:val="001E7857"/>
    <w:rsid w:val="001E78A1"/>
    <w:rsid w:val="001F0034"/>
    <w:rsid w:val="001F0109"/>
    <w:rsid w:val="001F014F"/>
    <w:rsid w:val="001F01F7"/>
    <w:rsid w:val="001F0345"/>
    <w:rsid w:val="001F04AF"/>
    <w:rsid w:val="001F075B"/>
    <w:rsid w:val="001F09F5"/>
    <w:rsid w:val="001F0B3A"/>
    <w:rsid w:val="001F0B3D"/>
    <w:rsid w:val="001F0B96"/>
    <w:rsid w:val="001F0C2D"/>
    <w:rsid w:val="001F0C47"/>
    <w:rsid w:val="001F0E8C"/>
    <w:rsid w:val="001F101D"/>
    <w:rsid w:val="001F13E7"/>
    <w:rsid w:val="001F1798"/>
    <w:rsid w:val="001F17CE"/>
    <w:rsid w:val="001F1BC6"/>
    <w:rsid w:val="001F1F2A"/>
    <w:rsid w:val="001F1F50"/>
    <w:rsid w:val="001F20B1"/>
    <w:rsid w:val="001F21A1"/>
    <w:rsid w:val="001F21BD"/>
    <w:rsid w:val="001F23E3"/>
    <w:rsid w:val="001F24C9"/>
    <w:rsid w:val="001F26BE"/>
    <w:rsid w:val="001F27F0"/>
    <w:rsid w:val="001F2918"/>
    <w:rsid w:val="001F2976"/>
    <w:rsid w:val="001F2A14"/>
    <w:rsid w:val="001F2A29"/>
    <w:rsid w:val="001F2D46"/>
    <w:rsid w:val="001F2D61"/>
    <w:rsid w:val="001F2F6B"/>
    <w:rsid w:val="001F31B4"/>
    <w:rsid w:val="001F31B9"/>
    <w:rsid w:val="001F32E7"/>
    <w:rsid w:val="001F32F6"/>
    <w:rsid w:val="001F3613"/>
    <w:rsid w:val="001F399C"/>
    <w:rsid w:val="001F3B74"/>
    <w:rsid w:val="001F3BEB"/>
    <w:rsid w:val="001F3D0B"/>
    <w:rsid w:val="001F3D73"/>
    <w:rsid w:val="001F3E1A"/>
    <w:rsid w:val="001F3EE4"/>
    <w:rsid w:val="001F42A8"/>
    <w:rsid w:val="001F42BC"/>
    <w:rsid w:val="001F42EE"/>
    <w:rsid w:val="001F43B5"/>
    <w:rsid w:val="001F4481"/>
    <w:rsid w:val="001F4ABE"/>
    <w:rsid w:val="001F4B96"/>
    <w:rsid w:val="001F4C97"/>
    <w:rsid w:val="001F4D3B"/>
    <w:rsid w:val="001F4D64"/>
    <w:rsid w:val="001F4E3D"/>
    <w:rsid w:val="001F4EE1"/>
    <w:rsid w:val="001F4F0E"/>
    <w:rsid w:val="001F4F48"/>
    <w:rsid w:val="001F5032"/>
    <w:rsid w:val="001F5503"/>
    <w:rsid w:val="001F56B7"/>
    <w:rsid w:val="001F57BF"/>
    <w:rsid w:val="001F584D"/>
    <w:rsid w:val="001F58EF"/>
    <w:rsid w:val="001F59D8"/>
    <w:rsid w:val="001F5B76"/>
    <w:rsid w:val="001F5CBE"/>
    <w:rsid w:val="001F5D70"/>
    <w:rsid w:val="001F5DB5"/>
    <w:rsid w:val="001F5ED0"/>
    <w:rsid w:val="001F5ED5"/>
    <w:rsid w:val="001F5FFE"/>
    <w:rsid w:val="001F6063"/>
    <w:rsid w:val="001F649F"/>
    <w:rsid w:val="001F689A"/>
    <w:rsid w:val="001F6926"/>
    <w:rsid w:val="001F6B94"/>
    <w:rsid w:val="001F6D97"/>
    <w:rsid w:val="001F70AF"/>
    <w:rsid w:val="001F7219"/>
    <w:rsid w:val="001F728C"/>
    <w:rsid w:val="001F7595"/>
    <w:rsid w:val="001F75AE"/>
    <w:rsid w:val="001F75B0"/>
    <w:rsid w:val="001F76FF"/>
    <w:rsid w:val="001F78FE"/>
    <w:rsid w:val="001F7ABB"/>
    <w:rsid w:val="001F7B8B"/>
    <w:rsid w:val="001F7DD3"/>
    <w:rsid w:val="001F7DFB"/>
    <w:rsid w:val="00200111"/>
    <w:rsid w:val="00200365"/>
    <w:rsid w:val="00200456"/>
    <w:rsid w:val="00200582"/>
    <w:rsid w:val="00200976"/>
    <w:rsid w:val="00200A31"/>
    <w:rsid w:val="00200DA7"/>
    <w:rsid w:val="00201136"/>
    <w:rsid w:val="00201378"/>
    <w:rsid w:val="00201436"/>
    <w:rsid w:val="00201527"/>
    <w:rsid w:val="002015E4"/>
    <w:rsid w:val="002016AC"/>
    <w:rsid w:val="002017B5"/>
    <w:rsid w:val="00201AD4"/>
    <w:rsid w:val="002020A9"/>
    <w:rsid w:val="00202671"/>
    <w:rsid w:val="002026B6"/>
    <w:rsid w:val="002026BA"/>
    <w:rsid w:val="00202748"/>
    <w:rsid w:val="002029BE"/>
    <w:rsid w:val="002029E7"/>
    <w:rsid w:val="00202A8E"/>
    <w:rsid w:val="00202B6E"/>
    <w:rsid w:val="00202CF6"/>
    <w:rsid w:val="00203106"/>
    <w:rsid w:val="00203201"/>
    <w:rsid w:val="002033D7"/>
    <w:rsid w:val="0020344B"/>
    <w:rsid w:val="00203A58"/>
    <w:rsid w:val="00203BF5"/>
    <w:rsid w:val="00203C55"/>
    <w:rsid w:val="00203F1D"/>
    <w:rsid w:val="00203F2B"/>
    <w:rsid w:val="0020402F"/>
    <w:rsid w:val="0020413E"/>
    <w:rsid w:val="00204324"/>
    <w:rsid w:val="00204661"/>
    <w:rsid w:val="002047D3"/>
    <w:rsid w:val="00204AC9"/>
    <w:rsid w:val="00204E28"/>
    <w:rsid w:val="002052A6"/>
    <w:rsid w:val="00205348"/>
    <w:rsid w:val="002053FA"/>
    <w:rsid w:val="00205475"/>
    <w:rsid w:val="002054FE"/>
    <w:rsid w:val="00205864"/>
    <w:rsid w:val="00205A5E"/>
    <w:rsid w:val="002060EC"/>
    <w:rsid w:val="002061D3"/>
    <w:rsid w:val="00206234"/>
    <w:rsid w:val="002063F1"/>
    <w:rsid w:val="002063F2"/>
    <w:rsid w:val="002063F6"/>
    <w:rsid w:val="0020642F"/>
    <w:rsid w:val="00206571"/>
    <w:rsid w:val="0020669D"/>
    <w:rsid w:val="00206DC6"/>
    <w:rsid w:val="00206FF5"/>
    <w:rsid w:val="002070DD"/>
    <w:rsid w:val="00207343"/>
    <w:rsid w:val="00207407"/>
    <w:rsid w:val="002074DD"/>
    <w:rsid w:val="00207657"/>
    <w:rsid w:val="00207693"/>
    <w:rsid w:val="00207790"/>
    <w:rsid w:val="0020783F"/>
    <w:rsid w:val="00207C31"/>
    <w:rsid w:val="002100A3"/>
    <w:rsid w:val="002100F1"/>
    <w:rsid w:val="00210233"/>
    <w:rsid w:val="00210474"/>
    <w:rsid w:val="00210582"/>
    <w:rsid w:val="002106B6"/>
    <w:rsid w:val="002106C4"/>
    <w:rsid w:val="002106E1"/>
    <w:rsid w:val="00210759"/>
    <w:rsid w:val="00210AAE"/>
    <w:rsid w:val="00210BEF"/>
    <w:rsid w:val="00210C46"/>
    <w:rsid w:val="00210F38"/>
    <w:rsid w:val="00210F86"/>
    <w:rsid w:val="00211090"/>
    <w:rsid w:val="0021112C"/>
    <w:rsid w:val="00211241"/>
    <w:rsid w:val="0021149A"/>
    <w:rsid w:val="002114E5"/>
    <w:rsid w:val="002114E8"/>
    <w:rsid w:val="00211CFE"/>
    <w:rsid w:val="00211D44"/>
    <w:rsid w:val="00211EDD"/>
    <w:rsid w:val="0021239B"/>
    <w:rsid w:val="0021259A"/>
    <w:rsid w:val="00212750"/>
    <w:rsid w:val="00212890"/>
    <w:rsid w:val="002129D1"/>
    <w:rsid w:val="00212A0E"/>
    <w:rsid w:val="00212A8D"/>
    <w:rsid w:val="00212B3C"/>
    <w:rsid w:val="00212E0D"/>
    <w:rsid w:val="0021304F"/>
    <w:rsid w:val="002131A8"/>
    <w:rsid w:val="0021343A"/>
    <w:rsid w:val="002135A7"/>
    <w:rsid w:val="0021388A"/>
    <w:rsid w:val="002139A6"/>
    <w:rsid w:val="00213B79"/>
    <w:rsid w:val="00213EA8"/>
    <w:rsid w:val="00213F48"/>
    <w:rsid w:val="00213FE5"/>
    <w:rsid w:val="002140C2"/>
    <w:rsid w:val="002142AD"/>
    <w:rsid w:val="00214465"/>
    <w:rsid w:val="00214532"/>
    <w:rsid w:val="00214657"/>
    <w:rsid w:val="00214683"/>
    <w:rsid w:val="00214808"/>
    <w:rsid w:val="00214880"/>
    <w:rsid w:val="0021494B"/>
    <w:rsid w:val="00214B84"/>
    <w:rsid w:val="002150CA"/>
    <w:rsid w:val="002155D5"/>
    <w:rsid w:val="00215778"/>
    <w:rsid w:val="00215B61"/>
    <w:rsid w:val="00215CAC"/>
    <w:rsid w:val="00215D95"/>
    <w:rsid w:val="00216093"/>
    <w:rsid w:val="002161CA"/>
    <w:rsid w:val="00216289"/>
    <w:rsid w:val="0021640D"/>
    <w:rsid w:val="002165DD"/>
    <w:rsid w:val="0021660D"/>
    <w:rsid w:val="002166A5"/>
    <w:rsid w:val="002166D9"/>
    <w:rsid w:val="00216732"/>
    <w:rsid w:val="00216895"/>
    <w:rsid w:val="00216A38"/>
    <w:rsid w:val="00216D85"/>
    <w:rsid w:val="00216E2C"/>
    <w:rsid w:val="00216F30"/>
    <w:rsid w:val="00217178"/>
    <w:rsid w:val="00217182"/>
    <w:rsid w:val="0021748B"/>
    <w:rsid w:val="00217963"/>
    <w:rsid w:val="002179CE"/>
    <w:rsid w:val="00217EAD"/>
    <w:rsid w:val="00217EB1"/>
    <w:rsid w:val="00217EBC"/>
    <w:rsid w:val="00217F82"/>
    <w:rsid w:val="002201B4"/>
    <w:rsid w:val="002202E7"/>
    <w:rsid w:val="00220421"/>
    <w:rsid w:val="00220577"/>
    <w:rsid w:val="00220719"/>
    <w:rsid w:val="00220A03"/>
    <w:rsid w:val="00220DB5"/>
    <w:rsid w:val="00220F1D"/>
    <w:rsid w:val="0022103D"/>
    <w:rsid w:val="002210D0"/>
    <w:rsid w:val="002210DC"/>
    <w:rsid w:val="002211EF"/>
    <w:rsid w:val="0022121E"/>
    <w:rsid w:val="002212B4"/>
    <w:rsid w:val="0022135D"/>
    <w:rsid w:val="00221370"/>
    <w:rsid w:val="00221387"/>
    <w:rsid w:val="002215CF"/>
    <w:rsid w:val="00221863"/>
    <w:rsid w:val="0022186D"/>
    <w:rsid w:val="00221964"/>
    <w:rsid w:val="002219E9"/>
    <w:rsid w:val="00221B21"/>
    <w:rsid w:val="00221C70"/>
    <w:rsid w:val="0022203B"/>
    <w:rsid w:val="0022229E"/>
    <w:rsid w:val="002222A8"/>
    <w:rsid w:val="00222451"/>
    <w:rsid w:val="00222526"/>
    <w:rsid w:val="00222535"/>
    <w:rsid w:val="002225DB"/>
    <w:rsid w:val="00223005"/>
    <w:rsid w:val="0022304E"/>
    <w:rsid w:val="002231DB"/>
    <w:rsid w:val="002232F4"/>
    <w:rsid w:val="00223940"/>
    <w:rsid w:val="002239CF"/>
    <w:rsid w:val="00223BC9"/>
    <w:rsid w:val="00223ECD"/>
    <w:rsid w:val="00223F87"/>
    <w:rsid w:val="0022416A"/>
    <w:rsid w:val="0022441D"/>
    <w:rsid w:val="00224533"/>
    <w:rsid w:val="002248C6"/>
    <w:rsid w:val="00224971"/>
    <w:rsid w:val="00224C48"/>
    <w:rsid w:val="00224D9F"/>
    <w:rsid w:val="00224F99"/>
    <w:rsid w:val="0022504E"/>
    <w:rsid w:val="002250E2"/>
    <w:rsid w:val="00225396"/>
    <w:rsid w:val="0022551E"/>
    <w:rsid w:val="00225552"/>
    <w:rsid w:val="00225564"/>
    <w:rsid w:val="0022560C"/>
    <w:rsid w:val="002256C2"/>
    <w:rsid w:val="002257EC"/>
    <w:rsid w:val="00225A02"/>
    <w:rsid w:val="00225A8F"/>
    <w:rsid w:val="00225AEA"/>
    <w:rsid w:val="00225B16"/>
    <w:rsid w:val="00226081"/>
    <w:rsid w:val="0022611E"/>
    <w:rsid w:val="00226225"/>
    <w:rsid w:val="002265DD"/>
    <w:rsid w:val="002267C1"/>
    <w:rsid w:val="00226B68"/>
    <w:rsid w:val="00226D0F"/>
    <w:rsid w:val="00226DA6"/>
    <w:rsid w:val="00226F9C"/>
    <w:rsid w:val="00227156"/>
    <w:rsid w:val="00227303"/>
    <w:rsid w:val="0022742E"/>
    <w:rsid w:val="0022751C"/>
    <w:rsid w:val="0022756E"/>
    <w:rsid w:val="002277D1"/>
    <w:rsid w:val="002277EC"/>
    <w:rsid w:val="002301AE"/>
    <w:rsid w:val="00230309"/>
    <w:rsid w:val="002306BD"/>
    <w:rsid w:val="00230866"/>
    <w:rsid w:val="00230911"/>
    <w:rsid w:val="00230988"/>
    <w:rsid w:val="00230A39"/>
    <w:rsid w:val="00230AAA"/>
    <w:rsid w:val="00230B45"/>
    <w:rsid w:val="00230B8C"/>
    <w:rsid w:val="00230C7F"/>
    <w:rsid w:val="00230E54"/>
    <w:rsid w:val="00230E94"/>
    <w:rsid w:val="0023111E"/>
    <w:rsid w:val="00231409"/>
    <w:rsid w:val="002318C7"/>
    <w:rsid w:val="00231A69"/>
    <w:rsid w:val="00231C97"/>
    <w:rsid w:val="00231CC9"/>
    <w:rsid w:val="00231FC5"/>
    <w:rsid w:val="002320BD"/>
    <w:rsid w:val="0023227D"/>
    <w:rsid w:val="002322B6"/>
    <w:rsid w:val="0023231B"/>
    <w:rsid w:val="0023232A"/>
    <w:rsid w:val="0023238C"/>
    <w:rsid w:val="00232411"/>
    <w:rsid w:val="00232473"/>
    <w:rsid w:val="002329D4"/>
    <w:rsid w:val="002334AB"/>
    <w:rsid w:val="00233546"/>
    <w:rsid w:val="00233A86"/>
    <w:rsid w:val="00233B2A"/>
    <w:rsid w:val="00233B5B"/>
    <w:rsid w:val="00233D74"/>
    <w:rsid w:val="00233DE1"/>
    <w:rsid w:val="00233EDD"/>
    <w:rsid w:val="002341BB"/>
    <w:rsid w:val="002342EA"/>
    <w:rsid w:val="00234380"/>
    <w:rsid w:val="002343E9"/>
    <w:rsid w:val="00234929"/>
    <w:rsid w:val="0023499B"/>
    <w:rsid w:val="00234B7B"/>
    <w:rsid w:val="00234E96"/>
    <w:rsid w:val="00234EEE"/>
    <w:rsid w:val="00234FA3"/>
    <w:rsid w:val="00235050"/>
    <w:rsid w:val="00235085"/>
    <w:rsid w:val="002350EB"/>
    <w:rsid w:val="00235336"/>
    <w:rsid w:val="002353C3"/>
    <w:rsid w:val="0023548D"/>
    <w:rsid w:val="002356D3"/>
    <w:rsid w:val="00235833"/>
    <w:rsid w:val="00235D8E"/>
    <w:rsid w:val="00235E6C"/>
    <w:rsid w:val="00235EAB"/>
    <w:rsid w:val="00235F73"/>
    <w:rsid w:val="00235F85"/>
    <w:rsid w:val="00236232"/>
    <w:rsid w:val="00236235"/>
    <w:rsid w:val="00236322"/>
    <w:rsid w:val="0023634B"/>
    <w:rsid w:val="002363AD"/>
    <w:rsid w:val="0023649A"/>
    <w:rsid w:val="002364B5"/>
    <w:rsid w:val="00236548"/>
    <w:rsid w:val="002365AD"/>
    <w:rsid w:val="00236618"/>
    <w:rsid w:val="00236657"/>
    <w:rsid w:val="0023673D"/>
    <w:rsid w:val="002367AE"/>
    <w:rsid w:val="00236A48"/>
    <w:rsid w:val="00236DF6"/>
    <w:rsid w:val="00236F0A"/>
    <w:rsid w:val="002371B2"/>
    <w:rsid w:val="002372DF"/>
    <w:rsid w:val="00237540"/>
    <w:rsid w:val="00237C4C"/>
    <w:rsid w:val="00237D44"/>
    <w:rsid w:val="002401F9"/>
    <w:rsid w:val="00240314"/>
    <w:rsid w:val="00240899"/>
    <w:rsid w:val="00240908"/>
    <w:rsid w:val="002409DB"/>
    <w:rsid w:val="00240A1D"/>
    <w:rsid w:val="00240BC8"/>
    <w:rsid w:val="00240D9F"/>
    <w:rsid w:val="00240DE3"/>
    <w:rsid w:val="00240DFF"/>
    <w:rsid w:val="00240E82"/>
    <w:rsid w:val="00240E91"/>
    <w:rsid w:val="00240EE8"/>
    <w:rsid w:val="00241071"/>
    <w:rsid w:val="002412E3"/>
    <w:rsid w:val="002413D4"/>
    <w:rsid w:val="00241997"/>
    <w:rsid w:val="002419DB"/>
    <w:rsid w:val="00241AC3"/>
    <w:rsid w:val="00241C97"/>
    <w:rsid w:val="00241EDC"/>
    <w:rsid w:val="002424E9"/>
    <w:rsid w:val="00242586"/>
    <w:rsid w:val="002425DB"/>
    <w:rsid w:val="002426D9"/>
    <w:rsid w:val="0024293F"/>
    <w:rsid w:val="00242B5F"/>
    <w:rsid w:val="00242BE5"/>
    <w:rsid w:val="00242CE6"/>
    <w:rsid w:val="00242E90"/>
    <w:rsid w:val="00242EC6"/>
    <w:rsid w:val="00243291"/>
    <w:rsid w:val="0024377C"/>
    <w:rsid w:val="0024384A"/>
    <w:rsid w:val="00243901"/>
    <w:rsid w:val="0024395B"/>
    <w:rsid w:val="00243C40"/>
    <w:rsid w:val="00243D40"/>
    <w:rsid w:val="00243F39"/>
    <w:rsid w:val="00243F9B"/>
    <w:rsid w:val="002441DD"/>
    <w:rsid w:val="0024434E"/>
    <w:rsid w:val="002443BB"/>
    <w:rsid w:val="00244474"/>
    <w:rsid w:val="00244622"/>
    <w:rsid w:val="0024488E"/>
    <w:rsid w:val="00244932"/>
    <w:rsid w:val="002449FB"/>
    <w:rsid w:val="00244AF9"/>
    <w:rsid w:val="00244B04"/>
    <w:rsid w:val="00244B34"/>
    <w:rsid w:val="00244B7F"/>
    <w:rsid w:val="00244D68"/>
    <w:rsid w:val="00244E17"/>
    <w:rsid w:val="00244EA6"/>
    <w:rsid w:val="00244ED6"/>
    <w:rsid w:val="00244F7E"/>
    <w:rsid w:val="002451BC"/>
    <w:rsid w:val="00245334"/>
    <w:rsid w:val="002454A1"/>
    <w:rsid w:val="002455DE"/>
    <w:rsid w:val="00245C77"/>
    <w:rsid w:val="00245CE7"/>
    <w:rsid w:val="00245CFB"/>
    <w:rsid w:val="00245E10"/>
    <w:rsid w:val="00245E50"/>
    <w:rsid w:val="00245E79"/>
    <w:rsid w:val="00246253"/>
    <w:rsid w:val="00246515"/>
    <w:rsid w:val="002465F4"/>
    <w:rsid w:val="00246652"/>
    <w:rsid w:val="0024675A"/>
    <w:rsid w:val="00246A57"/>
    <w:rsid w:val="00246AAC"/>
    <w:rsid w:val="00246B6A"/>
    <w:rsid w:val="00246BA0"/>
    <w:rsid w:val="00246C54"/>
    <w:rsid w:val="00246F13"/>
    <w:rsid w:val="00247144"/>
    <w:rsid w:val="002471D5"/>
    <w:rsid w:val="00247256"/>
    <w:rsid w:val="00247382"/>
    <w:rsid w:val="002473EF"/>
    <w:rsid w:val="002474A9"/>
    <w:rsid w:val="002477FB"/>
    <w:rsid w:val="00247813"/>
    <w:rsid w:val="00247827"/>
    <w:rsid w:val="00247B5D"/>
    <w:rsid w:val="00247DA5"/>
    <w:rsid w:val="00247E42"/>
    <w:rsid w:val="00250067"/>
    <w:rsid w:val="002500E5"/>
    <w:rsid w:val="0025012E"/>
    <w:rsid w:val="002501F1"/>
    <w:rsid w:val="0025030B"/>
    <w:rsid w:val="00250373"/>
    <w:rsid w:val="002504AB"/>
    <w:rsid w:val="00250616"/>
    <w:rsid w:val="00250639"/>
    <w:rsid w:val="002506FC"/>
    <w:rsid w:val="00250C61"/>
    <w:rsid w:val="00250D8D"/>
    <w:rsid w:val="00250DFC"/>
    <w:rsid w:val="00251040"/>
    <w:rsid w:val="002512A1"/>
    <w:rsid w:val="00251488"/>
    <w:rsid w:val="00251528"/>
    <w:rsid w:val="0025165B"/>
    <w:rsid w:val="00251842"/>
    <w:rsid w:val="00251883"/>
    <w:rsid w:val="002518B1"/>
    <w:rsid w:val="00251A3A"/>
    <w:rsid w:val="00251A70"/>
    <w:rsid w:val="00251BEE"/>
    <w:rsid w:val="00251C2E"/>
    <w:rsid w:val="00251EF1"/>
    <w:rsid w:val="00251F46"/>
    <w:rsid w:val="002521D3"/>
    <w:rsid w:val="002521E9"/>
    <w:rsid w:val="0025225C"/>
    <w:rsid w:val="00252390"/>
    <w:rsid w:val="002523F8"/>
    <w:rsid w:val="00252561"/>
    <w:rsid w:val="00252790"/>
    <w:rsid w:val="0025290F"/>
    <w:rsid w:val="00252942"/>
    <w:rsid w:val="00252B2F"/>
    <w:rsid w:val="00253008"/>
    <w:rsid w:val="0025314C"/>
    <w:rsid w:val="00253706"/>
    <w:rsid w:val="00253923"/>
    <w:rsid w:val="00253968"/>
    <w:rsid w:val="00253BD5"/>
    <w:rsid w:val="00253F2F"/>
    <w:rsid w:val="00253F8C"/>
    <w:rsid w:val="00254029"/>
    <w:rsid w:val="0025403D"/>
    <w:rsid w:val="0025412C"/>
    <w:rsid w:val="00254229"/>
    <w:rsid w:val="00254369"/>
    <w:rsid w:val="00254478"/>
    <w:rsid w:val="002545AD"/>
    <w:rsid w:val="0025483B"/>
    <w:rsid w:val="002549ED"/>
    <w:rsid w:val="00254A19"/>
    <w:rsid w:val="00254AFF"/>
    <w:rsid w:val="00254C90"/>
    <w:rsid w:val="00255048"/>
    <w:rsid w:val="00255095"/>
    <w:rsid w:val="00255127"/>
    <w:rsid w:val="00255204"/>
    <w:rsid w:val="00255327"/>
    <w:rsid w:val="00255405"/>
    <w:rsid w:val="00255ED8"/>
    <w:rsid w:val="00256232"/>
    <w:rsid w:val="0025632D"/>
    <w:rsid w:val="002566AF"/>
    <w:rsid w:val="002566FD"/>
    <w:rsid w:val="00256773"/>
    <w:rsid w:val="00256785"/>
    <w:rsid w:val="00256978"/>
    <w:rsid w:val="00256C0C"/>
    <w:rsid w:val="00256D20"/>
    <w:rsid w:val="00256DC4"/>
    <w:rsid w:val="0025701A"/>
    <w:rsid w:val="0025725C"/>
    <w:rsid w:val="0025762D"/>
    <w:rsid w:val="002578EA"/>
    <w:rsid w:val="00257A89"/>
    <w:rsid w:val="00257BB3"/>
    <w:rsid w:val="00257CCD"/>
    <w:rsid w:val="00257D36"/>
    <w:rsid w:val="00257E2E"/>
    <w:rsid w:val="00257E4F"/>
    <w:rsid w:val="0026004B"/>
    <w:rsid w:val="00260200"/>
    <w:rsid w:val="00260517"/>
    <w:rsid w:val="00260545"/>
    <w:rsid w:val="00260675"/>
    <w:rsid w:val="0026074B"/>
    <w:rsid w:val="00260753"/>
    <w:rsid w:val="00260756"/>
    <w:rsid w:val="002609BE"/>
    <w:rsid w:val="00260EB7"/>
    <w:rsid w:val="00260FA7"/>
    <w:rsid w:val="002611A2"/>
    <w:rsid w:val="002611B0"/>
    <w:rsid w:val="00261658"/>
    <w:rsid w:val="002617CC"/>
    <w:rsid w:val="00261945"/>
    <w:rsid w:val="00261A81"/>
    <w:rsid w:val="00261C71"/>
    <w:rsid w:val="00261DD0"/>
    <w:rsid w:val="00261FAB"/>
    <w:rsid w:val="00261FFB"/>
    <w:rsid w:val="00262723"/>
    <w:rsid w:val="0026280C"/>
    <w:rsid w:val="00262838"/>
    <w:rsid w:val="002628C5"/>
    <w:rsid w:val="00262BB2"/>
    <w:rsid w:val="00263010"/>
    <w:rsid w:val="00263073"/>
    <w:rsid w:val="002630D8"/>
    <w:rsid w:val="00263295"/>
    <w:rsid w:val="002632F6"/>
    <w:rsid w:val="00263320"/>
    <w:rsid w:val="00263600"/>
    <w:rsid w:val="0026361B"/>
    <w:rsid w:val="002636A2"/>
    <w:rsid w:val="00263841"/>
    <w:rsid w:val="0026394B"/>
    <w:rsid w:val="00263A2B"/>
    <w:rsid w:val="00263F58"/>
    <w:rsid w:val="00264030"/>
    <w:rsid w:val="00264270"/>
    <w:rsid w:val="00264398"/>
    <w:rsid w:val="002643D9"/>
    <w:rsid w:val="002647EA"/>
    <w:rsid w:val="002648CC"/>
    <w:rsid w:val="00264A7B"/>
    <w:rsid w:val="00264B22"/>
    <w:rsid w:val="00264B64"/>
    <w:rsid w:val="0026512C"/>
    <w:rsid w:val="00265291"/>
    <w:rsid w:val="00265364"/>
    <w:rsid w:val="002653B3"/>
    <w:rsid w:val="002655EB"/>
    <w:rsid w:val="0026569C"/>
    <w:rsid w:val="002657AE"/>
    <w:rsid w:val="00265965"/>
    <w:rsid w:val="00265A14"/>
    <w:rsid w:val="00265ACB"/>
    <w:rsid w:val="002660AD"/>
    <w:rsid w:val="002661EA"/>
    <w:rsid w:val="00266225"/>
    <w:rsid w:val="002662C1"/>
    <w:rsid w:val="00266316"/>
    <w:rsid w:val="00266723"/>
    <w:rsid w:val="00266871"/>
    <w:rsid w:val="00266B21"/>
    <w:rsid w:val="00266B44"/>
    <w:rsid w:val="00266DD7"/>
    <w:rsid w:val="00266EDB"/>
    <w:rsid w:val="00266F45"/>
    <w:rsid w:val="00267078"/>
    <w:rsid w:val="0026709E"/>
    <w:rsid w:val="002671D2"/>
    <w:rsid w:val="002671FF"/>
    <w:rsid w:val="002672BE"/>
    <w:rsid w:val="0026744A"/>
    <w:rsid w:val="00267565"/>
    <w:rsid w:val="002676AE"/>
    <w:rsid w:val="002676FC"/>
    <w:rsid w:val="002678C7"/>
    <w:rsid w:val="00267903"/>
    <w:rsid w:val="00267B21"/>
    <w:rsid w:val="0027016B"/>
    <w:rsid w:val="002703E1"/>
    <w:rsid w:val="002703F8"/>
    <w:rsid w:val="00270744"/>
    <w:rsid w:val="002708EC"/>
    <w:rsid w:val="00270BD7"/>
    <w:rsid w:val="00270BFA"/>
    <w:rsid w:val="00270BFE"/>
    <w:rsid w:val="00270C4A"/>
    <w:rsid w:val="00270D4E"/>
    <w:rsid w:val="00270DA7"/>
    <w:rsid w:val="00270E89"/>
    <w:rsid w:val="00270FAF"/>
    <w:rsid w:val="00271116"/>
    <w:rsid w:val="00271539"/>
    <w:rsid w:val="00271563"/>
    <w:rsid w:val="002715D8"/>
    <w:rsid w:val="002718FF"/>
    <w:rsid w:val="00271B2B"/>
    <w:rsid w:val="002720F6"/>
    <w:rsid w:val="002722FD"/>
    <w:rsid w:val="00272342"/>
    <w:rsid w:val="0027238A"/>
    <w:rsid w:val="0027275A"/>
    <w:rsid w:val="002728ED"/>
    <w:rsid w:val="00272BFC"/>
    <w:rsid w:val="002731F9"/>
    <w:rsid w:val="00273223"/>
    <w:rsid w:val="002732F4"/>
    <w:rsid w:val="00273347"/>
    <w:rsid w:val="0027347C"/>
    <w:rsid w:val="002734E4"/>
    <w:rsid w:val="0027365E"/>
    <w:rsid w:val="00273AB7"/>
    <w:rsid w:val="00273D24"/>
    <w:rsid w:val="00273EB7"/>
    <w:rsid w:val="00273EC4"/>
    <w:rsid w:val="00273F0C"/>
    <w:rsid w:val="00274157"/>
    <w:rsid w:val="00274165"/>
    <w:rsid w:val="002747F1"/>
    <w:rsid w:val="002749C3"/>
    <w:rsid w:val="00274CE3"/>
    <w:rsid w:val="00274D4D"/>
    <w:rsid w:val="0027505C"/>
    <w:rsid w:val="002750BA"/>
    <w:rsid w:val="0027531A"/>
    <w:rsid w:val="002754A4"/>
    <w:rsid w:val="002754D3"/>
    <w:rsid w:val="0027564D"/>
    <w:rsid w:val="00275982"/>
    <w:rsid w:val="00275D8C"/>
    <w:rsid w:val="00275E86"/>
    <w:rsid w:val="00275EBA"/>
    <w:rsid w:val="00275F29"/>
    <w:rsid w:val="002760A2"/>
    <w:rsid w:val="002760ED"/>
    <w:rsid w:val="0027635C"/>
    <w:rsid w:val="00276556"/>
    <w:rsid w:val="002765E8"/>
    <w:rsid w:val="0027674A"/>
    <w:rsid w:val="00276AD3"/>
    <w:rsid w:val="00276ADC"/>
    <w:rsid w:val="00276BA5"/>
    <w:rsid w:val="00276BEC"/>
    <w:rsid w:val="00276C05"/>
    <w:rsid w:val="00276C7A"/>
    <w:rsid w:val="00276D6C"/>
    <w:rsid w:val="0027709F"/>
    <w:rsid w:val="00277297"/>
    <w:rsid w:val="00277377"/>
    <w:rsid w:val="00277711"/>
    <w:rsid w:val="00277729"/>
    <w:rsid w:val="00277AD5"/>
    <w:rsid w:val="00277CAC"/>
    <w:rsid w:val="00277CF7"/>
    <w:rsid w:val="00277FBB"/>
    <w:rsid w:val="00280009"/>
    <w:rsid w:val="002804C8"/>
    <w:rsid w:val="002805AD"/>
    <w:rsid w:val="00280654"/>
    <w:rsid w:val="002809D4"/>
    <w:rsid w:val="00280A6A"/>
    <w:rsid w:val="00280CBF"/>
    <w:rsid w:val="00280DC5"/>
    <w:rsid w:val="00280F01"/>
    <w:rsid w:val="00280F58"/>
    <w:rsid w:val="002810B0"/>
    <w:rsid w:val="00281338"/>
    <w:rsid w:val="00281392"/>
    <w:rsid w:val="002814E2"/>
    <w:rsid w:val="0028159F"/>
    <w:rsid w:val="0028167C"/>
    <w:rsid w:val="00281B0E"/>
    <w:rsid w:val="00281BDD"/>
    <w:rsid w:val="00281CB2"/>
    <w:rsid w:val="00281FCA"/>
    <w:rsid w:val="00282023"/>
    <w:rsid w:val="002821F4"/>
    <w:rsid w:val="0028241B"/>
    <w:rsid w:val="00282699"/>
    <w:rsid w:val="002826E1"/>
    <w:rsid w:val="00282778"/>
    <w:rsid w:val="002828F6"/>
    <w:rsid w:val="0028290D"/>
    <w:rsid w:val="00282961"/>
    <w:rsid w:val="00282A98"/>
    <w:rsid w:val="00282B0E"/>
    <w:rsid w:val="00282B60"/>
    <w:rsid w:val="00282BEC"/>
    <w:rsid w:val="00282CA0"/>
    <w:rsid w:val="00282F9E"/>
    <w:rsid w:val="00282FDC"/>
    <w:rsid w:val="0028320D"/>
    <w:rsid w:val="00283302"/>
    <w:rsid w:val="0028330F"/>
    <w:rsid w:val="00283531"/>
    <w:rsid w:val="00283534"/>
    <w:rsid w:val="0028361E"/>
    <w:rsid w:val="00283624"/>
    <w:rsid w:val="00283754"/>
    <w:rsid w:val="00283867"/>
    <w:rsid w:val="00283ABC"/>
    <w:rsid w:val="00283F6D"/>
    <w:rsid w:val="002842A1"/>
    <w:rsid w:val="002842D1"/>
    <w:rsid w:val="00284816"/>
    <w:rsid w:val="00284D58"/>
    <w:rsid w:val="00284F55"/>
    <w:rsid w:val="00284FA9"/>
    <w:rsid w:val="00284FEF"/>
    <w:rsid w:val="002850E6"/>
    <w:rsid w:val="002851F1"/>
    <w:rsid w:val="0028528F"/>
    <w:rsid w:val="00285380"/>
    <w:rsid w:val="00285507"/>
    <w:rsid w:val="00285888"/>
    <w:rsid w:val="0028597D"/>
    <w:rsid w:val="00285A61"/>
    <w:rsid w:val="00285AD5"/>
    <w:rsid w:val="00285BB7"/>
    <w:rsid w:val="00285D57"/>
    <w:rsid w:val="00285F58"/>
    <w:rsid w:val="002861E3"/>
    <w:rsid w:val="0028642C"/>
    <w:rsid w:val="00286483"/>
    <w:rsid w:val="0028671E"/>
    <w:rsid w:val="00286893"/>
    <w:rsid w:val="0028691F"/>
    <w:rsid w:val="00286ACA"/>
    <w:rsid w:val="00286AFF"/>
    <w:rsid w:val="002870DB"/>
    <w:rsid w:val="002875CE"/>
    <w:rsid w:val="00287A07"/>
    <w:rsid w:val="00287D6C"/>
    <w:rsid w:val="00287E33"/>
    <w:rsid w:val="00290033"/>
    <w:rsid w:val="0029005E"/>
    <w:rsid w:val="002900BE"/>
    <w:rsid w:val="002901BC"/>
    <w:rsid w:val="00290523"/>
    <w:rsid w:val="002908A5"/>
    <w:rsid w:val="002908B4"/>
    <w:rsid w:val="00290C81"/>
    <w:rsid w:val="00290D26"/>
    <w:rsid w:val="00290FEB"/>
    <w:rsid w:val="00290FF1"/>
    <w:rsid w:val="002915AA"/>
    <w:rsid w:val="00291656"/>
    <w:rsid w:val="0029166C"/>
    <w:rsid w:val="00291970"/>
    <w:rsid w:val="00291976"/>
    <w:rsid w:val="00291C27"/>
    <w:rsid w:val="00291CD8"/>
    <w:rsid w:val="00291D28"/>
    <w:rsid w:val="00291DA8"/>
    <w:rsid w:val="00291DC7"/>
    <w:rsid w:val="00291FC8"/>
    <w:rsid w:val="002920D3"/>
    <w:rsid w:val="002921DD"/>
    <w:rsid w:val="002922C8"/>
    <w:rsid w:val="00292408"/>
    <w:rsid w:val="00292420"/>
    <w:rsid w:val="0029247A"/>
    <w:rsid w:val="00292E55"/>
    <w:rsid w:val="00292FA9"/>
    <w:rsid w:val="0029345A"/>
    <w:rsid w:val="002934D1"/>
    <w:rsid w:val="0029350C"/>
    <w:rsid w:val="00293542"/>
    <w:rsid w:val="00293637"/>
    <w:rsid w:val="0029392E"/>
    <w:rsid w:val="002939FB"/>
    <w:rsid w:val="00293A10"/>
    <w:rsid w:val="00293B85"/>
    <w:rsid w:val="00293E09"/>
    <w:rsid w:val="002941AF"/>
    <w:rsid w:val="0029489D"/>
    <w:rsid w:val="002949C2"/>
    <w:rsid w:val="00294AFB"/>
    <w:rsid w:val="00294BD2"/>
    <w:rsid w:val="00294EBF"/>
    <w:rsid w:val="00294F1B"/>
    <w:rsid w:val="00294F56"/>
    <w:rsid w:val="002950CF"/>
    <w:rsid w:val="00295498"/>
    <w:rsid w:val="00295B0F"/>
    <w:rsid w:val="00295B23"/>
    <w:rsid w:val="00295C38"/>
    <w:rsid w:val="00295EB5"/>
    <w:rsid w:val="00296250"/>
    <w:rsid w:val="0029627B"/>
    <w:rsid w:val="002962BC"/>
    <w:rsid w:val="00296716"/>
    <w:rsid w:val="00296865"/>
    <w:rsid w:val="002969BD"/>
    <w:rsid w:val="00296ADA"/>
    <w:rsid w:val="00296AEF"/>
    <w:rsid w:val="00296B76"/>
    <w:rsid w:val="00296E7D"/>
    <w:rsid w:val="00297070"/>
    <w:rsid w:val="002970B7"/>
    <w:rsid w:val="0029714A"/>
    <w:rsid w:val="0029716F"/>
    <w:rsid w:val="00297565"/>
    <w:rsid w:val="0029763C"/>
    <w:rsid w:val="002976FF"/>
    <w:rsid w:val="00297722"/>
    <w:rsid w:val="0029778F"/>
    <w:rsid w:val="00297C51"/>
    <w:rsid w:val="00297F53"/>
    <w:rsid w:val="002A011B"/>
    <w:rsid w:val="002A01A0"/>
    <w:rsid w:val="002A05F2"/>
    <w:rsid w:val="002A0607"/>
    <w:rsid w:val="002A072F"/>
    <w:rsid w:val="002A0759"/>
    <w:rsid w:val="002A082D"/>
    <w:rsid w:val="002A09A0"/>
    <w:rsid w:val="002A0A51"/>
    <w:rsid w:val="002A0BAB"/>
    <w:rsid w:val="002A0C89"/>
    <w:rsid w:val="002A0D9B"/>
    <w:rsid w:val="002A0F81"/>
    <w:rsid w:val="002A10A1"/>
    <w:rsid w:val="002A1172"/>
    <w:rsid w:val="002A11FB"/>
    <w:rsid w:val="002A135E"/>
    <w:rsid w:val="002A13F2"/>
    <w:rsid w:val="002A1617"/>
    <w:rsid w:val="002A16EF"/>
    <w:rsid w:val="002A197B"/>
    <w:rsid w:val="002A1ACB"/>
    <w:rsid w:val="002A1C87"/>
    <w:rsid w:val="002A1D32"/>
    <w:rsid w:val="002A1FCD"/>
    <w:rsid w:val="002A1FF7"/>
    <w:rsid w:val="002A208E"/>
    <w:rsid w:val="002A213B"/>
    <w:rsid w:val="002A2214"/>
    <w:rsid w:val="002A2233"/>
    <w:rsid w:val="002A26F3"/>
    <w:rsid w:val="002A26FD"/>
    <w:rsid w:val="002A275A"/>
    <w:rsid w:val="002A282C"/>
    <w:rsid w:val="002A296D"/>
    <w:rsid w:val="002A2A91"/>
    <w:rsid w:val="002A2B4B"/>
    <w:rsid w:val="002A2C1E"/>
    <w:rsid w:val="002A2D90"/>
    <w:rsid w:val="002A2E25"/>
    <w:rsid w:val="002A2FFA"/>
    <w:rsid w:val="002A317B"/>
    <w:rsid w:val="002A32D7"/>
    <w:rsid w:val="002A3667"/>
    <w:rsid w:val="002A3757"/>
    <w:rsid w:val="002A39A2"/>
    <w:rsid w:val="002A3B80"/>
    <w:rsid w:val="002A3C9B"/>
    <w:rsid w:val="002A3E8F"/>
    <w:rsid w:val="002A3F90"/>
    <w:rsid w:val="002A40C1"/>
    <w:rsid w:val="002A4168"/>
    <w:rsid w:val="002A4170"/>
    <w:rsid w:val="002A42FF"/>
    <w:rsid w:val="002A43CE"/>
    <w:rsid w:val="002A44D3"/>
    <w:rsid w:val="002A4578"/>
    <w:rsid w:val="002A4A20"/>
    <w:rsid w:val="002A4A3A"/>
    <w:rsid w:val="002A4A47"/>
    <w:rsid w:val="002A4A7A"/>
    <w:rsid w:val="002A4BEF"/>
    <w:rsid w:val="002A503B"/>
    <w:rsid w:val="002A513D"/>
    <w:rsid w:val="002A5411"/>
    <w:rsid w:val="002A54C2"/>
    <w:rsid w:val="002A556A"/>
    <w:rsid w:val="002A55CB"/>
    <w:rsid w:val="002A57A8"/>
    <w:rsid w:val="002A5816"/>
    <w:rsid w:val="002A5819"/>
    <w:rsid w:val="002A58A3"/>
    <w:rsid w:val="002A58BB"/>
    <w:rsid w:val="002A5A4C"/>
    <w:rsid w:val="002A5A6F"/>
    <w:rsid w:val="002A5AAD"/>
    <w:rsid w:val="002A5D5B"/>
    <w:rsid w:val="002A5DDD"/>
    <w:rsid w:val="002A5E5E"/>
    <w:rsid w:val="002A6211"/>
    <w:rsid w:val="002A626F"/>
    <w:rsid w:val="002A66D5"/>
    <w:rsid w:val="002A66EB"/>
    <w:rsid w:val="002A676F"/>
    <w:rsid w:val="002A6ADB"/>
    <w:rsid w:val="002A6B1B"/>
    <w:rsid w:val="002A6BF2"/>
    <w:rsid w:val="002A6E57"/>
    <w:rsid w:val="002A7244"/>
    <w:rsid w:val="002A741B"/>
    <w:rsid w:val="002A7443"/>
    <w:rsid w:val="002A74DA"/>
    <w:rsid w:val="002A77E9"/>
    <w:rsid w:val="002A786C"/>
    <w:rsid w:val="002A789B"/>
    <w:rsid w:val="002A79A4"/>
    <w:rsid w:val="002A7AB8"/>
    <w:rsid w:val="002A7D7B"/>
    <w:rsid w:val="002A7DDE"/>
    <w:rsid w:val="002A7E28"/>
    <w:rsid w:val="002A7FB8"/>
    <w:rsid w:val="002B00BE"/>
    <w:rsid w:val="002B035D"/>
    <w:rsid w:val="002B08C3"/>
    <w:rsid w:val="002B0A48"/>
    <w:rsid w:val="002B0BDB"/>
    <w:rsid w:val="002B0DC1"/>
    <w:rsid w:val="002B1048"/>
    <w:rsid w:val="002B10EF"/>
    <w:rsid w:val="002B114A"/>
    <w:rsid w:val="002B12C1"/>
    <w:rsid w:val="002B12D0"/>
    <w:rsid w:val="002B14B2"/>
    <w:rsid w:val="002B16DE"/>
    <w:rsid w:val="002B1792"/>
    <w:rsid w:val="002B17A6"/>
    <w:rsid w:val="002B189A"/>
    <w:rsid w:val="002B19E3"/>
    <w:rsid w:val="002B1E0F"/>
    <w:rsid w:val="002B1ECD"/>
    <w:rsid w:val="002B2234"/>
    <w:rsid w:val="002B2302"/>
    <w:rsid w:val="002B24E2"/>
    <w:rsid w:val="002B24FD"/>
    <w:rsid w:val="002B2520"/>
    <w:rsid w:val="002B2550"/>
    <w:rsid w:val="002B266C"/>
    <w:rsid w:val="002B2844"/>
    <w:rsid w:val="002B2985"/>
    <w:rsid w:val="002B29CF"/>
    <w:rsid w:val="002B29ED"/>
    <w:rsid w:val="002B2A0D"/>
    <w:rsid w:val="002B2AB2"/>
    <w:rsid w:val="002B2ABD"/>
    <w:rsid w:val="002B2AEC"/>
    <w:rsid w:val="002B2BE3"/>
    <w:rsid w:val="002B2C35"/>
    <w:rsid w:val="002B2F2B"/>
    <w:rsid w:val="002B3060"/>
    <w:rsid w:val="002B3098"/>
    <w:rsid w:val="002B3368"/>
    <w:rsid w:val="002B342C"/>
    <w:rsid w:val="002B3452"/>
    <w:rsid w:val="002B34B8"/>
    <w:rsid w:val="002B36B4"/>
    <w:rsid w:val="002B371D"/>
    <w:rsid w:val="002B3D49"/>
    <w:rsid w:val="002B3D79"/>
    <w:rsid w:val="002B3E11"/>
    <w:rsid w:val="002B4133"/>
    <w:rsid w:val="002B41A0"/>
    <w:rsid w:val="002B41BA"/>
    <w:rsid w:val="002B42E2"/>
    <w:rsid w:val="002B434F"/>
    <w:rsid w:val="002B44E4"/>
    <w:rsid w:val="002B47B0"/>
    <w:rsid w:val="002B481B"/>
    <w:rsid w:val="002B487E"/>
    <w:rsid w:val="002B48A6"/>
    <w:rsid w:val="002B4AA3"/>
    <w:rsid w:val="002B4B92"/>
    <w:rsid w:val="002B4C3D"/>
    <w:rsid w:val="002B4EFA"/>
    <w:rsid w:val="002B4FC3"/>
    <w:rsid w:val="002B5313"/>
    <w:rsid w:val="002B53F8"/>
    <w:rsid w:val="002B5568"/>
    <w:rsid w:val="002B5799"/>
    <w:rsid w:val="002B5A66"/>
    <w:rsid w:val="002B5B70"/>
    <w:rsid w:val="002B5DA3"/>
    <w:rsid w:val="002B5DA5"/>
    <w:rsid w:val="002B5DAC"/>
    <w:rsid w:val="002B5DB5"/>
    <w:rsid w:val="002B5DFE"/>
    <w:rsid w:val="002B5E7B"/>
    <w:rsid w:val="002B5F6D"/>
    <w:rsid w:val="002B6245"/>
    <w:rsid w:val="002B6656"/>
    <w:rsid w:val="002B67A5"/>
    <w:rsid w:val="002B6CBD"/>
    <w:rsid w:val="002B6E69"/>
    <w:rsid w:val="002B7450"/>
    <w:rsid w:val="002B7659"/>
    <w:rsid w:val="002B776D"/>
    <w:rsid w:val="002B79F8"/>
    <w:rsid w:val="002B7C83"/>
    <w:rsid w:val="002B7CA5"/>
    <w:rsid w:val="002B7EE6"/>
    <w:rsid w:val="002B7F21"/>
    <w:rsid w:val="002B7F5C"/>
    <w:rsid w:val="002B7F71"/>
    <w:rsid w:val="002C0011"/>
    <w:rsid w:val="002C0118"/>
    <w:rsid w:val="002C025E"/>
    <w:rsid w:val="002C0374"/>
    <w:rsid w:val="002C054A"/>
    <w:rsid w:val="002C0778"/>
    <w:rsid w:val="002C07EF"/>
    <w:rsid w:val="002C0927"/>
    <w:rsid w:val="002C0A35"/>
    <w:rsid w:val="002C0E00"/>
    <w:rsid w:val="002C0E9D"/>
    <w:rsid w:val="002C1164"/>
    <w:rsid w:val="002C1258"/>
    <w:rsid w:val="002C12C8"/>
    <w:rsid w:val="002C1598"/>
    <w:rsid w:val="002C19C3"/>
    <w:rsid w:val="002C1A4E"/>
    <w:rsid w:val="002C1B76"/>
    <w:rsid w:val="002C1D7F"/>
    <w:rsid w:val="002C1E29"/>
    <w:rsid w:val="002C1E4A"/>
    <w:rsid w:val="002C1EE5"/>
    <w:rsid w:val="002C1FBD"/>
    <w:rsid w:val="002C25D5"/>
    <w:rsid w:val="002C25EA"/>
    <w:rsid w:val="002C271A"/>
    <w:rsid w:val="002C29C3"/>
    <w:rsid w:val="002C2CCB"/>
    <w:rsid w:val="002C2E40"/>
    <w:rsid w:val="002C34CC"/>
    <w:rsid w:val="002C35FE"/>
    <w:rsid w:val="002C3755"/>
    <w:rsid w:val="002C3905"/>
    <w:rsid w:val="002C3B59"/>
    <w:rsid w:val="002C3B76"/>
    <w:rsid w:val="002C3D34"/>
    <w:rsid w:val="002C3E47"/>
    <w:rsid w:val="002C4106"/>
    <w:rsid w:val="002C4254"/>
    <w:rsid w:val="002C4365"/>
    <w:rsid w:val="002C4465"/>
    <w:rsid w:val="002C4605"/>
    <w:rsid w:val="002C460E"/>
    <w:rsid w:val="002C479C"/>
    <w:rsid w:val="002C47D0"/>
    <w:rsid w:val="002C4A62"/>
    <w:rsid w:val="002C4CDB"/>
    <w:rsid w:val="002C4D5F"/>
    <w:rsid w:val="002C4FCF"/>
    <w:rsid w:val="002C5142"/>
    <w:rsid w:val="002C54EB"/>
    <w:rsid w:val="002C5535"/>
    <w:rsid w:val="002C558A"/>
    <w:rsid w:val="002C5614"/>
    <w:rsid w:val="002C58C0"/>
    <w:rsid w:val="002C592E"/>
    <w:rsid w:val="002C598F"/>
    <w:rsid w:val="002C5B20"/>
    <w:rsid w:val="002C5B60"/>
    <w:rsid w:val="002C5CE7"/>
    <w:rsid w:val="002C5D88"/>
    <w:rsid w:val="002C5DEC"/>
    <w:rsid w:val="002C5E4B"/>
    <w:rsid w:val="002C5F6A"/>
    <w:rsid w:val="002C6066"/>
    <w:rsid w:val="002C60F2"/>
    <w:rsid w:val="002C643C"/>
    <w:rsid w:val="002C65F8"/>
    <w:rsid w:val="002C6824"/>
    <w:rsid w:val="002C683C"/>
    <w:rsid w:val="002C6851"/>
    <w:rsid w:val="002C6A1D"/>
    <w:rsid w:val="002C6AB1"/>
    <w:rsid w:val="002C6AC9"/>
    <w:rsid w:val="002C6CD6"/>
    <w:rsid w:val="002C6D4C"/>
    <w:rsid w:val="002C71BC"/>
    <w:rsid w:val="002C745F"/>
    <w:rsid w:val="002C7541"/>
    <w:rsid w:val="002C76D5"/>
    <w:rsid w:val="002C7763"/>
    <w:rsid w:val="002C7826"/>
    <w:rsid w:val="002C789D"/>
    <w:rsid w:val="002C7BBC"/>
    <w:rsid w:val="002C7DB0"/>
    <w:rsid w:val="002D01F8"/>
    <w:rsid w:val="002D0231"/>
    <w:rsid w:val="002D0262"/>
    <w:rsid w:val="002D060F"/>
    <w:rsid w:val="002D0656"/>
    <w:rsid w:val="002D0759"/>
    <w:rsid w:val="002D095F"/>
    <w:rsid w:val="002D09A6"/>
    <w:rsid w:val="002D0AC5"/>
    <w:rsid w:val="002D0BA7"/>
    <w:rsid w:val="002D170C"/>
    <w:rsid w:val="002D177E"/>
    <w:rsid w:val="002D1841"/>
    <w:rsid w:val="002D1A6E"/>
    <w:rsid w:val="002D1B0A"/>
    <w:rsid w:val="002D1CC8"/>
    <w:rsid w:val="002D1D7F"/>
    <w:rsid w:val="002D1FDF"/>
    <w:rsid w:val="002D2153"/>
    <w:rsid w:val="002D24D5"/>
    <w:rsid w:val="002D2714"/>
    <w:rsid w:val="002D2837"/>
    <w:rsid w:val="002D2B5C"/>
    <w:rsid w:val="002D2BA3"/>
    <w:rsid w:val="002D2C1D"/>
    <w:rsid w:val="002D2DE8"/>
    <w:rsid w:val="002D2DF7"/>
    <w:rsid w:val="002D2FFF"/>
    <w:rsid w:val="002D32E1"/>
    <w:rsid w:val="002D333B"/>
    <w:rsid w:val="002D3344"/>
    <w:rsid w:val="002D33B8"/>
    <w:rsid w:val="002D3700"/>
    <w:rsid w:val="002D3724"/>
    <w:rsid w:val="002D393D"/>
    <w:rsid w:val="002D3A8D"/>
    <w:rsid w:val="002D3AD8"/>
    <w:rsid w:val="002D3B0D"/>
    <w:rsid w:val="002D3CC5"/>
    <w:rsid w:val="002D406D"/>
    <w:rsid w:val="002D40BA"/>
    <w:rsid w:val="002D410A"/>
    <w:rsid w:val="002D439E"/>
    <w:rsid w:val="002D4592"/>
    <w:rsid w:val="002D465B"/>
    <w:rsid w:val="002D47A5"/>
    <w:rsid w:val="002D49DA"/>
    <w:rsid w:val="002D4A32"/>
    <w:rsid w:val="002D4BCD"/>
    <w:rsid w:val="002D4DA5"/>
    <w:rsid w:val="002D515C"/>
    <w:rsid w:val="002D51AF"/>
    <w:rsid w:val="002D558C"/>
    <w:rsid w:val="002D5852"/>
    <w:rsid w:val="002D5857"/>
    <w:rsid w:val="002D58B5"/>
    <w:rsid w:val="002D58EF"/>
    <w:rsid w:val="002D5B0D"/>
    <w:rsid w:val="002D5B3B"/>
    <w:rsid w:val="002D5F84"/>
    <w:rsid w:val="002D5FB2"/>
    <w:rsid w:val="002D61C3"/>
    <w:rsid w:val="002D6407"/>
    <w:rsid w:val="002D649A"/>
    <w:rsid w:val="002D6679"/>
    <w:rsid w:val="002D672E"/>
    <w:rsid w:val="002D68FE"/>
    <w:rsid w:val="002D69C9"/>
    <w:rsid w:val="002D6AA6"/>
    <w:rsid w:val="002D6B80"/>
    <w:rsid w:val="002D6C05"/>
    <w:rsid w:val="002D6D11"/>
    <w:rsid w:val="002D73F5"/>
    <w:rsid w:val="002D7466"/>
    <w:rsid w:val="002D76E4"/>
    <w:rsid w:val="002D779B"/>
    <w:rsid w:val="002D7997"/>
    <w:rsid w:val="002D7A05"/>
    <w:rsid w:val="002D7AEA"/>
    <w:rsid w:val="002D7C79"/>
    <w:rsid w:val="002D7E59"/>
    <w:rsid w:val="002D7E60"/>
    <w:rsid w:val="002E0353"/>
    <w:rsid w:val="002E040A"/>
    <w:rsid w:val="002E041B"/>
    <w:rsid w:val="002E0889"/>
    <w:rsid w:val="002E08D4"/>
    <w:rsid w:val="002E0BED"/>
    <w:rsid w:val="002E0D16"/>
    <w:rsid w:val="002E0E23"/>
    <w:rsid w:val="002E0E74"/>
    <w:rsid w:val="002E104E"/>
    <w:rsid w:val="002E10B9"/>
    <w:rsid w:val="002E1134"/>
    <w:rsid w:val="002E1276"/>
    <w:rsid w:val="002E13B3"/>
    <w:rsid w:val="002E1484"/>
    <w:rsid w:val="002E165B"/>
    <w:rsid w:val="002E17F5"/>
    <w:rsid w:val="002E1ACF"/>
    <w:rsid w:val="002E1AD8"/>
    <w:rsid w:val="002E1C0C"/>
    <w:rsid w:val="002E1C85"/>
    <w:rsid w:val="002E1D87"/>
    <w:rsid w:val="002E1E01"/>
    <w:rsid w:val="002E1E1B"/>
    <w:rsid w:val="002E1E3E"/>
    <w:rsid w:val="002E1F90"/>
    <w:rsid w:val="002E22D2"/>
    <w:rsid w:val="002E2304"/>
    <w:rsid w:val="002E2B69"/>
    <w:rsid w:val="002E2F7E"/>
    <w:rsid w:val="002E2FE2"/>
    <w:rsid w:val="002E36B8"/>
    <w:rsid w:val="002E3DB2"/>
    <w:rsid w:val="002E436C"/>
    <w:rsid w:val="002E491B"/>
    <w:rsid w:val="002E4B3D"/>
    <w:rsid w:val="002E4B3F"/>
    <w:rsid w:val="002E4CAD"/>
    <w:rsid w:val="002E4CBC"/>
    <w:rsid w:val="002E5116"/>
    <w:rsid w:val="002E52F3"/>
    <w:rsid w:val="002E54DA"/>
    <w:rsid w:val="002E551E"/>
    <w:rsid w:val="002E562A"/>
    <w:rsid w:val="002E5770"/>
    <w:rsid w:val="002E5813"/>
    <w:rsid w:val="002E589B"/>
    <w:rsid w:val="002E5990"/>
    <w:rsid w:val="002E5AA3"/>
    <w:rsid w:val="002E5AE6"/>
    <w:rsid w:val="002E5B68"/>
    <w:rsid w:val="002E5B8C"/>
    <w:rsid w:val="002E5D0D"/>
    <w:rsid w:val="002E5F32"/>
    <w:rsid w:val="002E6093"/>
    <w:rsid w:val="002E64BA"/>
    <w:rsid w:val="002E663B"/>
    <w:rsid w:val="002E68AE"/>
    <w:rsid w:val="002E6A2F"/>
    <w:rsid w:val="002E7004"/>
    <w:rsid w:val="002E7059"/>
    <w:rsid w:val="002E70A4"/>
    <w:rsid w:val="002E7257"/>
    <w:rsid w:val="002E725F"/>
    <w:rsid w:val="002E72DF"/>
    <w:rsid w:val="002E73C3"/>
    <w:rsid w:val="002E746C"/>
    <w:rsid w:val="002E793B"/>
    <w:rsid w:val="002E7B7D"/>
    <w:rsid w:val="002E7C5F"/>
    <w:rsid w:val="002E7C7C"/>
    <w:rsid w:val="002E7D7A"/>
    <w:rsid w:val="002E7E72"/>
    <w:rsid w:val="002F0007"/>
    <w:rsid w:val="002F0328"/>
    <w:rsid w:val="002F03BE"/>
    <w:rsid w:val="002F04DF"/>
    <w:rsid w:val="002F052A"/>
    <w:rsid w:val="002F083A"/>
    <w:rsid w:val="002F0879"/>
    <w:rsid w:val="002F087B"/>
    <w:rsid w:val="002F0AD4"/>
    <w:rsid w:val="002F0E16"/>
    <w:rsid w:val="002F0F53"/>
    <w:rsid w:val="002F18C1"/>
    <w:rsid w:val="002F1B2E"/>
    <w:rsid w:val="002F1E4D"/>
    <w:rsid w:val="002F1F4E"/>
    <w:rsid w:val="002F22A4"/>
    <w:rsid w:val="002F2331"/>
    <w:rsid w:val="002F2557"/>
    <w:rsid w:val="002F2632"/>
    <w:rsid w:val="002F2782"/>
    <w:rsid w:val="002F2964"/>
    <w:rsid w:val="002F2D3C"/>
    <w:rsid w:val="002F2D8E"/>
    <w:rsid w:val="002F2E05"/>
    <w:rsid w:val="002F2F02"/>
    <w:rsid w:val="002F316A"/>
    <w:rsid w:val="002F3810"/>
    <w:rsid w:val="002F3839"/>
    <w:rsid w:val="002F3952"/>
    <w:rsid w:val="002F3B0A"/>
    <w:rsid w:val="002F3F36"/>
    <w:rsid w:val="002F3FCB"/>
    <w:rsid w:val="002F4041"/>
    <w:rsid w:val="002F427D"/>
    <w:rsid w:val="002F4380"/>
    <w:rsid w:val="002F443C"/>
    <w:rsid w:val="002F4981"/>
    <w:rsid w:val="002F4997"/>
    <w:rsid w:val="002F499F"/>
    <w:rsid w:val="002F49F2"/>
    <w:rsid w:val="002F49F3"/>
    <w:rsid w:val="002F4B05"/>
    <w:rsid w:val="002F4B18"/>
    <w:rsid w:val="002F4B44"/>
    <w:rsid w:val="002F4B86"/>
    <w:rsid w:val="002F4C44"/>
    <w:rsid w:val="002F4F46"/>
    <w:rsid w:val="002F50E3"/>
    <w:rsid w:val="002F527F"/>
    <w:rsid w:val="002F52FF"/>
    <w:rsid w:val="002F5350"/>
    <w:rsid w:val="002F5529"/>
    <w:rsid w:val="002F5665"/>
    <w:rsid w:val="002F5698"/>
    <w:rsid w:val="002F58CC"/>
    <w:rsid w:val="002F59CA"/>
    <w:rsid w:val="002F5A5D"/>
    <w:rsid w:val="002F60DC"/>
    <w:rsid w:val="002F6135"/>
    <w:rsid w:val="002F627A"/>
    <w:rsid w:val="002F6422"/>
    <w:rsid w:val="002F649C"/>
    <w:rsid w:val="002F65CE"/>
    <w:rsid w:val="002F6692"/>
    <w:rsid w:val="002F66F3"/>
    <w:rsid w:val="002F683D"/>
    <w:rsid w:val="002F6AFB"/>
    <w:rsid w:val="002F6BB5"/>
    <w:rsid w:val="002F6C7B"/>
    <w:rsid w:val="002F7100"/>
    <w:rsid w:val="002F7146"/>
    <w:rsid w:val="002F71A0"/>
    <w:rsid w:val="002F7536"/>
    <w:rsid w:val="002F75D6"/>
    <w:rsid w:val="002F7877"/>
    <w:rsid w:val="002F78DC"/>
    <w:rsid w:val="002F7A0B"/>
    <w:rsid w:val="002F7DE4"/>
    <w:rsid w:val="002F7F42"/>
    <w:rsid w:val="002F7F78"/>
    <w:rsid w:val="00300185"/>
    <w:rsid w:val="0030032D"/>
    <w:rsid w:val="00300435"/>
    <w:rsid w:val="00300979"/>
    <w:rsid w:val="00300AC8"/>
    <w:rsid w:val="00300CD2"/>
    <w:rsid w:val="00300D6B"/>
    <w:rsid w:val="00300FB0"/>
    <w:rsid w:val="0030124C"/>
    <w:rsid w:val="00301371"/>
    <w:rsid w:val="0030155D"/>
    <w:rsid w:val="0030172B"/>
    <w:rsid w:val="00301803"/>
    <w:rsid w:val="003019CD"/>
    <w:rsid w:val="003019D5"/>
    <w:rsid w:val="00301A40"/>
    <w:rsid w:val="00301B52"/>
    <w:rsid w:val="00301CFD"/>
    <w:rsid w:val="00301E68"/>
    <w:rsid w:val="0030205B"/>
    <w:rsid w:val="00302403"/>
    <w:rsid w:val="0030261F"/>
    <w:rsid w:val="0030269F"/>
    <w:rsid w:val="003026C5"/>
    <w:rsid w:val="00302736"/>
    <w:rsid w:val="0030284D"/>
    <w:rsid w:val="00302A94"/>
    <w:rsid w:val="00302C32"/>
    <w:rsid w:val="00302E3F"/>
    <w:rsid w:val="00302E8D"/>
    <w:rsid w:val="00302F0B"/>
    <w:rsid w:val="0030363B"/>
    <w:rsid w:val="0030374C"/>
    <w:rsid w:val="003037C0"/>
    <w:rsid w:val="003038C0"/>
    <w:rsid w:val="003039D0"/>
    <w:rsid w:val="00303BA0"/>
    <w:rsid w:val="00303D85"/>
    <w:rsid w:val="00304079"/>
    <w:rsid w:val="00304431"/>
    <w:rsid w:val="00304453"/>
    <w:rsid w:val="003044C2"/>
    <w:rsid w:val="00304643"/>
    <w:rsid w:val="00304709"/>
    <w:rsid w:val="0030474E"/>
    <w:rsid w:val="00304940"/>
    <w:rsid w:val="00304A1D"/>
    <w:rsid w:val="00304D9A"/>
    <w:rsid w:val="00304E15"/>
    <w:rsid w:val="00304F87"/>
    <w:rsid w:val="003053F0"/>
    <w:rsid w:val="00305540"/>
    <w:rsid w:val="0030559E"/>
    <w:rsid w:val="00305884"/>
    <w:rsid w:val="00305A09"/>
    <w:rsid w:val="00305DC5"/>
    <w:rsid w:val="00305E23"/>
    <w:rsid w:val="00305E8C"/>
    <w:rsid w:val="00305F37"/>
    <w:rsid w:val="003060FA"/>
    <w:rsid w:val="003062A3"/>
    <w:rsid w:val="0030631A"/>
    <w:rsid w:val="00306528"/>
    <w:rsid w:val="00306593"/>
    <w:rsid w:val="00306633"/>
    <w:rsid w:val="00306675"/>
    <w:rsid w:val="00306686"/>
    <w:rsid w:val="003066A9"/>
    <w:rsid w:val="00306912"/>
    <w:rsid w:val="00306C63"/>
    <w:rsid w:val="00306C7B"/>
    <w:rsid w:val="00306DE5"/>
    <w:rsid w:val="003071F5"/>
    <w:rsid w:val="0030721F"/>
    <w:rsid w:val="00307238"/>
    <w:rsid w:val="003076D5"/>
    <w:rsid w:val="003078C7"/>
    <w:rsid w:val="00307C59"/>
    <w:rsid w:val="00307C7C"/>
    <w:rsid w:val="00310076"/>
    <w:rsid w:val="00310235"/>
    <w:rsid w:val="0031063B"/>
    <w:rsid w:val="0031066C"/>
    <w:rsid w:val="0031077F"/>
    <w:rsid w:val="00310952"/>
    <w:rsid w:val="00310D00"/>
    <w:rsid w:val="00310E29"/>
    <w:rsid w:val="00310EC7"/>
    <w:rsid w:val="00311179"/>
    <w:rsid w:val="00311550"/>
    <w:rsid w:val="003115F1"/>
    <w:rsid w:val="00311605"/>
    <w:rsid w:val="003116E2"/>
    <w:rsid w:val="003117A8"/>
    <w:rsid w:val="00311AB4"/>
    <w:rsid w:val="00311CFC"/>
    <w:rsid w:val="00311D2F"/>
    <w:rsid w:val="00311FEE"/>
    <w:rsid w:val="00312257"/>
    <w:rsid w:val="00312414"/>
    <w:rsid w:val="003128C3"/>
    <w:rsid w:val="00312BF5"/>
    <w:rsid w:val="00312BFC"/>
    <w:rsid w:val="00312D57"/>
    <w:rsid w:val="00312E85"/>
    <w:rsid w:val="00312EB5"/>
    <w:rsid w:val="00312F84"/>
    <w:rsid w:val="003134C9"/>
    <w:rsid w:val="00313544"/>
    <w:rsid w:val="0031354F"/>
    <w:rsid w:val="0031371B"/>
    <w:rsid w:val="003137B4"/>
    <w:rsid w:val="003138F6"/>
    <w:rsid w:val="00313A93"/>
    <w:rsid w:val="00313A97"/>
    <w:rsid w:val="00313D06"/>
    <w:rsid w:val="00314176"/>
    <w:rsid w:val="00314190"/>
    <w:rsid w:val="00314340"/>
    <w:rsid w:val="003143B7"/>
    <w:rsid w:val="003145E0"/>
    <w:rsid w:val="00314645"/>
    <w:rsid w:val="003146E1"/>
    <w:rsid w:val="003147DF"/>
    <w:rsid w:val="003149E3"/>
    <w:rsid w:val="00314A11"/>
    <w:rsid w:val="00314A88"/>
    <w:rsid w:val="00314A8E"/>
    <w:rsid w:val="00314FB3"/>
    <w:rsid w:val="003152F8"/>
    <w:rsid w:val="003153D0"/>
    <w:rsid w:val="00315400"/>
    <w:rsid w:val="0031557A"/>
    <w:rsid w:val="003155C7"/>
    <w:rsid w:val="00315633"/>
    <w:rsid w:val="003156BA"/>
    <w:rsid w:val="00315B30"/>
    <w:rsid w:val="00315B53"/>
    <w:rsid w:val="00315BD0"/>
    <w:rsid w:val="00315ED6"/>
    <w:rsid w:val="00315FB2"/>
    <w:rsid w:val="00315FD9"/>
    <w:rsid w:val="00316076"/>
    <w:rsid w:val="003161F3"/>
    <w:rsid w:val="003163C6"/>
    <w:rsid w:val="00316939"/>
    <w:rsid w:val="00316CE0"/>
    <w:rsid w:val="00316CE4"/>
    <w:rsid w:val="00317003"/>
    <w:rsid w:val="00317272"/>
    <w:rsid w:val="003173DF"/>
    <w:rsid w:val="0031747A"/>
    <w:rsid w:val="003174B6"/>
    <w:rsid w:val="003174E0"/>
    <w:rsid w:val="003176BA"/>
    <w:rsid w:val="0031777B"/>
    <w:rsid w:val="003178CC"/>
    <w:rsid w:val="00317B73"/>
    <w:rsid w:val="00317BCB"/>
    <w:rsid w:val="00317E15"/>
    <w:rsid w:val="00317E9D"/>
    <w:rsid w:val="00317EEB"/>
    <w:rsid w:val="00317F9D"/>
    <w:rsid w:val="00317FD0"/>
    <w:rsid w:val="00320008"/>
    <w:rsid w:val="0032002D"/>
    <w:rsid w:val="00320109"/>
    <w:rsid w:val="0032011B"/>
    <w:rsid w:val="00320129"/>
    <w:rsid w:val="00320279"/>
    <w:rsid w:val="00320515"/>
    <w:rsid w:val="003208A3"/>
    <w:rsid w:val="003209D3"/>
    <w:rsid w:val="00320A8A"/>
    <w:rsid w:val="00320AB9"/>
    <w:rsid w:val="00320B0F"/>
    <w:rsid w:val="00320BB2"/>
    <w:rsid w:val="00320BE3"/>
    <w:rsid w:val="00320D6E"/>
    <w:rsid w:val="00320F66"/>
    <w:rsid w:val="00321079"/>
    <w:rsid w:val="00321330"/>
    <w:rsid w:val="00321371"/>
    <w:rsid w:val="003214D9"/>
    <w:rsid w:val="00321518"/>
    <w:rsid w:val="003219CB"/>
    <w:rsid w:val="00321D54"/>
    <w:rsid w:val="003220C4"/>
    <w:rsid w:val="00322132"/>
    <w:rsid w:val="00322367"/>
    <w:rsid w:val="003223A1"/>
    <w:rsid w:val="003223B2"/>
    <w:rsid w:val="003225BD"/>
    <w:rsid w:val="00322D25"/>
    <w:rsid w:val="00322D5A"/>
    <w:rsid w:val="00322F43"/>
    <w:rsid w:val="00323403"/>
    <w:rsid w:val="00323571"/>
    <w:rsid w:val="003235A2"/>
    <w:rsid w:val="00323684"/>
    <w:rsid w:val="00323A82"/>
    <w:rsid w:val="00323B0B"/>
    <w:rsid w:val="00323B6D"/>
    <w:rsid w:val="00323D6E"/>
    <w:rsid w:val="00323F06"/>
    <w:rsid w:val="00323F50"/>
    <w:rsid w:val="00324098"/>
    <w:rsid w:val="003241F9"/>
    <w:rsid w:val="003242BE"/>
    <w:rsid w:val="00324503"/>
    <w:rsid w:val="003245EC"/>
    <w:rsid w:val="0032477A"/>
    <w:rsid w:val="00324798"/>
    <w:rsid w:val="003247BA"/>
    <w:rsid w:val="00324895"/>
    <w:rsid w:val="00324899"/>
    <w:rsid w:val="00324A77"/>
    <w:rsid w:val="00324BB5"/>
    <w:rsid w:val="00324CB9"/>
    <w:rsid w:val="00324D5F"/>
    <w:rsid w:val="00324DFE"/>
    <w:rsid w:val="00324F57"/>
    <w:rsid w:val="0032556D"/>
    <w:rsid w:val="00325679"/>
    <w:rsid w:val="003259CD"/>
    <w:rsid w:val="00325AE0"/>
    <w:rsid w:val="00325B67"/>
    <w:rsid w:val="00325BAB"/>
    <w:rsid w:val="00325CAE"/>
    <w:rsid w:val="00325D29"/>
    <w:rsid w:val="00325D57"/>
    <w:rsid w:val="00326053"/>
    <w:rsid w:val="0032629E"/>
    <w:rsid w:val="00326679"/>
    <w:rsid w:val="003266B1"/>
    <w:rsid w:val="003266F8"/>
    <w:rsid w:val="00326894"/>
    <w:rsid w:val="003268EC"/>
    <w:rsid w:val="00326933"/>
    <w:rsid w:val="00326BFB"/>
    <w:rsid w:val="00326C6B"/>
    <w:rsid w:val="00326D32"/>
    <w:rsid w:val="00326D56"/>
    <w:rsid w:val="00326DD9"/>
    <w:rsid w:val="00327094"/>
    <w:rsid w:val="003271BA"/>
    <w:rsid w:val="0032720E"/>
    <w:rsid w:val="0032724A"/>
    <w:rsid w:val="003276CD"/>
    <w:rsid w:val="003278C6"/>
    <w:rsid w:val="00327D1A"/>
    <w:rsid w:val="00330082"/>
    <w:rsid w:val="00330157"/>
    <w:rsid w:val="003303A9"/>
    <w:rsid w:val="003303E8"/>
    <w:rsid w:val="00330432"/>
    <w:rsid w:val="00330479"/>
    <w:rsid w:val="0033058D"/>
    <w:rsid w:val="00330A74"/>
    <w:rsid w:val="00330A85"/>
    <w:rsid w:val="00330CD9"/>
    <w:rsid w:val="00330FBC"/>
    <w:rsid w:val="0033104E"/>
    <w:rsid w:val="003312CF"/>
    <w:rsid w:val="003318AE"/>
    <w:rsid w:val="00331BF2"/>
    <w:rsid w:val="00331C8F"/>
    <w:rsid w:val="003324B7"/>
    <w:rsid w:val="0033262E"/>
    <w:rsid w:val="003326A6"/>
    <w:rsid w:val="00332962"/>
    <w:rsid w:val="00332994"/>
    <w:rsid w:val="0033299F"/>
    <w:rsid w:val="003329EA"/>
    <w:rsid w:val="00332A95"/>
    <w:rsid w:val="00332B32"/>
    <w:rsid w:val="00332B91"/>
    <w:rsid w:val="00332C05"/>
    <w:rsid w:val="00332D81"/>
    <w:rsid w:val="0033347B"/>
    <w:rsid w:val="003334C0"/>
    <w:rsid w:val="003335F9"/>
    <w:rsid w:val="00333A90"/>
    <w:rsid w:val="00333C75"/>
    <w:rsid w:val="00333C88"/>
    <w:rsid w:val="00333CD0"/>
    <w:rsid w:val="00333D07"/>
    <w:rsid w:val="00333DF7"/>
    <w:rsid w:val="00333F38"/>
    <w:rsid w:val="00333FEA"/>
    <w:rsid w:val="003340DA"/>
    <w:rsid w:val="0033413C"/>
    <w:rsid w:val="003342DA"/>
    <w:rsid w:val="00334345"/>
    <w:rsid w:val="00334421"/>
    <w:rsid w:val="0033471C"/>
    <w:rsid w:val="00334794"/>
    <w:rsid w:val="00334798"/>
    <w:rsid w:val="00334920"/>
    <w:rsid w:val="00334EBC"/>
    <w:rsid w:val="00334F99"/>
    <w:rsid w:val="00334FA3"/>
    <w:rsid w:val="003354D5"/>
    <w:rsid w:val="003355E5"/>
    <w:rsid w:val="00335649"/>
    <w:rsid w:val="003357EC"/>
    <w:rsid w:val="003358B4"/>
    <w:rsid w:val="00335B8F"/>
    <w:rsid w:val="00335B90"/>
    <w:rsid w:val="00335BBC"/>
    <w:rsid w:val="00335C63"/>
    <w:rsid w:val="00335C66"/>
    <w:rsid w:val="00335D8C"/>
    <w:rsid w:val="00335EBC"/>
    <w:rsid w:val="00335F62"/>
    <w:rsid w:val="0033615A"/>
    <w:rsid w:val="003361C7"/>
    <w:rsid w:val="003363D9"/>
    <w:rsid w:val="003368C0"/>
    <w:rsid w:val="00336CAA"/>
    <w:rsid w:val="00336CFD"/>
    <w:rsid w:val="00336DB0"/>
    <w:rsid w:val="00336E3C"/>
    <w:rsid w:val="00336EA3"/>
    <w:rsid w:val="0033740E"/>
    <w:rsid w:val="00337649"/>
    <w:rsid w:val="00337BBF"/>
    <w:rsid w:val="00337D26"/>
    <w:rsid w:val="0034009B"/>
    <w:rsid w:val="003401D4"/>
    <w:rsid w:val="0034026D"/>
    <w:rsid w:val="00340368"/>
    <w:rsid w:val="0034052D"/>
    <w:rsid w:val="00340544"/>
    <w:rsid w:val="0034056B"/>
    <w:rsid w:val="003408C6"/>
    <w:rsid w:val="00340D2F"/>
    <w:rsid w:val="00340E4F"/>
    <w:rsid w:val="00340E74"/>
    <w:rsid w:val="003411E7"/>
    <w:rsid w:val="0034126B"/>
    <w:rsid w:val="00341318"/>
    <w:rsid w:val="003414C3"/>
    <w:rsid w:val="00341501"/>
    <w:rsid w:val="0034155A"/>
    <w:rsid w:val="003415B6"/>
    <w:rsid w:val="003417D4"/>
    <w:rsid w:val="00341807"/>
    <w:rsid w:val="003418EF"/>
    <w:rsid w:val="00341CB8"/>
    <w:rsid w:val="00341D4B"/>
    <w:rsid w:val="00341E3C"/>
    <w:rsid w:val="00342151"/>
    <w:rsid w:val="0034269D"/>
    <w:rsid w:val="00342717"/>
    <w:rsid w:val="00342841"/>
    <w:rsid w:val="0034286B"/>
    <w:rsid w:val="003429A5"/>
    <w:rsid w:val="00342A3F"/>
    <w:rsid w:val="00342C0F"/>
    <w:rsid w:val="00342F1D"/>
    <w:rsid w:val="00342FAA"/>
    <w:rsid w:val="00343022"/>
    <w:rsid w:val="003432D4"/>
    <w:rsid w:val="00343854"/>
    <w:rsid w:val="00343E7B"/>
    <w:rsid w:val="00343E89"/>
    <w:rsid w:val="00343F06"/>
    <w:rsid w:val="00343F29"/>
    <w:rsid w:val="00343F5A"/>
    <w:rsid w:val="00344015"/>
    <w:rsid w:val="0034412E"/>
    <w:rsid w:val="003442E0"/>
    <w:rsid w:val="0034430E"/>
    <w:rsid w:val="00344393"/>
    <w:rsid w:val="00344513"/>
    <w:rsid w:val="0034452A"/>
    <w:rsid w:val="0034466F"/>
    <w:rsid w:val="00344988"/>
    <w:rsid w:val="003449FB"/>
    <w:rsid w:val="00344C29"/>
    <w:rsid w:val="00344C46"/>
    <w:rsid w:val="00344D3B"/>
    <w:rsid w:val="00344F89"/>
    <w:rsid w:val="00345348"/>
    <w:rsid w:val="0034539D"/>
    <w:rsid w:val="00345581"/>
    <w:rsid w:val="00345C7A"/>
    <w:rsid w:val="00345FAF"/>
    <w:rsid w:val="00345FD6"/>
    <w:rsid w:val="00346125"/>
    <w:rsid w:val="0034612E"/>
    <w:rsid w:val="003464B9"/>
    <w:rsid w:val="00346A56"/>
    <w:rsid w:val="00346AAD"/>
    <w:rsid w:val="00346B3C"/>
    <w:rsid w:val="00346CD9"/>
    <w:rsid w:val="00346CEB"/>
    <w:rsid w:val="00346CF9"/>
    <w:rsid w:val="00347000"/>
    <w:rsid w:val="00347035"/>
    <w:rsid w:val="003470F8"/>
    <w:rsid w:val="00347123"/>
    <w:rsid w:val="00347172"/>
    <w:rsid w:val="00347328"/>
    <w:rsid w:val="003473E0"/>
    <w:rsid w:val="00347412"/>
    <w:rsid w:val="00347476"/>
    <w:rsid w:val="003476ED"/>
    <w:rsid w:val="003477D1"/>
    <w:rsid w:val="00347C7D"/>
    <w:rsid w:val="00347D7D"/>
    <w:rsid w:val="00347EEF"/>
    <w:rsid w:val="003500E9"/>
    <w:rsid w:val="00350172"/>
    <w:rsid w:val="00350197"/>
    <w:rsid w:val="00350246"/>
    <w:rsid w:val="00350315"/>
    <w:rsid w:val="00350457"/>
    <w:rsid w:val="0035052F"/>
    <w:rsid w:val="0035079D"/>
    <w:rsid w:val="00350923"/>
    <w:rsid w:val="00350B46"/>
    <w:rsid w:val="00350BCC"/>
    <w:rsid w:val="00350BFE"/>
    <w:rsid w:val="00350D4E"/>
    <w:rsid w:val="00350EDB"/>
    <w:rsid w:val="00351408"/>
    <w:rsid w:val="00351577"/>
    <w:rsid w:val="00351658"/>
    <w:rsid w:val="0035186E"/>
    <w:rsid w:val="0035192B"/>
    <w:rsid w:val="00351EDB"/>
    <w:rsid w:val="00351F9E"/>
    <w:rsid w:val="0035218F"/>
    <w:rsid w:val="003521FD"/>
    <w:rsid w:val="00352275"/>
    <w:rsid w:val="003523CB"/>
    <w:rsid w:val="003524AF"/>
    <w:rsid w:val="003525BE"/>
    <w:rsid w:val="0035263C"/>
    <w:rsid w:val="0035271B"/>
    <w:rsid w:val="00352A49"/>
    <w:rsid w:val="00352BF4"/>
    <w:rsid w:val="00353178"/>
    <w:rsid w:val="00353181"/>
    <w:rsid w:val="00353388"/>
    <w:rsid w:val="00353491"/>
    <w:rsid w:val="003537B7"/>
    <w:rsid w:val="0035382B"/>
    <w:rsid w:val="00353913"/>
    <w:rsid w:val="00353A28"/>
    <w:rsid w:val="00353AD9"/>
    <w:rsid w:val="00353CF7"/>
    <w:rsid w:val="00353DB5"/>
    <w:rsid w:val="00353FEE"/>
    <w:rsid w:val="0035409C"/>
    <w:rsid w:val="00354243"/>
    <w:rsid w:val="003542C0"/>
    <w:rsid w:val="0035442B"/>
    <w:rsid w:val="00354440"/>
    <w:rsid w:val="00354523"/>
    <w:rsid w:val="00354667"/>
    <w:rsid w:val="00354943"/>
    <w:rsid w:val="0035495F"/>
    <w:rsid w:val="00354AD3"/>
    <w:rsid w:val="00354B82"/>
    <w:rsid w:val="00354B88"/>
    <w:rsid w:val="00354BBE"/>
    <w:rsid w:val="00354DC9"/>
    <w:rsid w:val="00354E1A"/>
    <w:rsid w:val="00354FB1"/>
    <w:rsid w:val="003551C5"/>
    <w:rsid w:val="0035533F"/>
    <w:rsid w:val="00355408"/>
    <w:rsid w:val="003555E3"/>
    <w:rsid w:val="00355891"/>
    <w:rsid w:val="00355C7B"/>
    <w:rsid w:val="00355EE3"/>
    <w:rsid w:val="00355EEC"/>
    <w:rsid w:val="00355EFD"/>
    <w:rsid w:val="00356233"/>
    <w:rsid w:val="00356472"/>
    <w:rsid w:val="00356656"/>
    <w:rsid w:val="00356657"/>
    <w:rsid w:val="00356729"/>
    <w:rsid w:val="003567E5"/>
    <w:rsid w:val="00356973"/>
    <w:rsid w:val="003569D3"/>
    <w:rsid w:val="003569F6"/>
    <w:rsid w:val="00356AF0"/>
    <w:rsid w:val="00356CC6"/>
    <w:rsid w:val="00356D37"/>
    <w:rsid w:val="00356F28"/>
    <w:rsid w:val="00356FB0"/>
    <w:rsid w:val="00357521"/>
    <w:rsid w:val="00357587"/>
    <w:rsid w:val="00357843"/>
    <w:rsid w:val="0035799D"/>
    <w:rsid w:val="00357A70"/>
    <w:rsid w:val="00357B0B"/>
    <w:rsid w:val="00357D91"/>
    <w:rsid w:val="00357DFB"/>
    <w:rsid w:val="003601F8"/>
    <w:rsid w:val="003603F3"/>
    <w:rsid w:val="00360778"/>
    <w:rsid w:val="0036096A"/>
    <w:rsid w:val="00360B74"/>
    <w:rsid w:val="00360CE8"/>
    <w:rsid w:val="00360D1F"/>
    <w:rsid w:val="00360ED5"/>
    <w:rsid w:val="00360F79"/>
    <w:rsid w:val="00361316"/>
    <w:rsid w:val="003613FE"/>
    <w:rsid w:val="003614C0"/>
    <w:rsid w:val="0036158A"/>
    <w:rsid w:val="00361627"/>
    <w:rsid w:val="00361642"/>
    <w:rsid w:val="00361653"/>
    <w:rsid w:val="00361B47"/>
    <w:rsid w:val="00361BEF"/>
    <w:rsid w:val="00361EA0"/>
    <w:rsid w:val="00361FDC"/>
    <w:rsid w:val="00362085"/>
    <w:rsid w:val="00362553"/>
    <w:rsid w:val="0036258A"/>
    <w:rsid w:val="00362670"/>
    <w:rsid w:val="003626D8"/>
    <w:rsid w:val="0036278A"/>
    <w:rsid w:val="003627E3"/>
    <w:rsid w:val="00362ACD"/>
    <w:rsid w:val="003630ED"/>
    <w:rsid w:val="00363191"/>
    <w:rsid w:val="0036321E"/>
    <w:rsid w:val="0036328A"/>
    <w:rsid w:val="003632C5"/>
    <w:rsid w:val="0036334F"/>
    <w:rsid w:val="0036376B"/>
    <w:rsid w:val="003637E4"/>
    <w:rsid w:val="00363A47"/>
    <w:rsid w:val="00363AE0"/>
    <w:rsid w:val="00363B76"/>
    <w:rsid w:val="00363BA5"/>
    <w:rsid w:val="00363C43"/>
    <w:rsid w:val="00363E84"/>
    <w:rsid w:val="00363F9E"/>
    <w:rsid w:val="00364426"/>
    <w:rsid w:val="00364433"/>
    <w:rsid w:val="00364497"/>
    <w:rsid w:val="003644B9"/>
    <w:rsid w:val="003648D1"/>
    <w:rsid w:val="00364A29"/>
    <w:rsid w:val="00364BEF"/>
    <w:rsid w:val="00364C8E"/>
    <w:rsid w:val="00364D24"/>
    <w:rsid w:val="00364DB9"/>
    <w:rsid w:val="00364FFB"/>
    <w:rsid w:val="003650A9"/>
    <w:rsid w:val="003651FD"/>
    <w:rsid w:val="003652DB"/>
    <w:rsid w:val="003654E6"/>
    <w:rsid w:val="0036554F"/>
    <w:rsid w:val="0036558E"/>
    <w:rsid w:val="00365650"/>
    <w:rsid w:val="00365BC6"/>
    <w:rsid w:val="00365C1B"/>
    <w:rsid w:val="00365D87"/>
    <w:rsid w:val="00365DC8"/>
    <w:rsid w:val="00365E1F"/>
    <w:rsid w:val="0036610E"/>
    <w:rsid w:val="00366204"/>
    <w:rsid w:val="0036636A"/>
    <w:rsid w:val="00366491"/>
    <w:rsid w:val="0036657F"/>
    <w:rsid w:val="003666F2"/>
    <w:rsid w:val="0036676E"/>
    <w:rsid w:val="00366797"/>
    <w:rsid w:val="00366885"/>
    <w:rsid w:val="003668A4"/>
    <w:rsid w:val="00366954"/>
    <w:rsid w:val="00366A33"/>
    <w:rsid w:val="00366B8E"/>
    <w:rsid w:val="00366C79"/>
    <w:rsid w:val="00366DA5"/>
    <w:rsid w:val="00367516"/>
    <w:rsid w:val="00367568"/>
    <w:rsid w:val="00367595"/>
    <w:rsid w:val="00367E1F"/>
    <w:rsid w:val="00367E45"/>
    <w:rsid w:val="00367F09"/>
    <w:rsid w:val="00370149"/>
    <w:rsid w:val="003701D2"/>
    <w:rsid w:val="003701F4"/>
    <w:rsid w:val="00370211"/>
    <w:rsid w:val="00370298"/>
    <w:rsid w:val="00370608"/>
    <w:rsid w:val="00370679"/>
    <w:rsid w:val="00370685"/>
    <w:rsid w:val="003707D6"/>
    <w:rsid w:val="003708A3"/>
    <w:rsid w:val="00370BDE"/>
    <w:rsid w:val="00370C73"/>
    <w:rsid w:val="00370CD2"/>
    <w:rsid w:val="00370D91"/>
    <w:rsid w:val="00370DEC"/>
    <w:rsid w:val="00370ED5"/>
    <w:rsid w:val="00370F2B"/>
    <w:rsid w:val="00371047"/>
    <w:rsid w:val="00371371"/>
    <w:rsid w:val="003713CC"/>
    <w:rsid w:val="00371503"/>
    <w:rsid w:val="00371542"/>
    <w:rsid w:val="00371B1B"/>
    <w:rsid w:val="00371C05"/>
    <w:rsid w:val="00371E74"/>
    <w:rsid w:val="00371ED0"/>
    <w:rsid w:val="00372149"/>
    <w:rsid w:val="0037247A"/>
    <w:rsid w:val="003724BB"/>
    <w:rsid w:val="00372681"/>
    <w:rsid w:val="00372771"/>
    <w:rsid w:val="00372778"/>
    <w:rsid w:val="00372916"/>
    <w:rsid w:val="00372A0B"/>
    <w:rsid w:val="00372E7C"/>
    <w:rsid w:val="00372E90"/>
    <w:rsid w:val="00372F01"/>
    <w:rsid w:val="00372F4B"/>
    <w:rsid w:val="00372F96"/>
    <w:rsid w:val="00373263"/>
    <w:rsid w:val="00373417"/>
    <w:rsid w:val="0037343E"/>
    <w:rsid w:val="003737E7"/>
    <w:rsid w:val="003738B3"/>
    <w:rsid w:val="00373C04"/>
    <w:rsid w:val="00373C06"/>
    <w:rsid w:val="00373CA4"/>
    <w:rsid w:val="003746D7"/>
    <w:rsid w:val="00374BD6"/>
    <w:rsid w:val="00374C5C"/>
    <w:rsid w:val="00374CED"/>
    <w:rsid w:val="00374E8C"/>
    <w:rsid w:val="003752FB"/>
    <w:rsid w:val="003758BD"/>
    <w:rsid w:val="00375A49"/>
    <w:rsid w:val="00375C58"/>
    <w:rsid w:val="00375D4F"/>
    <w:rsid w:val="00375DFA"/>
    <w:rsid w:val="00376139"/>
    <w:rsid w:val="003766B3"/>
    <w:rsid w:val="00376911"/>
    <w:rsid w:val="0037693B"/>
    <w:rsid w:val="00376AFD"/>
    <w:rsid w:val="00376B27"/>
    <w:rsid w:val="00376BCF"/>
    <w:rsid w:val="00376C27"/>
    <w:rsid w:val="003770C1"/>
    <w:rsid w:val="00377331"/>
    <w:rsid w:val="00377390"/>
    <w:rsid w:val="00377547"/>
    <w:rsid w:val="003777B6"/>
    <w:rsid w:val="00377AD4"/>
    <w:rsid w:val="00377BFF"/>
    <w:rsid w:val="00377E1A"/>
    <w:rsid w:val="00377E41"/>
    <w:rsid w:val="00377F9C"/>
    <w:rsid w:val="00377FEE"/>
    <w:rsid w:val="003800C3"/>
    <w:rsid w:val="003800E8"/>
    <w:rsid w:val="00380213"/>
    <w:rsid w:val="00380395"/>
    <w:rsid w:val="00380554"/>
    <w:rsid w:val="00380964"/>
    <w:rsid w:val="00381035"/>
    <w:rsid w:val="0038109B"/>
    <w:rsid w:val="00381241"/>
    <w:rsid w:val="00381314"/>
    <w:rsid w:val="0038141D"/>
    <w:rsid w:val="00381448"/>
    <w:rsid w:val="003814ED"/>
    <w:rsid w:val="00381509"/>
    <w:rsid w:val="0038166F"/>
    <w:rsid w:val="003818D9"/>
    <w:rsid w:val="00381C01"/>
    <w:rsid w:val="00381CA0"/>
    <w:rsid w:val="003821FA"/>
    <w:rsid w:val="003824FA"/>
    <w:rsid w:val="0038281D"/>
    <w:rsid w:val="003829E1"/>
    <w:rsid w:val="00382C4F"/>
    <w:rsid w:val="00382DF7"/>
    <w:rsid w:val="00382F03"/>
    <w:rsid w:val="00383BAE"/>
    <w:rsid w:val="00383CFE"/>
    <w:rsid w:val="00383FC0"/>
    <w:rsid w:val="00383FC1"/>
    <w:rsid w:val="00383FF4"/>
    <w:rsid w:val="00384076"/>
    <w:rsid w:val="00384192"/>
    <w:rsid w:val="00384387"/>
    <w:rsid w:val="003845E8"/>
    <w:rsid w:val="0038468B"/>
    <w:rsid w:val="00384880"/>
    <w:rsid w:val="00384A2A"/>
    <w:rsid w:val="00384C1F"/>
    <w:rsid w:val="00384D18"/>
    <w:rsid w:val="00384E8C"/>
    <w:rsid w:val="00384F70"/>
    <w:rsid w:val="003851BE"/>
    <w:rsid w:val="003853A7"/>
    <w:rsid w:val="00385516"/>
    <w:rsid w:val="0038592A"/>
    <w:rsid w:val="00385950"/>
    <w:rsid w:val="00385989"/>
    <w:rsid w:val="00385BA7"/>
    <w:rsid w:val="00385BDD"/>
    <w:rsid w:val="00385DA0"/>
    <w:rsid w:val="00385DD5"/>
    <w:rsid w:val="00385E25"/>
    <w:rsid w:val="00385EC1"/>
    <w:rsid w:val="00385F9E"/>
    <w:rsid w:val="00386324"/>
    <w:rsid w:val="00386440"/>
    <w:rsid w:val="0038644F"/>
    <w:rsid w:val="0038688C"/>
    <w:rsid w:val="00386953"/>
    <w:rsid w:val="00386AB0"/>
    <w:rsid w:val="00386C0A"/>
    <w:rsid w:val="00386F9B"/>
    <w:rsid w:val="00387100"/>
    <w:rsid w:val="00387151"/>
    <w:rsid w:val="0038719C"/>
    <w:rsid w:val="0038719F"/>
    <w:rsid w:val="00387246"/>
    <w:rsid w:val="003872E1"/>
    <w:rsid w:val="0038732A"/>
    <w:rsid w:val="00387396"/>
    <w:rsid w:val="003875D4"/>
    <w:rsid w:val="003876D9"/>
    <w:rsid w:val="0038779F"/>
    <w:rsid w:val="00387A4F"/>
    <w:rsid w:val="00387B31"/>
    <w:rsid w:val="00387B9C"/>
    <w:rsid w:val="00387BF4"/>
    <w:rsid w:val="00387C6B"/>
    <w:rsid w:val="00387CBA"/>
    <w:rsid w:val="00387D18"/>
    <w:rsid w:val="00390102"/>
    <w:rsid w:val="003901A3"/>
    <w:rsid w:val="003901E9"/>
    <w:rsid w:val="00390219"/>
    <w:rsid w:val="00390496"/>
    <w:rsid w:val="0039061C"/>
    <w:rsid w:val="0039062D"/>
    <w:rsid w:val="0039065C"/>
    <w:rsid w:val="00390AEE"/>
    <w:rsid w:val="00390DE2"/>
    <w:rsid w:val="0039111E"/>
    <w:rsid w:val="00391242"/>
    <w:rsid w:val="00391918"/>
    <w:rsid w:val="003919E0"/>
    <w:rsid w:val="00391A0F"/>
    <w:rsid w:val="00391A54"/>
    <w:rsid w:val="0039208B"/>
    <w:rsid w:val="00392140"/>
    <w:rsid w:val="00392295"/>
    <w:rsid w:val="00392358"/>
    <w:rsid w:val="00392514"/>
    <w:rsid w:val="0039270A"/>
    <w:rsid w:val="0039277B"/>
    <w:rsid w:val="00392802"/>
    <w:rsid w:val="0039283A"/>
    <w:rsid w:val="0039290F"/>
    <w:rsid w:val="00392BCC"/>
    <w:rsid w:val="00392C1D"/>
    <w:rsid w:val="00392D7D"/>
    <w:rsid w:val="00392F48"/>
    <w:rsid w:val="003931EE"/>
    <w:rsid w:val="0039323E"/>
    <w:rsid w:val="0039328D"/>
    <w:rsid w:val="003933B4"/>
    <w:rsid w:val="003934B1"/>
    <w:rsid w:val="00393566"/>
    <w:rsid w:val="00393701"/>
    <w:rsid w:val="0039376A"/>
    <w:rsid w:val="00393E3B"/>
    <w:rsid w:val="00393F7E"/>
    <w:rsid w:val="00394275"/>
    <w:rsid w:val="003942EA"/>
    <w:rsid w:val="00394438"/>
    <w:rsid w:val="00394876"/>
    <w:rsid w:val="003948E5"/>
    <w:rsid w:val="003948F0"/>
    <w:rsid w:val="0039490E"/>
    <w:rsid w:val="00394919"/>
    <w:rsid w:val="0039492C"/>
    <w:rsid w:val="00394977"/>
    <w:rsid w:val="0039538A"/>
    <w:rsid w:val="00395CD1"/>
    <w:rsid w:val="00395DD6"/>
    <w:rsid w:val="00396395"/>
    <w:rsid w:val="00396710"/>
    <w:rsid w:val="00396813"/>
    <w:rsid w:val="00396925"/>
    <w:rsid w:val="00396AE4"/>
    <w:rsid w:val="00396E95"/>
    <w:rsid w:val="00396FFF"/>
    <w:rsid w:val="00397159"/>
    <w:rsid w:val="003971DB"/>
    <w:rsid w:val="003971F5"/>
    <w:rsid w:val="0039734E"/>
    <w:rsid w:val="00397392"/>
    <w:rsid w:val="003973E3"/>
    <w:rsid w:val="00397565"/>
    <w:rsid w:val="0039776A"/>
    <w:rsid w:val="003977F5"/>
    <w:rsid w:val="00397955"/>
    <w:rsid w:val="003979A9"/>
    <w:rsid w:val="00397C1B"/>
    <w:rsid w:val="00397E66"/>
    <w:rsid w:val="003A036D"/>
    <w:rsid w:val="003A049F"/>
    <w:rsid w:val="003A06AB"/>
    <w:rsid w:val="003A0802"/>
    <w:rsid w:val="003A0A20"/>
    <w:rsid w:val="003A0B51"/>
    <w:rsid w:val="003A0E6B"/>
    <w:rsid w:val="003A1338"/>
    <w:rsid w:val="003A13A3"/>
    <w:rsid w:val="003A13BD"/>
    <w:rsid w:val="003A1555"/>
    <w:rsid w:val="003A164A"/>
    <w:rsid w:val="003A16FA"/>
    <w:rsid w:val="003A1B8B"/>
    <w:rsid w:val="003A1CE0"/>
    <w:rsid w:val="003A21C1"/>
    <w:rsid w:val="003A22D7"/>
    <w:rsid w:val="003A2436"/>
    <w:rsid w:val="003A2582"/>
    <w:rsid w:val="003A27C8"/>
    <w:rsid w:val="003A27DD"/>
    <w:rsid w:val="003A28BF"/>
    <w:rsid w:val="003A2BDA"/>
    <w:rsid w:val="003A2BF7"/>
    <w:rsid w:val="003A2C23"/>
    <w:rsid w:val="003A2D3F"/>
    <w:rsid w:val="003A2D54"/>
    <w:rsid w:val="003A2F18"/>
    <w:rsid w:val="003A2F4E"/>
    <w:rsid w:val="003A3077"/>
    <w:rsid w:val="003A3098"/>
    <w:rsid w:val="003A311A"/>
    <w:rsid w:val="003A3164"/>
    <w:rsid w:val="003A3484"/>
    <w:rsid w:val="003A3BB5"/>
    <w:rsid w:val="003A40DA"/>
    <w:rsid w:val="003A40EE"/>
    <w:rsid w:val="003A4228"/>
    <w:rsid w:val="003A45E5"/>
    <w:rsid w:val="003A4730"/>
    <w:rsid w:val="003A4AEE"/>
    <w:rsid w:val="003A4F79"/>
    <w:rsid w:val="003A5091"/>
    <w:rsid w:val="003A50F7"/>
    <w:rsid w:val="003A547C"/>
    <w:rsid w:val="003A5553"/>
    <w:rsid w:val="003A5674"/>
    <w:rsid w:val="003A56BB"/>
    <w:rsid w:val="003A58E5"/>
    <w:rsid w:val="003A59E4"/>
    <w:rsid w:val="003A5A8E"/>
    <w:rsid w:val="003A5AA1"/>
    <w:rsid w:val="003A5C20"/>
    <w:rsid w:val="003A5C5E"/>
    <w:rsid w:val="003A5DB2"/>
    <w:rsid w:val="003A5E6C"/>
    <w:rsid w:val="003A6270"/>
    <w:rsid w:val="003A630C"/>
    <w:rsid w:val="003A64FC"/>
    <w:rsid w:val="003A65D2"/>
    <w:rsid w:val="003A66B4"/>
    <w:rsid w:val="003A6858"/>
    <w:rsid w:val="003A6B2E"/>
    <w:rsid w:val="003A6C67"/>
    <w:rsid w:val="003A6FDF"/>
    <w:rsid w:val="003A70B9"/>
    <w:rsid w:val="003A7476"/>
    <w:rsid w:val="003A7631"/>
    <w:rsid w:val="003A79DE"/>
    <w:rsid w:val="003A7B27"/>
    <w:rsid w:val="003A7B4B"/>
    <w:rsid w:val="003A7E73"/>
    <w:rsid w:val="003B00A2"/>
    <w:rsid w:val="003B01C9"/>
    <w:rsid w:val="003B02C3"/>
    <w:rsid w:val="003B034F"/>
    <w:rsid w:val="003B03BB"/>
    <w:rsid w:val="003B0577"/>
    <w:rsid w:val="003B07E7"/>
    <w:rsid w:val="003B0B2E"/>
    <w:rsid w:val="003B0B7E"/>
    <w:rsid w:val="003B0B8F"/>
    <w:rsid w:val="003B0C4E"/>
    <w:rsid w:val="003B0D24"/>
    <w:rsid w:val="003B0D77"/>
    <w:rsid w:val="003B0D97"/>
    <w:rsid w:val="003B0F1D"/>
    <w:rsid w:val="003B0FAB"/>
    <w:rsid w:val="003B1160"/>
    <w:rsid w:val="003B12A8"/>
    <w:rsid w:val="003B13DB"/>
    <w:rsid w:val="003B149D"/>
    <w:rsid w:val="003B18CE"/>
    <w:rsid w:val="003B1AA4"/>
    <w:rsid w:val="003B1B9D"/>
    <w:rsid w:val="003B1CB4"/>
    <w:rsid w:val="003B1E53"/>
    <w:rsid w:val="003B1E79"/>
    <w:rsid w:val="003B25E6"/>
    <w:rsid w:val="003B271F"/>
    <w:rsid w:val="003B28D5"/>
    <w:rsid w:val="003B2BBB"/>
    <w:rsid w:val="003B2CD8"/>
    <w:rsid w:val="003B2E6E"/>
    <w:rsid w:val="003B300E"/>
    <w:rsid w:val="003B3188"/>
    <w:rsid w:val="003B31B9"/>
    <w:rsid w:val="003B31CD"/>
    <w:rsid w:val="003B338A"/>
    <w:rsid w:val="003B3562"/>
    <w:rsid w:val="003B35B8"/>
    <w:rsid w:val="003B387B"/>
    <w:rsid w:val="003B39FD"/>
    <w:rsid w:val="003B3C15"/>
    <w:rsid w:val="003B3C93"/>
    <w:rsid w:val="003B3D6C"/>
    <w:rsid w:val="003B3EAC"/>
    <w:rsid w:val="003B4067"/>
    <w:rsid w:val="003B42AE"/>
    <w:rsid w:val="003B431F"/>
    <w:rsid w:val="003B442A"/>
    <w:rsid w:val="003B468E"/>
    <w:rsid w:val="003B47D4"/>
    <w:rsid w:val="003B48CD"/>
    <w:rsid w:val="003B494C"/>
    <w:rsid w:val="003B4ABF"/>
    <w:rsid w:val="003B4BD8"/>
    <w:rsid w:val="003B4DE6"/>
    <w:rsid w:val="003B4F78"/>
    <w:rsid w:val="003B52C2"/>
    <w:rsid w:val="003B53FA"/>
    <w:rsid w:val="003B5514"/>
    <w:rsid w:val="003B557C"/>
    <w:rsid w:val="003B56F3"/>
    <w:rsid w:val="003B57DA"/>
    <w:rsid w:val="003B5D26"/>
    <w:rsid w:val="003B5DB5"/>
    <w:rsid w:val="003B5EC1"/>
    <w:rsid w:val="003B5F0E"/>
    <w:rsid w:val="003B6011"/>
    <w:rsid w:val="003B6031"/>
    <w:rsid w:val="003B63D7"/>
    <w:rsid w:val="003B6757"/>
    <w:rsid w:val="003B6863"/>
    <w:rsid w:val="003B6EA2"/>
    <w:rsid w:val="003B711E"/>
    <w:rsid w:val="003B72F4"/>
    <w:rsid w:val="003B78F6"/>
    <w:rsid w:val="003B79D2"/>
    <w:rsid w:val="003B7BB4"/>
    <w:rsid w:val="003B7CE2"/>
    <w:rsid w:val="003B7CF0"/>
    <w:rsid w:val="003B7DB4"/>
    <w:rsid w:val="003B7F04"/>
    <w:rsid w:val="003C0254"/>
    <w:rsid w:val="003C0511"/>
    <w:rsid w:val="003C051E"/>
    <w:rsid w:val="003C0548"/>
    <w:rsid w:val="003C0580"/>
    <w:rsid w:val="003C05FE"/>
    <w:rsid w:val="003C0924"/>
    <w:rsid w:val="003C0930"/>
    <w:rsid w:val="003C0974"/>
    <w:rsid w:val="003C0B62"/>
    <w:rsid w:val="003C0F23"/>
    <w:rsid w:val="003C12E3"/>
    <w:rsid w:val="003C13F1"/>
    <w:rsid w:val="003C14EF"/>
    <w:rsid w:val="003C17E5"/>
    <w:rsid w:val="003C19B1"/>
    <w:rsid w:val="003C1A77"/>
    <w:rsid w:val="003C1D5E"/>
    <w:rsid w:val="003C1DD2"/>
    <w:rsid w:val="003C2082"/>
    <w:rsid w:val="003C20D9"/>
    <w:rsid w:val="003C21D9"/>
    <w:rsid w:val="003C2332"/>
    <w:rsid w:val="003C2490"/>
    <w:rsid w:val="003C2950"/>
    <w:rsid w:val="003C2C40"/>
    <w:rsid w:val="003C2E78"/>
    <w:rsid w:val="003C30A9"/>
    <w:rsid w:val="003C3290"/>
    <w:rsid w:val="003C3392"/>
    <w:rsid w:val="003C3415"/>
    <w:rsid w:val="003C34C5"/>
    <w:rsid w:val="003C37EE"/>
    <w:rsid w:val="003C38BE"/>
    <w:rsid w:val="003C3B95"/>
    <w:rsid w:val="003C3EC2"/>
    <w:rsid w:val="003C3F11"/>
    <w:rsid w:val="003C3F35"/>
    <w:rsid w:val="003C3FF8"/>
    <w:rsid w:val="003C4082"/>
    <w:rsid w:val="003C429E"/>
    <w:rsid w:val="003C436A"/>
    <w:rsid w:val="003C45DA"/>
    <w:rsid w:val="003C45E1"/>
    <w:rsid w:val="003C4BA3"/>
    <w:rsid w:val="003C4BE2"/>
    <w:rsid w:val="003C4E0E"/>
    <w:rsid w:val="003C4EC0"/>
    <w:rsid w:val="003C4F0A"/>
    <w:rsid w:val="003C5084"/>
    <w:rsid w:val="003C5367"/>
    <w:rsid w:val="003C536F"/>
    <w:rsid w:val="003C5442"/>
    <w:rsid w:val="003C5450"/>
    <w:rsid w:val="003C5543"/>
    <w:rsid w:val="003C590F"/>
    <w:rsid w:val="003C5E2B"/>
    <w:rsid w:val="003C60A6"/>
    <w:rsid w:val="003C645F"/>
    <w:rsid w:val="003C6636"/>
    <w:rsid w:val="003C680E"/>
    <w:rsid w:val="003C6810"/>
    <w:rsid w:val="003C6874"/>
    <w:rsid w:val="003C6930"/>
    <w:rsid w:val="003C6B76"/>
    <w:rsid w:val="003C6C22"/>
    <w:rsid w:val="003C6CC1"/>
    <w:rsid w:val="003C6D55"/>
    <w:rsid w:val="003C6F71"/>
    <w:rsid w:val="003C72AB"/>
    <w:rsid w:val="003C7309"/>
    <w:rsid w:val="003C73D4"/>
    <w:rsid w:val="003C74A9"/>
    <w:rsid w:val="003C74B7"/>
    <w:rsid w:val="003C74DA"/>
    <w:rsid w:val="003C75CD"/>
    <w:rsid w:val="003C7B96"/>
    <w:rsid w:val="003D01DB"/>
    <w:rsid w:val="003D0612"/>
    <w:rsid w:val="003D0858"/>
    <w:rsid w:val="003D0C3F"/>
    <w:rsid w:val="003D0C69"/>
    <w:rsid w:val="003D0D06"/>
    <w:rsid w:val="003D0E9C"/>
    <w:rsid w:val="003D10CF"/>
    <w:rsid w:val="003D1117"/>
    <w:rsid w:val="003D14EB"/>
    <w:rsid w:val="003D15E7"/>
    <w:rsid w:val="003D189A"/>
    <w:rsid w:val="003D1988"/>
    <w:rsid w:val="003D1A7F"/>
    <w:rsid w:val="003D1AF8"/>
    <w:rsid w:val="003D1B4D"/>
    <w:rsid w:val="003D1C3E"/>
    <w:rsid w:val="003D1C45"/>
    <w:rsid w:val="003D1FD9"/>
    <w:rsid w:val="003D2019"/>
    <w:rsid w:val="003D22AE"/>
    <w:rsid w:val="003D22DB"/>
    <w:rsid w:val="003D2926"/>
    <w:rsid w:val="003D29B6"/>
    <w:rsid w:val="003D2A24"/>
    <w:rsid w:val="003D2AEA"/>
    <w:rsid w:val="003D2C61"/>
    <w:rsid w:val="003D2CA0"/>
    <w:rsid w:val="003D2CF6"/>
    <w:rsid w:val="003D2E29"/>
    <w:rsid w:val="003D31A6"/>
    <w:rsid w:val="003D329F"/>
    <w:rsid w:val="003D3494"/>
    <w:rsid w:val="003D3B63"/>
    <w:rsid w:val="003D3C44"/>
    <w:rsid w:val="003D3F08"/>
    <w:rsid w:val="003D4101"/>
    <w:rsid w:val="003D4222"/>
    <w:rsid w:val="003D4785"/>
    <w:rsid w:val="003D4793"/>
    <w:rsid w:val="003D492F"/>
    <w:rsid w:val="003D49B8"/>
    <w:rsid w:val="003D49E2"/>
    <w:rsid w:val="003D4A5B"/>
    <w:rsid w:val="003D4AFE"/>
    <w:rsid w:val="003D4B9E"/>
    <w:rsid w:val="003D5065"/>
    <w:rsid w:val="003D520B"/>
    <w:rsid w:val="003D5871"/>
    <w:rsid w:val="003D590A"/>
    <w:rsid w:val="003D590F"/>
    <w:rsid w:val="003D5915"/>
    <w:rsid w:val="003D5984"/>
    <w:rsid w:val="003D5A35"/>
    <w:rsid w:val="003D5C08"/>
    <w:rsid w:val="003D5E78"/>
    <w:rsid w:val="003D5EE2"/>
    <w:rsid w:val="003D60CE"/>
    <w:rsid w:val="003D61B3"/>
    <w:rsid w:val="003D64C8"/>
    <w:rsid w:val="003D6534"/>
    <w:rsid w:val="003D6717"/>
    <w:rsid w:val="003D6871"/>
    <w:rsid w:val="003D698F"/>
    <w:rsid w:val="003D6C6E"/>
    <w:rsid w:val="003D7005"/>
    <w:rsid w:val="003D74E3"/>
    <w:rsid w:val="003D7532"/>
    <w:rsid w:val="003D76DF"/>
    <w:rsid w:val="003D7719"/>
    <w:rsid w:val="003D79B3"/>
    <w:rsid w:val="003D7BA2"/>
    <w:rsid w:val="003D7C89"/>
    <w:rsid w:val="003D7CDF"/>
    <w:rsid w:val="003D7CFE"/>
    <w:rsid w:val="003E0098"/>
    <w:rsid w:val="003E00D7"/>
    <w:rsid w:val="003E018B"/>
    <w:rsid w:val="003E0261"/>
    <w:rsid w:val="003E04A6"/>
    <w:rsid w:val="003E05C2"/>
    <w:rsid w:val="003E08AC"/>
    <w:rsid w:val="003E0EA1"/>
    <w:rsid w:val="003E12E3"/>
    <w:rsid w:val="003E1423"/>
    <w:rsid w:val="003E1438"/>
    <w:rsid w:val="003E15B2"/>
    <w:rsid w:val="003E1941"/>
    <w:rsid w:val="003E1A35"/>
    <w:rsid w:val="003E1AC2"/>
    <w:rsid w:val="003E1D99"/>
    <w:rsid w:val="003E1F85"/>
    <w:rsid w:val="003E1FD2"/>
    <w:rsid w:val="003E215F"/>
    <w:rsid w:val="003E23F4"/>
    <w:rsid w:val="003E2752"/>
    <w:rsid w:val="003E277C"/>
    <w:rsid w:val="003E2AF7"/>
    <w:rsid w:val="003E2BA3"/>
    <w:rsid w:val="003E2E87"/>
    <w:rsid w:val="003E2EE6"/>
    <w:rsid w:val="003E3029"/>
    <w:rsid w:val="003E307C"/>
    <w:rsid w:val="003E3085"/>
    <w:rsid w:val="003E32DE"/>
    <w:rsid w:val="003E337B"/>
    <w:rsid w:val="003E3430"/>
    <w:rsid w:val="003E385C"/>
    <w:rsid w:val="003E3BE4"/>
    <w:rsid w:val="003E3D6D"/>
    <w:rsid w:val="003E3F9B"/>
    <w:rsid w:val="003E40D3"/>
    <w:rsid w:val="003E42FB"/>
    <w:rsid w:val="003E45E0"/>
    <w:rsid w:val="003E469E"/>
    <w:rsid w:val="003E4736"/>
    <w:rsid w:val="003E4E00"/>
    <w:rsid w:val="003E4EE3"/>
    <w:rsid w:val="003E4F99"/>
    <w:rsid w:val="003E4FD8"/>
    <w:rsid w:val="003E5034"/>
    <w:rsid w:val="003E5126"/>
    <w:rsid w:val="003E52B9"/>
    <w:rsid w:val="003E52CE"/>
    <w:rsid w:val="003E52D0"/>
    <w:rsid w:val="003E5305"/>
    <w:rsid w:val="003E5310"/>
    <w:rsid w:val="003E5356"/>
    <w:rsid w:val="003E54AD"/>
    <w:rsid w:val="003E54CA"/>
    <w:rsid w:val="003E569C"/>
    <w:rsid w:val="003E59F3"/>
    <w:rsid w:val="003E5B03"/>
    <w:rsid w:val="003E5C46"/>
    <w:rsid w:val="003E5D61"/>
    <w:rsid w:val="003E62C3"/>
    <w:rsid w:val="003E63B0"/>
    <w:rsid w:val="003E64A8"/>
    <w:rsid w:val="003E64E8"/>
    <w:rsid w:val="003E6551"/>
    <w:rsid w:val="003E6A87"/>
    <w:rsid w:val="003E6BC9"/>
    <w:rsid w:val="003E6CA8"/>
    <w:rsid w:val="003E6D23"/>
    <w:rsid w:val="003E6D43"/>
    <w:rsid w:val="003E6D7E"/>
    <w:rsid w:val="003E6EE8"/>
    <w:rsid w:val="003E6F22"/>
    <w:rsid w:val="003E6FC7"/>
    <w:rsid w:val="003E703D"/>
    <w:rsid w:val="003E71B2"/>
    <w:rsid w:val="003E72CE"/>
    <w:rsid w:val="003E7541"/>
    <w:rsid w:val="003E759B"/>
    <w:rsid w:val="003E7635"/>
    <w:rsid w:val="003E7A6A"/>
    <w:rsid w:val="003E7CFF"/>
    <w:rsid w:val="003E7D58"/>
    <w:rsid w:val="003E7D5B"/>
    <w:rsid w:val="003E7EE8"/>
    <w:rsid w:val="003F006F"/>
    <w:rsid w:val="003F00EF"/>
    <w:rsid w:val="003F0390"/>
    <w:rsid w:val="003F0459"/>
    <w:rsid w:val="003F083B"/>
    <w:rsid w:val="003F0911"/>
    <w:rsid w:val="003F0980"/>
    <w:rsid w:val="003F0B18"/>
    <w:rsid w:val="003F0B52"/>
    <w:rsid w:val="003F0CA8"/>
    <w:rsid w:val="003F0E14"/>
    <w:rsid w:val="003F0E4C"/>
    <w:rsid w:val="003F1138"/>
    <w:rsid w:val="003F1224"/>
    <w:rsid w:val="003F13FC"/>
    <w:rsid w:val="003F160A"/>
    <w:rsid w:val="003F163B"/>
    <w:rsid w:val="003F1734"/>
    <w:rsid w:val="003F176C"/>
    <w:rsid w:val="003F1ED5"/>
    <w:rsid w:val="003F1F78"/>
    <w:rsid w:val="003F1FF6"/>
    <w:rsid w:val="003F2024"/>
    <w:rsid w:val="003F22F4"/>
    <w:rsid w:val="003F244B"/>
    <w:rsid w:val="003F24D8"/>
    <w:rsid w:val="003F2503"/>
    <w:rsid w:val="003F2697"/>
    <w:rsid w:val="003F309C"/>
    <w:rsid w:val="003F30FA"/>
    <w:rsid w:val="003F3576"/>
    <w:rsid w:val="003F35D9"/>
    <w:rsid w:val="003F3D4E"/>
    <w:rsid w:val="003F3E48"/>
    <w:rsid w:val="003F3E67"/>
    <w:rsid w:val="003F3F1B"/>
    <w:rsid w:val="003F43A8"/>
    <w:rsid w:val="003F448A"/>
    <w:rsid w:val="003F45AE"/>
    <w:rsid w:val="003F461E"/>
    <w:rsid w:val="003F4928"/>
    <w:rsid w:val="003F4AF2"/>
    <w:rsid w:val="003F4C93"/>
    <w:rsid w:val="003F4CFA"/>
    <w:rsid w:val="003F4F60"/>
    <w:rsid w:val="003F4F6D"/>
    <w:rsid w:val="003F5106"/>
    <w:rsid w:val="003F511C"/>
    <w:rsid w:val="003F53DC"/>
    <w:rsid w:val="003F544D"/>
    <w:rsid w:val="003F5616"/>
    <w:rsid w:val="003F57C3"/>
    <w:rsid w:val="003F5813"/>
    <w:rsid w:val="003F5980"/>
    <w:rsid w:val="003F5986"/>
    <w:rsid w:val="003F61CF"/>
    <w:rsid w:val="003F631E"/>
    <w:rsid w:val="003F6359"/>
    <w:rsid w:val="003F670E"/>
    <w:rsid w:val="003F689C"/>
    <w:rsid w:val="003F6914"/>
    <w:rsid w:val="003F6AB1"/>
    <w:rsid w:val="003F6B95"/>
    <w:rsid w:val="003F6D82"/>
    <w:rsid w:val="003F6F84"/>
    <w:rsid w:val="003F70D0"/>
    <w:rsid w:val="003F74F6"/>
    <w:rsid w:val="003F7893"/>
    <w:rsid w:val="003F78CF"/>
    <w:rsid w:val="003F7DA0"/>
    <w:rsid w:val="003F7E31"/>
    <w:rsid w:val="003F7E39"/>
    <w:rsid w:val="003F7FC2"/>
    <w:rsid w:val="00400042"/>
    <w:rsid w:val="00400180"/>
    <w:rsid w:val="004001BC"/>
    <w:rsid w:val="004003FA"/>
    <w:rsid w:val="0040046C"/>
    <w:rsid w:val="00400477"/>
    <w:rsid w:val="004006F0"/>
    <w:rsid w:val="0040086F"/>
    <w:rsid w:val="004008D4"/>
    <w:rsid w:val="004009EF"/>
    <w:rsid w:val="00400A1F"/>
    <w:rsid w:val="00400A77"/>
    <w:rsid w:val="00400BDF"/>
    <w:rsid w:val="00400BFC"/>
    <w:rsid w:val="00400E51"/>
    <w:rsid w:val="00401264"/>
    <w:rsid w:val="00401362"/>
    <w:rsid w:val="00401587"/>
    <w:rsid w:val="004016E4"/>
    <w:rsid w:val="004018FB"/>
    <w:rsid w:val="004019C7"/>
    <w:rsid w:val="00401B24"/>
    <w:rsid w:val="00401B42"/>
    <w:rsid w:val="00401F7F"/>
    <w:rsid w:val="004020EB"/>
    <w:rsid w:val="00402311"/>
    <w:rsid w:val="004023CA"/>
    <w:rsid w:val="00402635"/>
    <w:rsid w:val="0040270E"/>
    <w:rsid w:val="0040283B"/>
    <w:rsid w:val="00402915"/>
    <w:rsid w:val="00402A80"/>
    <w:rsid w:val="00402AFF"/>
    <w:rsid w:val="00402DA7"/>
    <w:rsid w:val="00403126"/>
    <w:rsid w:val="00403464"/>
    <w:rsid w:val="00403554"/>
    <w:rsid w:val="004037E0"/>
    <w:rsid w:val="00403A9B"/>
    <w:rsid w:val="00403E04"/>
    <w:rsid w:val="00403E0C"/>
    <w:rsid w:val="004040D4"/>
    <w:rsid w:val="00404147"/>
    <w:rsid w:val="00404168"/>
    <w:rsid w:val="004041DA"/>
    <w:rsid w:val="0040451F"/>
    <w:rsid w:val="004046CB"/>
    <w:rsid w:val="004046EE"/>
    <w:rsid w:val="004048BC"/>
    <w:rsid w:val="00404C0F"/>
    <w:rsid w:val="00404C12"/>
    <w:rsid w:val="00404C33"/>
    <w:rsid w:val="00404EB3"/>
    <w:rsid w:val="004052A1"/>
    <w:rsid w:val="004052F6"/>
    <w:rsid w:val="0040550A"/>
    <w:rsid w:val="00405578"/>
    <w:rsid w:val="004057AB"/>
    <w:rsid w:val="00405A23"/>
    <w:rsid w:val="00405E73"/>
    <w:rsid w:val="00405FDB"/>
    <w:rsid w:val="004064A0"/>
    <w:rsid w:val="004064A3"/>
    <w:rsid w:val="004064FD"/>
    <w:rsid w:val="0040660B"/>
    <w:rsid w:val="004069DD"/>
    <w:rsid w:val="00406A07"/>
    <w:rsid w:val="00406E68"/>
    <w:rsid w:val="004070D5"/>
    <w:rsid w:val="004073B2"/>
    <w:rsid w:val="004073EF"/>
    <w:rsid w:val="0040748C"/>
    <w:rsid w:val="004079F0"/>
    <w:rsid w:val="00407AFA"/>
    <w:rsid w:val="00407B4E"/>
    <w:rsid w:val="00407D7E"/>
    <w:rsid w:val="00407FDB"/>
    <w:rsid w:val="0041004D"/>
    <w:rsid w:val="004100E1"/>
    <w:rsid w:val="00410208"/>
    <w:rsid w:val="0041022C"/>
    <w:rsid w:val="0041028A"/>
    <w:rsid w:val="004102B7"/>
    <w:rsid w:val="00410469"/>
    <w:rsid w:val="004104E1"/>
    <w:rsid w:val="00410689"/>
    <w:rsid w:val="004107B4"/>
    <w:rsid w:val="004108A3"/>
    <w:rsid w:val="004108B1"/>
    <w:rsid w:val="00410911"/>
    <w:rsid w:val="00410D4B"/>
    <w:rsid w:val="00410E17"/>
    <w:rsid w:val="00411366"/>
    <w:rsid w:val="004119AA"/>
    <w:rsid w:val="00411A22"/>
    <w:rsid w:val="00411C09"/>
    <w:rsid w:val="004121C4"/>
    <w:rsid w:val="004121F0"/>
    <w:rsid w:val="00412B09"/>
    <w:rsid w:val="00412E49"/>
    <w:rsid w:val="00412ED6"/>
    <w:rsid w:val="004130CD"/>
    <w:rsid w:val="0041354F"/>
    <w:rsid w:val="004135D0"/>
    <w:rsid w:val="00413779"/>
    <w:rsid w:val="004137BD"/>
    <w:rsid w:val="004137D0"/>
    <w:rsid w:val="0041381F"/>
    <w:rsid w:val="004139F5"/>
    <w:rsid w:val="00413BFA"/>
    <w:rsid w:val="00413D61"/>
    <w:rsid w:val="0041406B"/>
    <w:rsid w:val="004140B3"/>
    <w:rsid w:val="004140ED"/>
    <w:rsid w:val="00414156"/>
    <w:rsid w:val="00414163"/>
    <w:rsid w:val="0041417A"/>
    <w:rsid w:val="004142A9"/>
    <w:rsid w:val="004142D3"/>
    <w:rsid w:val="0041435B"/>
    <w:rsid w:val="0041458F"/>
    <w:rsid w:val="00414874"/>
    <w:rsid w:val="0041490C"/>
    <w:rsid w:val="00414FA3"/>
    <w:rsid w:val="004150DC"/>
    <w:rsid w:val="004151CE"/>
    <w:rsid w:val="004152EE"/>
    <w:rsid w:val="00415387"/>
    <w:rsid w:val="004153DC"/>
    <w:rsid w:val="0041550A"/>
    <w:rsid w:val="004155FE"/>
    <w:rsid w:val="00415615"/>
    <w:rsid w:val="00415C5D"/>
    <w:rsid w:val="00415CFA"/>
    <w:rsid w:val="00415D44"/>
    <w:rsid w:val="00415FEB"/>
    <w:rsid w:val="00416027"/>
    <w:rsid w:val="004163FF"/>
    <w:rsid w:val="0041643E"/>
    <w:rsid w:val="004164AE"/>
    <w:rsid w:val="004166FD"/>
    <w:rsid w:val="0041670B"/>
    <w:rsid w:val="00416735"/>
    <w:rsid w:val="00416CEE"/>
    <w:rsid w:val="00416D87"/>
    <w:rsid w:val="00416ED8"/>
    <w:rsid w:val="0041715C"/>
    <w:rsid w:val="004171CA"/>
    <w:rsid w:val="0041723E"/>
    <w:rsid w:val="004175D4"/>
    <w:rsid w:val="004175D7"/>
    <w:rsid w:val="0041777B"/>
    <w:rsid w:val="00417970"/>
    <w:rsid w:val="00417B50"/>
    <w:rsid w:val="00417BDF"/>
    <w:rsid w:val="00417C9E"/>
    <w:rsid w:val="00417E0D"/>
    <w:rsid w:val="00420097"/>
    <w:rsid w:val="004200A6"/>
    <w:rsid w:val="0042012A"/>
    <w:rsid w:val="004201E9"/>
    <w:rsid w:val="00420447"/>
    <w:rsid w:val="00420612"/>
    <w:rsid w:val="00420703"/>
    <w:rsid w:val="0042099B"/>
    <w:rsid w:val="004209F4"/>
    <w:rsid w:val="00420A1F"/>
    <w:rsid w:val="00420D12"/>
    <w:rsid w:val="00420EDB"/>
    <w:rsid w:val="00420F03"/>
    <w:rsid w:val="0042136F"/>
    <w:rsid w:val="00421376"/>
    <w:rsid w:val="004215A8"/>
    <w:rsid w:val="00421696"/>
    <w:rsid w:val="0042175E"/>
    <w:rsid w:val="0042189A"/>
    <w:rsid w:val="004218C8"/>
    <w:rsid w:val="00421CBF"/>
    <w:rsid w:val="00421CD2"/>
    <w:rsid w:val="00421CFF"/>
    <w:rsid w:val="00421E81"/>
    <w:rsid w:val="00422340"/>
    <w:rsid w:val="00422489"/>
    <w:rsid w:val="00422679"/>
    <w:rsid w:val="00422732"/>
    <w:rsid w:val="0042286C"/>
    <w:rsid w:val="0042294A"/>
    <w:rsid w:val="00422C63"/>
    <w:rsid w:val="00422CA8"/>
    <w:rsid w:val="004232C1"/>
    <w:rsid w:val="004238A4"/>
    <w:rsid w:val="00423E51"/>
    <w:rsid w:val="00423E85"/>
    <w:rsid w:val="00423EB1"/>
    <w:rsid w:val="004240F0"/>
    <w:rsid w:val="0042432B"/>
    <w:rsid w:val="004245F3"/>
    <w:rsid w:val="00424DF3"/>
    <w:rsid w:val="00424EC3"/>
    <w:rsid w:val="00424F06"/>
    <w:rsid w:val="00425041"/>
    <w:rsid w:val="00425076"/>
    <w:rsid w:val="0042519B"/>
    <w:rsid w:val="004253D7"/>
    <w:rsid w:val="0042552E"/>
    <w:rsid w:val="0042575D"/>
    <w:rsid w:val="0042584C"/>
    <w:rsid w:val="004258BD"/>
    <w:rsid w:val="00425AF3"/>
    <w:rsid w:val="00425C7F"/>
    <w:rsid w:val="00425DB1"/>
    <w:rsid w:val="00425DD2"/>
    <w:rsid w:val="00425DFD"/>
    <w:rsid w:val="00425FEA"/>
    <w:rsid w:val="00426022"/>
    <w:rsid w:val="0042610D"/>
    <w:rsid w:val="004261C6"/>
    <w:rsid w:val="00426322"/>
    <w:rsid w:val="004266DA"/>
    <w:rsid w:val="00426E75"/>
    <w:rsid w:val="00426F83"/>
    <w:rsid w:val="00427144"/>
    <w:rsid w:val="00427248"/>
    <w:rsid w:val="004275D5"/>
    <w:rsid w:val="00427840"/>
    <w:rsid w:val="004279DB"/>
    <w:rsid w:val="00427B89"/>
    <w:rsid w:val="00427B8F"/>
    <w:rsid w:val="00427C5A"/>
    <w:rsid w:val="00427C7D"/>
    <w:rsid w:val="00427DB0"/>
    <w:rsid w:val="004300D0"/>
    <w:rsid w:val="004300FF"/>
    <w:rsid w:val="00430257"/>
    <w:rsid w:val="004303DB"/>
    <w:rsid w:val="00430405"/>
    <w:rsid w:val="004307F0"/>
    <w:rsid w:val="0043083D"/>
    <w:rsid w:val="004308E7"/>
    <w:rsid w:val="00430A39"/>
    <w:rsid w:val="00430A66"/>
    <w:rsid w:val="00430B43"/>
    <w:rsid w:val="00430B53"/>
    <w:rsid w:val="00430D8F"/>
    <w:rsid w:val="00430F21"/>
    <w:rsid w:val="00430F55"/>
    <w:rsid w:val="00431063"/>
    <w:rsid w:val="00431188"/>
    <w:rsid w:val="00431433"/>
    <w:rsid w:val="00431494"/>
    <w:rsid w:val="00431504"/>
    <w:rsid w:val="00431604"/>
    <w:rsid w:val="0043169D"/>
    <w:rsid w:val="00431A15"/>
    <w:rsid w:val="00431BB6"/>
    <w:rsid w:val="00431D54"/>
    <w:rsid w:val="00431D90"/>
    <w:rsid w:val="00431F65"/>
    <w:rsid w:val="00432522"/>
    <w:rsid w:val="0043277B"/>
    <w:rsid w:val="004327D3"/>
    <w:rsid w:val="00432AE8"/>
    <w:rsid w:val="00432CCE"/>
    <w:rsid w:val="00432D2E"/>
    <w:rsid w:val="00432E39"/>
    <w:rsid w:val="00432F09"/>
    <w:rsid w:val="00432F0A"/>
    <w:rsid w:val="00432FC5"/>
    <w:rsid w:val="004331FA"/>
    <w:rsid w:val="00433346"/>
    <w:rsid w:val="004333B6"/>
    <w:rsid w:val="004334C2"/>
    <w:rsid w:val="00433573"/>
    <w:rsid w:val="0043358C"/>
    <w:rsid w:val="0043360F"/>
    <w:rsid w:val="00433982"/>
    <w:rsid w:val="00433A67"/>
    <w:rsid w:val="00433B99"/>
    <w:rsid w:val="00433C12"/>
    <w:rsid w:val="00433C14"/>
    <w:rsid w:val="00433C7F"/>
    <w:rsid w:val="00433D3E"/>
    <w:rsid w:val="00433EED"/>
    <w:rsid w:val="00434145"/>
    <w:rsid w:val="0043429E"/>
    <w:rsid w:val="00434359"/>
    <w:rsid w:val="0043438F"/>
    <w:rsid w:val="00434873"/>
    <w:rsid w:val="0043487E"/>
    <w:rsid w:val="00434A74"/>
    <w:rsid w:val="00434AD1"/>
    <w:rsid w:val="00434C24"/>
    <w:rsid w:val="00435002"/>
    <w:rsid w:val="004352FF"/>
    <w:rsid w:val="0043531C"/>
    <w:rsid w:val="004354C6"/>
    <w:rsid w:val="0043580F"/>
    <w:rsid w:val="0043597A"/>
    <w:rsid w:val="00435BC9"/>
    <w:rsid w:val="00435C5D"/>
    <w:rsid w:val="00435F94"/>
    <w:rsid w:val="00436032"/>
    <w:rsid w:val="00436058"/>
    <w:rsid w:val="0043642C"/>
    <w:rsid w:val="004364BA"/>
    <w:rsid w:val="0043653F"/>
    <w:rsid w:val="0043659F"/>
    <w:rsid w:val="0043669C"/>
    <w:rsid w:val="00436AF4"/>
    <w:rsid w:val="00436C49"/>
    <w:rsid w:val="00436EB9"/>
    <w:rsid w:val="00436F58"/>
    <w:rsid w:val="00436FE4"/>
    <w:rsid w:val="00437107"/>
    <w:rsid w:val="0043735D"/>
    <w:rsid w:val="00437372"/>
    <w:rsid w:val="004376F0"/>
    <w:rsid w:val="0043785B"/>
    <w:rsid w:val="004379B4"/>
    <w:rsid w:val="004379D2"/>
    <w:rsid w:val="004379D3"/>
    <w:rsid w:val="004379D4"/>
    <w:rsid w:val="00437C3F"/>
    <w:rsid w:val="00437DC0"/>
    <w:rsid w:val="00437EAC"/>
    <w:rsid w:val="00437F49"/>
    <w:rsid w:val="0044004B"/>
    <w:rsid w:val="004402E2"/>
    <w:rsid w:val="00440328"/>
    <w:rsid w:val="0044054B"/>
    <w:rsid w:val="0044081B"/>
    <w:rsid w:val="00440A6E"/>
    <w:rsid w:val="00440F69"/>
    <w:rsid w:val="00440FF4"/>
    <w:rsid w:val="004410EA"/>
    <w:rsid w:val="004412C5"/>
    <w:rsid w:val="00441398"/>
    <w:rsid w:val="004413B8"/>
    <w:rsid w:val="00441579"/>
    <w:rsid w:val="00441706"/>
    <w:rsid w:val="0044181B"/>
    <w:rsid w:val="00441A25"/>
    <w:rsid w:val="00441AE2"/>
    <w:rsid w:val="00441AF2"/>
    <w:rsid w:val="00441BCF"/>
    <w:rsid w:val="00441EF4"/>
    <w:rsid w:val="004420D6"/>
    <w:rsid w:val="00442647"/>
    <w:rsid w:val="004427AA"/>
    <w:rsid w:val="004427E5"/>
    <w:rsid w:val="004428B3"/>
    <w:rsid w:val="00442A99"/>
    <w:rsid w:val="00442B6B"/>
    <w:rsid w:val="00442C48"/>
    <w:rsid w:val="00442C9D"/>
    <w:rsid w:val="00442D4A"/>
    <w:rsid w:val="00442E16"/>
    <w:rsid w:val="00442F9E"/>
    <w:rsid w:val="00442FDA"/>
    <w:rsid w:val="004432B8"/>
    <w:rsid w:val="004434D2"/>
    <w:rsid w:val="00443541"/>
    <w:rsid w:val="00443598"/>
    <w:rsid w:val="00443860"/>
    <w:rsid w:val="00443C20"/>
    <w:rsid w:val="00443C23"/>
    <w:rsid w:val="00443EBF"/>
    <w:rsid w:val="00444236"/>
    <w:rsid w:val="00444297"/>
    <w:rsid w:val="00444487"/>
    <w:rsid w:val="004445B2"/>
    <w:rsid w:val="0044466C"/>
    <w:rsid w:val="0044468C"/>
    <w:rsid w:val="00444756"/>
    <w:rsid w:val="0044484B"/>
    <w:rsid w:val="00444919"/>
    <w:rsid w:val="00444A3A"/>
    <w:rsid w:val="00444AD6"/>
    <w:rsid w:val="00444B68"/>
    <w:rsid w:val="00444B94"/>
    <w:rsid w:val="00444E54"/>
    <w:rsid w:val="00444F3D"/>
    <w:rsid w:val="00444F51"/>
    <w:rsid w:val="00445038"/>
    <w:rsid w:val="004450E1"/>
    <w:rsid w:val="00445A36"/>
    <w:rsid w:val="00445AFD"/>
    <w:rsid w:val="00445FE8"/>
    <w:rsid w:val="00445FFC"/>
    <w:rsid w:val="004461FB"/>
    <w:rsid w:val="004465E5"/>
    <w:rsid w:val="004466F8"/>
    <w:rsid w:val="0044697F"/>
    <w:rsid w:val="004469B9"/>
    <w:rsid w:val="004469CF"/>
    <w:rsid w:val="00446ABA"/>
    <w:rsid w:val="00446B22"/>
    <w:rsid w:val="00446B9F"/>
    <w:rsid w:val="00446EBE"/>
    <w:rsid w:val="00446EC6"/>
    <w:rsid w:val="00446F5A"/>
    <w:rsid w:val="00446FCD"/>
    <w:rsid w:val="00447183"/>
    <w:rsid w:val="0044750D"/>
    <w:rsid w:val="00447811"/>
    <w:rsid w:val="00447D41"/>
    <w:rsid w:val="00450117"/>
    <w:rsid w:val="0045023B"/>
    <w:rsid w:val="004503BC"/>
    <w:rsid w:val="004503D8"/>
    <w:rsid w:val="004503F7"/>
    <w:rsid w:val="00450781"/>
    <w:rsid w:val="004509B2"/>
    <w:rsid w:val="00450B77"/>
    <w:rsid w:val="00450E98"/>
    <w:rsid w:val="0045106B"/>
    <w:rsid w:val="004510B1"/>
    <w:rsid w:val="00451197"/>
    <w:rsid w:val="00451242"/>
    <w:rsid w:val="004513BE"/>
    <w:rsid w:val="00451490"/>
    <w:rsid w:val="00451629"/>
    <w:rsid w:val="00451946"/>
    <w:rsid w:val="004519EF"/>
    <w:rsid w:val="00451D05"/>
    <w:rsid w:val="00451D56"/>
    <w:rsid w:val="00451DC3"/>
    <w:rsid w:val="00451E4B"/>
    <w:rsid w:val="00452035"/>
    <w:rsid w:val="00452132"/>
    <w:rsid w:val="004521D1"/>
    <w:rsid w:val="004521FA"/>
    <w:rsid w:val="00452230"/>
    <w:rsid w:val="0045229D"/>
    <w:rsid w:val="00452692"/>
    <w:rsid w:val="0045269B"/>
    <w:rsid w:val="004526E8"/>
    <w:rsid w:val="004528ED"/>
    <w:rsid w:val="00452C1C"/>
    <w:rsid w:val="00452CEE"/>
    <w:rsid w:val="00452E4F"/>
    <w:rsid w:val="0045301F"/>
    <w:rsid w:val="00453079"/>
    <w:rsid w:val="00453084"/>
    <w:rsid w:val="0045338F"/>
    <w:rsid w:val="00453710"/>
    <w:rsid w:val="004537F7"/>
    <w:rsid w:val="004537FA"/>
    <w:rsid w:val="004538B2"/>
    <w:rsid w:val="00453AE3"/>
    <w:rsid w:val="00453C2E"/>
    <w:rsid w:val="00453CC4"/>
    <w:rsid w:val="00453F30"/>
    <w:rsid w:val="00453F89"/>
    <w:rsid w:val="004541DB"/>
    <w:rsid w:val="0045423C"/>
    <w:rsid w:val="004543A1"/>
    <w:rsid w:val="00454428"/>
    <w:rsid w:val="00454DCB"/>
    <w:rsid w:val="00454EE2"/>
    <w:rsid w:val="00454F37"/>
    <w:rsid w:val="00454F92"/>
    <w:rsid w:val="0045506E"/>
    <w:rsid w:val="004550FC"/>
    <w:rsid w:val="004551E4"/>
    <w:rsid w:val="0045532D"/>
    <w:rsid w:val="00455433"/>
    <w:rsid w:val="0045552A"/>
    <w:rsid w:val="00455730"/>
    <w:rsid w:val="0045578A"/>
    <w:rsid w:val="0045587D"/>
    <w:rsid w:val="00455B04"/>
    <w:rsid w:val="00455B9C"/>
    <w:rsid w:val="00455DE5"/>
    <w:rsid w:val="004564B1"/>
    <w:rsid w:val="00456B21"/>
    <w:rsid w:val="00456B71"/>
    <w:rsid w:val="00456DDD"/>
    <w:rsid w:val="0045712F"/>
    <w:rsid w:val="0045718C"/>
    <w:rsid w:val="0045722F"/>
    <w:rsid w:val="004573E1"/>
    <w:rsid w:val="00457425"/>
    <w:rsid w:val="0045772D"/>
    <w:rsid w:val="0045790D"/>
    <w:rsid w:val="00457A74"/>
    <w:rsid w:val="00457F1F"/>
    <w:rsid w:val="00457F8F"/>
    <w:rsid w:val="00460085"/>
    <w:rsid w:val="004601F3"/>
    <w:rsid w:val="00460208"/>
    <w:rsid w:val="004603EA"/>
    <w:rsid w:val="00460410"/>
    <w:rsid w:val="0046073C"/>
    <w:rsid w:val="004608F5"/>
    <w:rsid w:val="00460A0C"/>
    <w:rsid w:val="00460A30"/>
    <w:rsid w:val="00460B84"/>
    <w:rsid w:val="00460BAF"/>
    <w:rsid w:val="00460CBA"/>
    <w:rsid w:val="00460DF6"/>
    <w:rsid w:val="00460E94"/>
    <w:rsid w:val="00460E9C"/>
    <w:rsid w:val="00460FB9"/>
    <w:rsid w:val="0046121C"/>
    <w:rsid w:val="00461417"/>
    <w:rsid w:val="00461545"/>
    <w:rsid w:val="0046160B"/>
    <w:rsid w:val="004616E3"/>
    <w:rsid w:val="004616F1"/>
    <w:rsid w:val="004617C0"/>
    <w:rsid w:val="00461BCC"/>
    <w:rsid w:val="00461FAB"/>
    <w:rsid w:val="00461FAF"/>
    <w:rsid w:val="00462186"/>
    <w:rsid w:val="0046219A"/>
    <w:rsid w:val="00462339"/>
    <w:rsid w:val="004624B8"/>
    <w:rsid w:val="00462631"/>
    <w:rsid w:val="00462ABA"/>
    <w:rsid w:val="00462C6C"/>
    <w:rsid w:val="00462D58"/>
    <w:rsid w:val="00462DB1"/>
    <w:rsid w:val="00462DBF"/>
    <w:rsid w:val="00462ED8"/>
    <w:rsid w:val="00462F1D"/>
    <w:rsid w:val="00462FBD"/>
    <w:rsid w:val="00463073"/>
    <w:rsid w:val="0046336F"/>
    <w:rsid w:val="004633F3"/>
    <w:rsid w:val="00463467"/>
    <w:rsid w:val="00463687"/>
    <w:rsid w:val="00463715"/>
    <w:rsid w:val="00463AC7"/>
    <w:rsid w:val="00463CA7"/>
    <w:rsid w:val="00464047"/>
    <w:rsid w:val="0046416D"/>
    <w:rsid w:val="0046419E"/>
    <w:rsid w:val="00464286"/>
    <w:rsid w:val="0046437C"/>
    <w:rsid w:val="00464475"/>
    <w:rsid w:val="00464609"/>
    <w:rsid w:val="004646E3"/>
    <w:rsid w:val="004647F1"/>
    <w:rsid w:val="004648BF"/>
    <w:rsid w:val="00464AEB"/>
    <w:rsid w:val="00464D9E"/>
    <w:rsid w:val="00464E48"/>
    <w:rsid w:val="00464ED9"/>
    <w:rsid w:val="00464F1E"/>
    <w:rsid w:val="00464F87"/>
    <w:rsid w:val="004650C9"/>
    <w:rsid w:val="00465111"/>
    <w:rsid w:val="004653E7"/>
    <w:rsid w:val="004654CA"/>
    <w:rsid w:val="004656E5"/>
    <w:rsid w:val="0046576D"/>
    <w:rsid w:val="004658AD"/>
    <w:rsid w:val="00465977"/>
    <w:rsid w:val="00465B67"/>
    <w:rsid w:val="00465C2E"/>
    <w:rsid w:val="00466313"/>
    <w:rsid w:val="004664B3"/>
    <w:rsid w:val="004664E9"/>
    <w:rsid w:val="00466551"/>
    <w:rsid w:val="004665D8"/>
    <w:rsid w:val="00466691"/>
    <w:rsid w:val="004666FF"/>
    <w:rsid w:val="00466937"/>
    <w:rsid w:val="004669EC"/>
    <w:rsid w:val="00466CE8"/>
    <w:rsid w:val="00466D35"/>
    <w:rsid w:val="00466D98"/>
    <w:rsid w:val="00466DEA"/>
    <w:rsid w:val="00466EE8"/>
    <w:rsid w:val="00467266"/>
    <w:rsid w:val="004673D2"/>
    <w:rsid w:val="0046740C"/>
    <w:rsid w:val="0046772F"/>
    <w:rsid w:val="00467A96"/>
    <w:rsid w:val="00467AAD"/>
    <w:rsid w:val="00467B1D"/>
    <w:rsid w:val="00467C71"/>
    <w:rsid w:val="00467D7F"/>
    <w:rsid w:val="00467E98"/>
    <w:rsid w:val="00467E9C"/>
    <w:rsid w:val="004700B5"/>
    <w:rsid w:val="004700E1"/>
    <w:rsid w:val="00470133"/>
    <w:rsid w:val="00470454"/>
    <w:rsid w:val="004704C3"/>
    <w:rsid w:val="00470560"/>
    <w:rsid w:val="0047056E"/>
    <w:rsid w:val="00470A4E"/>
    <w:rsid w:val="00470A8E"/>
    <w:rsid w:val="00470CFC"/>
    <w:rsid w:val="004710E0"/>
    <w:rsid w:val="0047136B"/>
    <w:rsid w:val="004714EB"/>
    <w:rsid w:val="00471631"/>
    <w:rsid w:val="00471DBF"/>
    <w:rsid w:val="00471DDB"/>
    <w:rsid w:val="00471EE5"/>
    <w:rsid w:val="00472033"/>
    <w:rsid w:val="004723F3"/>
    <w:rsid w:val="0047254D"/>
    <w:rsid w:val="004725FA"/>
    <w:rsid w:val="0047272D"/>
    <w:rsid w:val="004729FD"/>
    <w:rsid w:val="00472AB8"/>
    <w:rsid w:val="00472C59"/>
    <w:rsid w:val="00472D77"/>
    <w:rsid w:val="00472D89"/>
    <w:rsid w:val="0047330B"/>
    <w:rsid w:val="0047337C"/>
    <w:rsid w:val="00473532"/>
    <w:rsid w:val="0047360B"/>
    <w:rsid w:val="004737A1"/>
    <w:rsid w:val="004740B5"/>
    <w:rsid w:val="0047412E"/>
    <w:rsid w:val="0047431D"/>
    <w:rsid w:val="004743A4"/>
    <w:rsid w:val="00474722"/>
    <w:rsid w:val="00474BD9"/>
    <w:rsid w:val="00474CF9"/>
    <w:rsid w:val="004753C4"/>
    <w:rsid w:val="00475427"/>
    <w:rsid w:val="004754AE"/>
    <w:rsid w:val="0047551E"/>
    <w:rsid w:val="004755E6"/>
    <w:rsid w:val="004755F1"/>
    <w:rsid w:val="0047569B"/>
    <w:rsid w:val="00475718"/>
    <w:rsid w:val="00475A3F"/>
    <w:rsid w:val="00475E15"/>
    <w:rsid w:val="0047600A"/>
    <w:rsid w:val="004766CB"/>
    <w:rsid w:val="00476883"/>
    <w:rsid w:val="004768F2"/>
    <w:rsid w:val="00476BDA"/>
    <w:rsid w:val="00476D1E"/>
    <w:rsid w:val="00476E64"/>
    <w:rsid w:val="00476F55"/>
    <w:rsid w:val="00476FAA"/>
    <w:rsid w:val="0047705F"/>
    <w:rsid w:val="0047717E"/>
    <w:rsid w:val="0047731C"/>
    <w:rsid w:val="0047768F"/>
    <w:rsid w:val="00477867"/>
    <w:rsid w:val="00477A95"/>
    <w:rsid w:val="00477B18"/>
    <w:rsid w:val="00477F65"/>
    <w:rsid w:val="004803E2"/>
    <w:rsid w:val="004806BF"/>
    <w:rsid w:val="00480729"/>
    <w:rsid w:val="00480859"/>
    <w:rsid w:val="004808D5"/>
    <w:rsid w:val="00480ADF"/>
    <w:rsid w:val="00480BED"/>
    <w:rsid w:val="00480D29"/>
    <w:rsid w:val="00480D6C"/>
    <w:rsid w:val="00480F01"/>
    <w:rsid w:val="004810CA"/>
    <w:rsid w:val="004811C5"/>
    <w:rsid w:val="00481266"/>
    <w:rsid w:val="004814FA"/>
    <w:rsid w:val="004815A9"/>
    <w:rsid w:val="00481677"/>
    <w:rsid w:val="00481833"/>
    <w:rsid w:val="00481858"/>
    <w:rsid w:val="004818DB"/>
    <w:rsid w:val="00481AE0"/>
    <w:rsid w:val="00481B93"/>
    <w:rsid w:val="00481D17"/>
    <w:rsid w:val="00481E44"/>
    <w:rsid w:val="00481E79"/>
    <w:rsid w:val="0048242F"/>
    <w:rsid w:val="00482880"/>
    <w:rsid w:val="004828AB"/>
    <w:rsid w:val="0048291C"/>
    <w:rsid w:val="00482941"/>
    <w:rsid w:val="00482A89"/>
    <w:rsid w:val="00482CC8"/>
    <w:rsid w:val="00482CDC"/>
    <w:rsid w:val="00482CEA"/>
    <w:rsid w:val="00483177"/>
    <w:rsid w:val="0048338F"/>
    <w:rsid w:val="00483791"/>
    <w:rsid w:val="00483810"/>
    <w:rsid w:val="00483A87"/>
    <w:rsid w:val="00483AFD"/>
    <w:rsid w:val="00483B74"/>
    <w:rsid w:val="00483C24"/>
    <w:rsid w:val="00483C32"/>
    <w:rsid w:val="00483EF6"/>
    <w:rsid w:val="00483EF9"/>
    <w:rsid w:val="0048416E"/>
    <w:rsid w:val="00484194"/>
    <w:rsid w:val="00484844"/>
    <w:rsid w:val="004849AB"/>
    <w:rsid w:val="00484AE2"/>
    <w:rsid w:val="00484C11"/>
    <w:rsid w:val="00484FA4"/>
    <w:rsid w:val="004851A1"/>
    <w:rsid w:val="004852CD"/>
    <w:rsid w:val="00485526"/>
    <w:rsid w:val="00485625"/>
    <w:rsid w:val="004857D9"/>
    <w:rsid w:val="00485905"/>
    <w:rsid w:val="0048590C"/>
    <w:rsid w:val="00485984"/>
    <w:rsid w:val="00485A3D"/>
    <w:rsid w:val="00485A47"/>
    <w:rsid w:val="00485DC4"/>
    <w:rsid w:val="00485E8C"/>
    <w:rsid w:val="00485EB4"/>
    <w:rsid w:val="00485F56"/>
    <w:rsid w:val="00485F9D"/>
    <w:rsid w:val="00485FE2"/>
    <w:rsid w:val="0048606D"/>
    <w:rsid w:val="004860DF"/>
    <w:rsid w:val="004863CA"/>
    <w:rsid w:val="004867C8"/>
    <w:rsid w:val="004868D1"/>
    <w:rsid w:val="00486B1B"/>
    <w:rsid w:val="00486B60"/>
    <w:rsid w:val="00486DCE"/>
    <w:rsid w:val="0048727A"/>
    <w:rsid w:val="004872F1"/>
    <w:rsid w:val="0048740C"/>
    <w:rsid w:val="00487494"/>
    <w:rsid w:val="00487518"/>
    <w:rsid w:val="004877D0"/>
    <w:rsid w:val="00487883"/>
    <w:rsid w:val="004878D7"/>
    <w:rsid w:val="00487AAA"/>
    <w:rsid w:val="00487C82"/>
    <w:rsid w:val="00487E69"/>
    <w:rsid w:val="00490226"/>
    <w:rsid w:val="00490339"/>
    <w:rsid w:val="004905E6"/>
    <w:rsid w:val="004907E0"/>
    <w:rsid w:val="00490AF1"/>
    <w:rsid w:val="004910B8"/>
    <w:rsid w:val="0049114C"/>
    <w:rsid w:val="00491271"/>
    <w:rsid w:val="00491457"/>
    <w:rsid w:val="0049170A"/>
    <w:rsid w:val="0049181B"/>
    <w:rsid w:val="004919C3"/>
    <w:rsid w:val="00491C85"/>
    <w:rsid w:val="00491C8C"/>
    <w:rsid w:val="00491F25"/>
    <w:rsid w:val="0049208E"/>
    <w:rsid w:val="004920C4"/>
    <w:rsid w:val="00492100"/>
    <w:rsid w:val="00492295"/>
    <w:rsid w:val="004922A5"/>
    <w:rsid w:val="004922B9"/>
    <w:rsid w:val="004922E3"/>
    <w:rsid w:val="00492330"/>
    <w:rsid w:val="0049255A"/>
    <w:rsid w:val="0049266B"/>
    <w:rsid w:val="004927B2"/>
    <w:rsid w:val="004927E2"/>
    <w:rsid w:val="0049282F"/>
    <w:rsid w:val="00492834"/>
    <w:rsid w:val="0049298C"/>
    <w:rsid w:val="004929A9"/>
    <w:rsid w:val="00492D35"/>
    <w:rsid w:val="00492F20"/>
    <w:rsid w:val="00492F7E"/>
    <w:rsid w:val="00493380"/>
    <w:rsid w:val="004933AC"/>
    <w:rsid w:val="004935E2"/>
    <w:rsid w:val="00493B42"/>
    <w:rsid w:val="00493B5A"/>
    <w:rsid w:val="00493D64"/>
    <w:rsid w:val="00493EB5"/>
    <w:rsid w:val="00493F4F"/>
    <w:rsid w:val="00493F64"/>
    <w:rsid w:val="0049407B"/>
    <w:rsid w:val="00494092"/>
    <w:rsid w:val="0049420E"/>
    <w:rsid w:val="004942C0"/>
    <w:rsid w:val="00494410"/>
    <w:rsid w:val="004944C4"/>
    <w:rsid w:val="004949BE"/>
    <w:rsid w:val="00494BCB"/>
    <w:rsid w:val="00494DC1"/>
    <w:rsid w:val="00495030"/>
    <w:rsid w:val="0049506F"/>
    <w:rsid w:val="00495255"/>
    <w:rsid w:val="00495434"/>
    <w:rsid w:val="00495460"/>
    <w:rsid w:val="00495563"/>
    <w:rsid w:val="00495588"/>
    <w:rsid w:val="004957BD"/>
    <w:rsid w:val="004957C0"/>
    <w:rsid w:val="00495828"/>
    <w:rsid w:val="004958EB"/>
    <w:rsid w:val="00495977"/>
    <w:rsid w:val="00495B2C"/>
    <w:rsid w:val="00495B6E"/>
    <w:rsid w:val="00495D5B"/>
    <w:rsid w:val="00495E2D"/>
    <w:rsid w:val="00495E70"/>
    <w:rsid w:val="00495E73"/>
    <w:rsid w:val="00495EA6"/>
    <w:rsid w:val="00495F36"/>
    <w:rsid w:val="00495F39"/>
    <w:rsid w:val="0049656F"/>
    <w:rsid w:val="0049662F"/>
    <w:rsid w:val="00496781"/>
    <w:rsid w:val="004968D9"/>
    <w:rsid w:val="0049696C"/>
    <w:rsid w:val="00496B3E"/>
    <w:rsid w:val="00496C36"/>
    <w:rsid w:val="00496D34"/>
    <w:rsid w:val="00496D97"/>
    <w:rsid w:val="00496DEC"/>
    <w:rsid w:val="004970FB"/>
    <w:rsid w:val="0049715D"/>
    <w:rsid w:val="004976B4"/>
    <w:rsid w:val="004976D4"/>
    <w:rsid w:val="00497A27"/>
    <w:rsid w:val="00497B4A"/>
    <w:rsid w:val="00497B8B"/>
    <w:rsid w:val="00497C14"/>
    <w:rsid w:val="00497EFB"/>
    <w:rsid w:val="004A005B"/>
    <w:rsid w:val="004A04BC"/>
    <w:rsid w:val="004A0836"/>
    <w:rsid w:val="004A0A91"/>
    <w:rsid w:val="004A0ABB"/>
    <w:rsid w:val="004A0BA9"/>
    <w:rsid w:val="004A0CA2"/>
    <w:rsid w:val="004A0D3E"/>
    <w:rsid w:val="004A0D58"/>
    <w:rsid w:val="004A0E32"/>
    <w:rsid w:val="004A0ED5"/>
    <w:rsid w:val="004A0F68"/>
    <w:rsid w:val="004A0F8C"/>
    <w:rsid w:val="004A1196"/>
    <w:rsid w:val="004A1418"/>
    <w:rsid w:val="004A1440"/>
    <w:rsid w:val="004A159C"/>
    <w:rsid w:val="004A1C48"/>
    <w:rsid w:val="004A1D32"/>
    <w:rsid w:val="004A1E53"/>
    <w:rsid w:val="004A201D"/>
    <w:rsid w:val="004A218C"/>
    <w:rsid w:val="004A21DA"/>
    <w:rsid w:val="004A2239"/>
    <w:rsid w:val="004A235F"/>
    <w:rsid w:val="004A24E1"/>
    <w:rsid w:val="004A26CE"/>
    <w:rsid w:val="004A28B9"/>
    <w:rsid w:val="004A2997"/>
    <w:rsid w:val="004A2D26"/>
    <w:rsid w:val="004A2E15"/>
    <w:rsid w:val="004A3429"/>
    <w:rsid w:val="004A366B"/>
    <w:rsid w:val="004A375C"/>
    <w:rsid w:val="004A3810"/>
    <w:rsid w:val="004A385B"/>
    <w:rsid w:val="004A3898"/>
    <w:rsid w:val="004A3990"/>
    <w:rsid w:val="004A3F2C"/>
    <w:rsid w:val="004A3FA2"/>
    <w:rsid w:val="004A3FD6"/>
    <w:rsid w:val="004A4114"/>
    <w:rsid w:val="004A4848"/>
    <w:rsid w:val="004A4896"/>
    <w:rsid w:val="004A4AA4"/>
    <w:rsid w:val="004A4BD6"/>
    <w:rsid w:val="004A4E83"/>
    <w:rsid w:val="004A4EF1"/>
    <w:rsid w:val="004A4F1E"/>
    <w:rsid w:val="004A4FBA"/>
    <w:rsid w:val="004A50EA"/>
    <w:rsid w:val="004A50F3"/>
    <w:rsid w:val="004A53EB"/>
    <w:rsid w:val="004A5436"/>
    <w:rsid w:val="004A54D5"/>
    <w:rsid w:val="004A5555"/>
    <w:rsid w:val="004A55A7"/>
    <w:rsid w:val="004A55D0"/>
    <w:rsid w:val="004A56B0"/>
    <w:rsid w:val="004A5830"/>
    <w:rsid w:val="004A58ED"/>
    <w:rsid w:val="004A5A50"/>
    <w:rsid w:val="004A5DC4"/>
    <w:rsid w:val="004A5DD2"/>
    <w:rsid w:val="004A60B9"/>
    <w:rsid w:val="004A619A"/>
    <w:rsid w:val="004A61B5"/>
    <w:rsid w:val="004A61F3"/>
    <w:rsid w:val="004A6258"/>
    <w:rsid w:val="004A63AE"/>
    <w:rsid w:val="004A6450"/>
    <w:rsid w:val="004A6606"/>
    <w:rsid w:val="004A6690"/>
    <w:rsid w:val="004A66E8"/>
    <w:rsid w:val="004A6756"/>
    <w:rsid w:val="004A6770"/>
    <w:rsid w:val="004A6D23"/>
    <w:rsid w:val="004A6E2A"/>
    <w:rsid w:val="004A6EA0"/>
    <w:rsid w:val="004A6EE3"/>
    <w:rsid w:val="004A6FB4"/>
    <w:rsid w:val="004A6FDB"/>
    <w:rsid w:val="004A72B0"/>
    <w:rsid w:val="004A76DA"/>
    <w:rsid w:val="004A7787"/>
    <w:rsid w:val="004A7814"/>
    <w:rsid w:val="004A79C7"/>
    <w:rsid w:val="004A7AFD"/>
    <w:rsid w:val="004A7B04"/>
    <w:rsid w:val="004A7B6E"/>
    <w:rsid w:val="004A7C5C"/>
    <w:rsid w:val="004A7CA3"/>
    <w:rsid w:val="004A7CEB"/>
    <w:rsid w:val="004A7D16"/>
    <w:rsid w:val="004B006C"/>
    <w:rsid w:val="004B05A7"/>
    <w:rsid w:val="004B0790"/>
    <w:rsid w:val="004B0824"/>
    <w:rsid w:val="004B0BA9"/>
    <w:rsid w:val="004B0C25"/>
    <w:rsid w:val="004B0E03"/>
    <w:rsid w:val="004B107E"/>
    <w:rsid w:val="004B1175"/>
    <w:rsid w:val="004B136C"/>
    <w:rsid w:val="004B13DF"/>
    <w:rsid w:val="004B14C4"/>
    <w:rsid w:val="004B155D"/>
    <w:rsid w:val="004B1856"/>
    <w:rsid w:val="004B1990"/>
    <w:rsid w:val="004B1E42"/>
    <w:rsid w:val="004B2005"/>
    <w:rsid w:val="004B2349"/>
    <w:rsid w:val="004B23FA"/>
    <w:rsid w:val="004B2593"/>
    <w:rsid w:val="004B2CA7"/>
    <w:rsid w:val="004B2CF8"/>
    <w:rsid w:val="004B2D95"/>
    <w:rsid w:val="004B2FAB"/>
    <w:rsid w:val="004B324F"/>
    <w:rsid w:val="004B3326"/>
    <w:rsid w:val="004B36FE"/>
    <w:rsid w:val="004B3D32"/>
    <w:rsid w:val="004B3D70"/>
    <w:rsid w:val="004B3DE4"/>
    <w:rsid w:val="004B4059"/>
    <w:rsid w:val="004B42A4"/>
    <w:rsid w:val="004B4371"/>
    <w:rsid w:val="004B437B"/>
    <w:rsid w:val="004B43CB"/>
    <w:rsid w:val="004B4B23"/>
    <w:rsid w:val="004B4B2A"/>
    <w:rsid w:val="004B4BCC"/>
    <w:rsid w:val="004B4BDF"/>
    <w:rsid w:val="004B4D26"/>
    <w:rsid w:val="004B4DAF"/>
    <w:rsid w:val="004B4F17"/>
    <w:rsid w:val="004B4F7C"/>
    <w:rsid w:val="004B50CF"/>
    <w:rsid w:val="004B51C8"/>
    <w:rsid w:val="004B5318"/>
    <w:rsid w:val="004B56D8"/>
    <w:rsid w:val="004B59E0"/>
    <w:rsid w:val="004B5A6F"/>
    <w:rsid w:val="004B5B44"/>
    <w:rsid w:val="004B5B80"/>
    <w:rsid w:val="004B5ED4"/>
    <w:rsid w:val="004B5FB2"/>
    <w:rsid w:val="004B6015"/>
    <w:rsid w:val="004B61D2"/>
    <w:rsid w:val="004B6202"/>
    <w:rsid w:val="004B6565"/>
    <w:rsid w:val="004B6576"/>
    <w:rsid w:val="004B6BB6"/>
    <w:rsid w:val="004B6C3A"/>
    <w:rsid w:val="004B6D4F"/>
    <w:rsid w:val="004B6FF2"/>
    <w:rsid w:val="004B7030"/>
    <w:rsid w:val="004B7218"/>
    <w:rsid w:val="004B73B1"/>
    <w:rsid w:val="004B73DB"/>
    <w:rsid w:val="004B7570"/>
    <w:rsid w:val="004B761A"/>
    <w:rsid w:val="004B776B"/>
    <w:rsid w:val="004B77EA"/>
    <w:rsid w:val="004B78B1"/>
    <w:rsid w:val="004B7905"/>
    <w:rsid w:val="004B7A14"/>
    <w:rsid w:val="004B7A9D"/>
    <w:rsid w:val="004B7CA7"/>
    <w:rsid w:val="004C01AB"/>
    <w:rsid w:val="004C0437"/>
    <w:rsid w:val="004C04D4"/>
    <w:rsid w:val="004C0604"/>
    <w:rsid w:val="004C0C74"/>
    <w:rsid w:val="004C110C"/>
    <w:rsid w:val="004C11DD"/>
    <w:rsid w:val="004C11E4"/>
    <w:rsid w:val="004C1317"/>
    <w:rsid w:val="004C1684"/>
    <w:rsid w:val="004C17A4"/>
    <w:rsid w:val="004C17B3"/>
    <w:rsid w:val="004C18F0"/>
    <w:rsid w:val="004C1C29"/>
    <w:rsid w:val="004C1D48"/>
    <w:rsid w:val="004C1ED2"/>
    <w:rsid w:val="004C206D"/>
    <w:rsid w:val="004C2082"/>
    <w:rsid w:val="004C20E6"/>
    <w:rsid w:val="004C20FE"/>
    <w:rsid w:val="004C212C"/>
    <w:rsid w:val="004C22CF"/>
    <w:rsid w:val="004C24DF"/>
    <w:rsid w:val="004C255B"/>
    <w:rsid w:val="004C2828"/>
    <w:rsid w:val="004C29D5"/>
    <w:rsid w:val="004C2BE7"/>
    <w:rsid w:val="004C2CBE"/>
    <w:rsid w:val="004C2DDA"/>
    <w:rsid w:val="004C2ED1"/>
    <w:rsid w:val="004C3012"/>
    <w:rsid w:val="004C3019"/>
    <w:rsid w:val="004C3053"/>
    <w:rsid w:val="004C31B6"/>
    <w:rsid w:val="004C3225"/>
    <w:rsid w:val="004C3C11"/>
    <w:rsid w:val="004C3D66"/>
    <w:rsid w:val="004C3E51"/>
    <w:rsid w:val="004C3EDA"/>
    <w:rsid w:val="004C3EFE"/>
    <w:rsid w:val="004C3FFF"/>
    <w:rsid w:val="004C4106"/>
    <w:rsid w:val="004C412E"/>
    <w:rsid w:val="004C4172"/>
    <w:rsid w:val="004C4321"/>
    <w:rsid w:val="004C4430"/>
    <w:rsid w:val="004C45C9"/>
    <w:rsid w:val="004C465A"/>
    <w:rsid w:val="004C4722"/>
    <w:rsid w:val="004C48A4"/>
    <w:rsid w:val="004C495A"/>
    <w:rsid w:val="004C4B6C"/>
    <w:rsid w:val="004C4BE5"/>
    <w:rsid w:val="004C4C51"/>
    <w:rsid w:val="004C4C8C"/>
    <w:rsid w:val="004C5005"/>
    <w:rsid w:val="004C5275"/>
    <w:rsid w:val="004C52A4"/>
    <w:rsid w:val="004C56DA"/>
    <w:rsid w:val="004C58B7"/>
    <w:rsid w:val="004C594D"/>
    <w:rsid w:val="004C5D4C"/>
    <w:rsid w:val="004C5EAE"/>
    <w:rsid w:val="004C6072"/>
    <w:rsid w:val="004C60BC"/>
    <w:rsid w:val="004C60CE"/>
    <w:rsid w:val="004C61DE"/>
    <w:rsid w:val="004C6215"/>
    <w:rsid w:val="004C64E7"/>
    <w:rsid w:val="004C68F0"/>
    <w:rsid w:val="004C6920"/>
    <w:rsid w:val="004C6A03"/>
    <w:rsid w:val="004C6B10"/>
    <w:rsid w:val="004C6B5A"/>
    <w:rsid w:val="004C6C26"/>
    <w:rsid w:val="004C6CCD"/>
    <w:rsid w:val="004C6D44"/>
    <w:rsid w:val="004C6D90"/>
    <w:rsid w:val="004C6E1D"/>
    <w:rsid w:val="004C6FB1"/>
    <w:rsid w:val="004C70EC"/>
    <w:rsid w:val="004C7145"/>
    <w:rsid w:val="004C7635"/>
    <w:rsid w:val="004C766B"/>
    <w:rsid w:val="004C767C"/>
    <w:rsid w:val="004C78BF"/>
    <w:rsid w:val="004C78E4"/>
    <w:rsid w:val="004C7FCD"/>
    <w:rsid w:val="004D0353"/>
    <w:rsid w:val="004D04F6"/>
    <w:rsid w:val="004D0848"/>
    <w:rsid w:val="004D08CC"/>
    <w:rsid w:val="004D09E2"/>
    <w:rsid w:val="004D0A90"/>
    <w:rsid w:val="004D0AFB"/>
    <w:rsid w:val="004D0B34"/>
    <w:rsid w:val="004D0BF8"/>
    <w:rsid w:val="004D0C73"/>
    <w:rsid w:val="004D0FA1"/>
    <w:rsid w:val="004D12CC"/>
    <w:rsid w:val="004D13F6"/>
    <w:rsid w:val="004D145A"/>
    <w:rsid w:val="004D1515"/>
    <w:rsid w:val="004D15F4"/>
    <w:rsid w:val="004D16B4"/>
    <w:rsid w:val="004D1739"/>
    <w:rsid w:val="004D1FCA"/>
    <w:rsid w:val="004D2368"/>
    <w:rsid w:val="004D26BE"/>
    <w:rsid w:val="004D2A20"/>
    <w:rsid w:val="004D2B81"/>
    <w:rsid w:val="004D2D38"/>
    <w:rsid w:val="004D2ECA"/>
    <w:rsid w:val="004D2F7F"/>
    <w:rsid w:val="004D2FDF"/>
    <w:rsid w:val="004D300F"/>
    <w:rsid w:val="004D30FD"/>
    <w:rsid w:val="004D31A4"/>
    <w:rsid w:val="004D33B9"/>
    <w:rsid w:val="004D34B6"/>
    <w:rsid w:val="004D3539"/>
    <w:rsid w:val="004D3571"/>
    <w:rsid w:val="004D36F9"/>
    <w:rsid w:val="004D37AC"/>
    <w:rsid w:val="004D3875"/>
    <w:rsid w:val="004D3A3A"/>
    <w:rsid w:val="004D3C82"/>
    <w:rsid w:val="004D3D43"/>
    <w:rsid w:val="004D3F38"/>
    <w:rsid w:val="004D3F68"/>
    <w:rsid w:val="004D4073"/>
    <w:rsid w:val="004D4190"/>
    <w:rsid w:val="004D41C2"/>
    <w:rsid w:val="004D42E9"/>
    <w:rsid w:val="004D43AE"/>
    <w:rsid w:val="004D4434"/>
    <w:rsid w:val="004D473F"/>
    <w:rsid w:val="004D4B1D"/>
    <w:rsid w:val="004D4C8F"/>
    <w:rsid w:val="004D4CFA"/>
    <w:rsid w:val="004D5064"/>
    <w:rsid w:val="004D52DF"/>
    <w:rsid w:val="004D55F9"/>
    <w:rsid w:val="004D560A"/>
    <w:rsid w:val="004D5E63"/>
    <w:rsid w:val="004D612F"/>
    <w:rsid w:val="004D625D"/>
    <w:rsid w:val="004D6377"/>
    <w:rsid w:val="004D63B7"/>
    <w:rsid w:val="004D6780"/>
    <w:rsid w:val="004D691D"/>
    <w:rsid w:val="004D691F"/>
    <w:rsid w:val="004D6AB1"/>
    <w:rsid w:val="004D6BB2"/>
    <w:rsid w:val="004D6CA7"/>
    <w:rsid w:val="004D6E76"/>
    <w:rsid w:val="004D73A4"/>
    <w:rsid w:val="004D74B1"/>
    <w:rsid w:val="004D75CF"/>
    <w:rsid w:val="004D7664"/>
    <w:rsid w:val="004D7914"/>
    <w:rsid w:val="004D7A9B"/>
    <w:rsid w:val="004D7ACF"/>
    <w:rsid w:val="004D7B3D"/>
    <w:rsid w:val="004D7DEB"/>
    <w:rsid w:val="004D7E2F"/>
    <w:rsid w:val="004D7EB9"/>
    <w:rsid w:val="004E00DC"/>
    <w:rsid w:val="004E0183"/>
    <w:rsid w:val="004E01AF"/>
    <w:rsid w:val="004E01F3"/>
    <w:rsid w:val="004E01F8"/>
    <w:rsid w:val="004E04E8"/>
    <w:rsid w:val="004E06DF"/>
    <w:rsid w:val="004E06F2"/>
    <w:rsid w:val="004E089F"/>
    <w:rsid w:val="004E0907"/>
    <w:rsid w:val="004E0D6A"/>
    <w:rsid w:val="004E0D83"/>
    <w:rsid w:val="004E0F18"/>
    <w:rsid w:val="004E0F8F"/>
    <w:rsid w:val="004E0FBA"/>
    <w:rsid w:val="004E10BF"/>
    <w:rsid w:val="004E1177"/>
    <w:rsid w:val="004E1549"/>
    <w:rsid w:val="004E1743"/>
    <w:rsid w:val="004E18E7"/>
    <w:rsid w:val="004E19CA"/>
    <w:rsid w:val="004E1A45"/>
    <w:rsid w:val="004E1AD6"/>
    <w:rsid w:val="004E2077"/>
    <w:rsid w:val="004E2328"/>
    <w:rsid w:val="004E234C"/>
    <w:rsid w:val="004E238B"/>
    <w:rsid w:val="004E2409"/>
    <w:rsid w:val="004E2AB1"/>
    <w:rsid w:val="004E2BA5"/>
    <w:rsid w:val="004E2CC5"/>
    <w:rsid w:val="004E2E47"/>
    <w:rsid w:val="004E3047"/>
    <w:rsid w:val="004E30CD"/>
    <w:rsid w:val="004E318E"/>
    <w:rsid w:val="004E328F"/>
    <w:rsid w:val="004E33AE"/>
    <w:rsid w:val="004E3E9C"/>
    <w:rsid w:val="004E3F8B"/>
    <w:rsid w:val="004E3FA9"/>
    <w:rsid w:val="004E4008"/>
    <w:rsid w:val="004E4056"/>
    <w:rsid w:val="004E4281"/>
    <w:rsid w:val="004E4454"/>
    <w:rsid w:val="004E4572"/>
    <w:rsid w:val="004E49E9"/>
    <w:rsid w:val="004E4B3B"/>
    <w:rsid w:val="004E4B4D"/>
    <w:rsid w:val="004E4B9A"/>
    <w:rsid w:val="004E4CBD"/>
    <w:rsid w:val="004E4DAB"/>
    <w:rsid w:val="004E4E19"/>
    <w:rsid w:val="004E4F86"/>
    <w:rsid w:val="004E4FC3"/>
    <w:rsid w:val="004E5310"/>
    <w:rsid w:val="004E55DC"/>
    <w:rsid w:val="004E55FA"/>
    <w:rsid w:val="004E56EE"/>
    <w:rsid w:val="004E5726"/>
    <w:rsid w:val="004E5A42"/>
    <w:rsid w:val="004E5A56"/>
    <w:rsid w:val="004E5B09"/>
    <w:rsid w:val="004E5D3C"/>
    <w:rsid w:val="004E5D47"/>
    <w:rsid w:val="004E5DA6"/>
    <w:rsid w:val="004E5F5A"/>
    <w:rsid w:val="004E5FF7"/>
    <w:rsid w:val="004E6225"/>
    <w:rsid w:val="004E642E"/>
    <w:rsid w:val="004E6633"/>
    <w:rsid w:val="004E666B"/>
    <w:rsid w:val="004E6686"/>
    <w:rsid w:val="004E6687"/>
    <w:rsid w:val="004E66CB"/>
    <w:rsid w:val="004E66D8"/>
    <w:rsid w:val="004E6834"/>
    <w:rsid w:val="004E684D"/>
    <w:rsid w:val="004E6DE0"/>
    <w:rsid w:val="004E6E52"/>
    <w:rsid w:val="004E7069"/>
    <w:rsid w:val="004E714E"/>
    <w:rsid w:val="004E71AA"/>
    <w:rsid w:val="004E75A3"/>
    <w:rsid w:val="004E760E"/>
    <w:rsid w:val="004E76B8"/>
    <w:rsid w:val="004E76E6"/>
    <w:rsid w:val="004E7755"/>
    <w:rsid w:val="004E7866"/>
    <w:rsid w:val="004E79FC"/>
    <w:rsid w:val="004E7B3E"/>
    <w:rsid w:val="004E7B60"/>
    <w:rsid w:val="004E7BC1"/>
    <w:rsid w:val="004E7EB7"/>
    <w:rsid w:val="004F0212"/>
    <w:rsid w:val="004F02AF"/>
    <w:rsid w:val="004F0340"/>
    <w:rsid w:val="004F0DC6"/>
    <w:rsid w:val="004F0DDE"/>
    <w:rsid w:val="004F0E7D"/>
    <w:rsid w:val="004F1398"/>
    <w:rsid w:val="004F177F"/>
    <w:rsid w:val="004F17F7"/>
    <w:rsid w:val="004F19B4"/>
    <w:rsid w:val="004F1A43"/>
    <w:rsid w:val="004F1B44"/>
    <w:rsid w:val="004F1B4D"/>
    <w:rsid w:val="004F1C6A"/>
    <w:rsid w:val="004F1F6B"/>
    <w:rsid w:val="004F2030"/>
    <w:rsid w:val="004F203A"/>
    <w:rsid w:val="004F207F"/>
    <w:rsid w:val="004F20F2"/>
    <w:rsid w:val="004F2214"/>
    <w:rsid w:val="004F222D"/>
    <w:rsid w:val="004F276B"/>
    <w:rsid w:val="004F27D9"/>
    <w:rsid w:val="004F27FA"/>
    <w:rsid w:val="004F28CF"/>
    <w:rsid w:val="004F2968"/>
    <w:rsid w:val="004F2B3D"/>
    <w:rsid w:val="004F2B54"/>
    <w:rsid w:val="004F2BB7"/>
    <w:rsid w:val="004F2BC8"/>
    <w:rsid w:val="004F2EC1"/>
    <w:rsid w:val="004F2ECE"/>
    <w:rsid w:val="004F32E3"/>
    <w:rsid w:val="004F331E"/>
    <w:rsid w:val="004F33B1"/>
    <w:rsid w:val="004F386A"/>
    <w:rsid w:val="004F3930"/>
    <w:rsid w:val="004F397E"/>
    <w:rsid w:val="004F3AD6"/>
    <w:rsid w:val="004F4037"/>
    <w:rsid w:val="004F41A2"/>
    <w:rsid w:val="004F421E"/>
    <w:rsid w:val="004F43FC"/>
    <w:rsid w:val="004F4508"/>
    <w:rsid w:val="004F45D7"/>
    <w:rsid w:val="004F484A"/>
    <w:rsid w:val="004F493D"/>
    <w:rsid w:val="004F4AA3"/>
    <w:rsid w:val="004F4AA5"/>
    <w:rsid w:val="004F4C78"/>
    <w:rsid w:val="004F4DA9"/>
    <w:rsid w:val="004F4E00"/>
    <w:rsid w:val="004F4FAB"/>
    <w:rsid w:val="004F5014"/>
    <w:rsid w:val="004F5043"/>
    <w:rsid w:val="004F511A"/>
    <w:rsid w:val="004F52C1"/>
    <w:rsid w:val="004F53C1"/>
    <w:rsid w:val="004F544F"/>
    <w:rsid w:val="004F551A"/>
    <w:rsid w:val="004F5619"/>
    <w:rsid w:val="004F577F"/>
    <w:rsid w:val="004F5825"/>
    <w:rsid w:val="004F5B12"/>
    <w:rsid w:val="004F5CF8"/>
    <w:rsid w:val="004F5DC6"/>
    <w:rsid w:val="004F60CD"/>
    <w:rsid w:val="004F621B"/>
    <w:rsid w:val="004F63AB"/>
    <w:rsid w:val="004F64FF"/>
    <w:rsid w:val="004F6676"/>
    <w:rsid w:val="004F66BF"/>
    <w:rsid w:val="004F66F0"/>
    <w:rsid w:val="004F6799"/>
    <w:rsid w:val="004F69F1"/>
    <w:rsid w:val="004F6A4F"/>
    <w:rsid w:val="004F6E48"/>
    <w:rsid w:val="004F6E4D"/>
    <w:rsid w:val="004F6EAE"/>
    <w:rsid w:val="004F6F74"/>
    <w:rsid w:val="004F71F4"/>
    <w:rsid w:val="004F724A"/>
    <w:rsid w:val="004F72E7"/>
    <w:rsid w:val="004F76C1"/>
    <w:rsid w:val="004F7A0F"/>
    <w:rsid w:val="004F7B2B"/>
    <w:rsid w:val="004F7BB9"/>
    <w:rsid w:val="004F7D68"/>
    <w:rsid w:val="004F7FC9"/>
    <w:rsid w:val="004F7FFB"/>
    <w:rsid w:val="00500350"/>
    <w:rsid w:val="005003B3"/>
    <w:rsid w:val="005003FB"/>
    <w:rsid w:val="005004E2"/>
    <w:rsid w:val="005005E1"/>
    <w:rsid w:val="005006DA"/>
    <w:rsid w:val="00500764"/>
    <w:rsid w:val="0050094C"/>
    <w:rsid w:val="00500C6C"/>
    <w:rsid w:val="005010B0"/>
    <w:rsid w:val="0050143D"/>
    <w:rsid w:val="00501FF0"/>
    <w:rsid w:val="00502114"/>
    <w:rsid w:val="00502203"/>
    <w:rsid w:val="005023F1"/>
    <w:rsid w:val="00502679"/>
    <w:rsid w:val="005027E0"/>
    <w:rsid w:val="00502C0A"/>
    <w:rsid w:val="00502D30"/>
    <w:rsid w:val="00502D31"/>
    <w:rsid w:val="00502D4F"/>
    <w:rsid w:val="00503131"/>
    <w:rsid w:val="0050343A"/>
    <w:rsid w:val="005035EB"/>
    <w:rsid w:val="00503630"/>
    <w:rsid w:val="00503712"/>
    <w:rsid w:val="00503B98"/>
    <w:rsid w:val="00503DC2"/>
    <w:rsid w:val="00503EE1"/>
    <w:rsid w:val="005041E9"/>
    <w:rsid w:val="00504205"/>
    <w:rsid w:val="005042A4"/>
    <w:rsid w:val="00504583"/>
    <w:rsid w:val="005045DA"/>
    <w:rsid w:val="005047C9"/>
    <w:rsid w:val="00504E2D"/>
    <w:rsid w:val="00504E93"/>
    <w:rsid w:val="0050504A"/>
    <w:rsid w:val="0050555D"/>
    <w:rsid w:val="005055D8"/>
    <w:rsid w:val="00505644"/>
    <w:rsid w:val="00505927"/>
    <w:rsid w:val="005059EB"/>
    <w:rsid w:val="00505AED"/>
    <w:rsid w:val="00505D34"/>
    <w:rsid w:val="00505F3A"/>
    <w:rsid w:val="00506076"/>
    <w:rsid w:val="00506235"/>
    <w:rsid w:val="005063CB"/>
    <w:rsid w:val="0050670C"/>
    <w:rsid w:val="0050674B"/>
    <w:rsid w:val="00506C11"/>
    <w:rsid w:val="00506C1D"/>
    <w:rsid w:val="005070F5"/>
    <w:rsid w:val="00507150"/>
    <w:rsid w:val="00507384"/>
    <w:rsid w:val="005077C4"/>
    <w:rsid w:val="005079F4"/>
    <w:rsid w:val="00507D42"/>
    <w:rsid w:val="00507EA8"/>
    <w:rsid w:val="0051005C"/>
    <w:rsid w:val="005100D1"/>
    <w:rsid w:val="005101C8"/>
    <w:rsid w:val="00510494"/>
    <w:rsid w:val="005106E9"/>
    <w:rsid w:val="005106F2"/>
    <w:rsid w:val="0051074F"/>
    <w:rsid w:val="0051086F"/>
    <w:rsid w:val="0051095B"/>
    <w:rsid w:val="005109D0"/>
    <w:rsid w:val="00510A27"/>
    <w:rsid w:val="00510A55"/>
    <w:rsid w:val="00510ACF"/>
    <w:rsid w:val="00510BCD"/>
    <w:rsid w:val="00510C03"/>
    <w:rsid w:val="00510D2C"/>
    <w:rsid w:val="00510F73"/>
    <w:rsid w:val="00511027"/>
    <w:rsid w:val="00511134"/>
    <w:rsid w:val="0051116E"/>
    <w:rsid w:val="005113F3"/>
    <w:rsid w:val="00511410"/>
    <w:rsid w:val="005114CC"/>
    <w:rsid w:val="005116CC"/>
    <w:rsid w:val="005116DF"/>
    <w:rsid w:val="005119E2"/>
    <w:rsid w:val="00511BD7"/>
    <w:rsid w:val="00511CD9"/>
    <w:rsid w:val="00511E99"/>
    <w:rsid w:val="0051217D"/>
    <w:rsid w:val="0051263A"/>
    <w:rsid w:val="0051281B"/>
    <w:rsid w:val="00512A30"/>
    <w:rsid w:val="00512ADC"/>
    <w:rsid w:val="0051302C"/>
    <w:rsid w:val="00513042"/>
    <w:rsid w:val="0051331B"/>
    <w:rsid w:val="0051335F"/>
    <w:rsid w:val="005133CE"/>
    <w:rsid w:val="00513546"/>
    <w:rsid w:val="005135D8"/>
    <w:rsid w:val="00513642"/>
    <w:rsid w:val="0051390F"/>
    <w:rsid w:val="00513BB7"/>
    <w:rsid w:val="00513C34"/>
    <w:rsid w:val="00513EFA"/>
    <w:rsid w:val="00513F8C"/>
    <w:rsid w:val="0051413C"/>
    <w:rsid w:val="005143BC"/>
    <w:rsid w:val="0051471F"/>
    <w:rsid w:val="00514778"/>
    <w:rsid w:val="005147EB"/>
    <w:rsid w:val="00514992"/>
    <w:rsid w:val="00514A48"/>
    <w:rsid w:val="00514B80"/>
    <w:rsid w:val="00514C9E"/>
    <w:rsid w:val="00514EE8"/>
    <w:rsid w:val="00514FA4"/>
    <w:rsid w:val="005150AF"/>
    <w:rsid w:val="005152C6"/>
    <w:rsid w:val="00515639"/>
    <w:rsid w:val="00515664"/>
    <w:rsid w:val="00515771"/>
    <w:rsid w:val="00515868"/>
    <w:rsid w:val="00515AC2"/>
    <w:rsid w:val="00515C3E"/>
    <w:rsid w:val="00515E4A"/>
    <w:rsid w:val="00516368"/>
    <w:rsid w:val="0051648B"/>
    <w:rsid w:val="00516738"/>
    <w:rsid w:val="00516AE1"/>
    <w:rsid w:val="00516BAF"/>
    <w:rsid w:val="00516DBB"/>
    <w:rsid w:val="00516E86"/>
    <w:rsid w:val="00516EC7"/>
    <w:rsid w:val="0051717E"/>
    <w:rsid w:val="0051752A"/>
    <w:rsid w:val="00517698"/>
    <w:rsid w:val="00517AA3"/>
    <w:rsid w:val="00517AA5"/>
    <w:rsid w:val="00517E61"/>
    <w:rsid w:val="00517F7F"/>
    <w:rsid w:val="00520187"/>
    <w:rsid w:val="005203F1"/>
    <w:rsid w:val="00520455"/>
    <w:rsid w:val="0052090C"/>
    <w:rsid w:val="00520A56"/>
    <w:rsid w:val="00520BC4"/>
    <w:rsid w:val="00520C2C"/>
    <w:rsid w:val="00521102"/>
    <w:rsid w:val="005211C2"/>
    <w:rsid w:val="0052134D"/>
    <w:rsid w:val="005218C9"/>
    <w:rsid w:val="005218D3"/>
    <w:rsid w:val="00521B4F"/>
    <w:rsid w:val="00521CDA"/>
    <w:rsid w:val="00521D74"/>
    <w:rsid w:val="00521D95"/>
    <w:rsid w:val="00521F1E"/>
    <w:rsid w:val="0052212C"/>
    <w:rsid w:val="00522208"/>
    <w:rsid w:val="00522352"/>
    <w:rsid w:val="00522435"/>
    <w:rsid w:val="0052269C"/>
    <w:rsid w:val="005228E7"/>
    <w:rsid w:val="00522936"/>
    <w:rsid w:val="00522AA4"/>
    <w:rsid w:val="00522B10"/>
    <w:rsid w:val="00522D37"/>
    <w:rsid w:val="00522D5C"/>
    <w:rsid w:val="00522EE9"/>
    <w:rsid w:val="005230B4"/>
    <w:rsid w:val="0052335E"/>
    <w:rsid w:val="0052343E"/>
    <w:rsid w:val="005234E0"/>
    <w:rsid w:val="00523877"/>
    <w:rsid w:val="00523917"/>
    <w:rsid w:val="00523E3B"/>
    <w:rsid w:val="00524001"/>
    <w:rsid w:val="005240E1"/>
    <w:rsid w:val="0052421B"/>
    <w:rsid w:val="0052424C"/>
    <w:rsid w:val="00524300"/>
    <w:rsid w:val="005243E9"/>
    <w:rsid w:val="005244FB"/>
    <w:rsid w:val="00524566"/>
    <w:rsid w:val="00524701"/>
    <w:rsid w:val="00524ACC"/>
    <w:rsid w:val="00524AF3"/>
    <w:rsid w:val="00524B6F"/>
    <w:rsid w:val="00524C18"/>
    <w:rsid w:val="00524C81"/>
    <w:rsid w:val="005252C4"/>
    <w:rsid w:val="005253FC"/>
    <w:rsid w:val="0052575F"/>
    <w:rsid w:val="00525781"/>
    <w:rsid w:val="00525819"/>
    <w:rsid w:val="005258DC"/>
    <w:rsid w:val="00525A39"/>
    <w:rsid w:val="00525A63"/>
    <w:rsid w:val="00525A96"/>
    <w:rsid w:val="00525AAA"/>
    <w:rsid w:val="00525C15"/>
    <w:rsid w:val="00525DD7"/>
    <w:rsid w:val="00525EB2"/>
    <w:rsid w:val="00525EE8"/>
    <w:rsid w:val="00525F28"/>
    <w:rsid w:val="00526030"/>
    <w:rsid w:val="00526223"/>
    <w:rsid w:val="0052639E"/>
    <w:rsid w:val="005263AB"/>
    <w:rsid w:val="0052654A"/>
    <w:rsid w:val="00526742"/>
    <w:rsid w:val="005268DC"/>
    <w:rsid w:val="005269D8"/>
    <w:rsid w:val="005269DF"/>
    <w:rsid w:val="00526BAA"/>
    <w:rsid w:val="00526BE8"/>
    <w:rsid w:val="00526C6D"/>
    <w:rsid w:val="00526CF6"/>
    <w:rsid w:val="00526D65"/>
    <w:rsid w:val="005271A4"/>
    <w:rsid w:val="005273CC"/>
    <w:rsid w:val="0052744E"/>
    <w:rsid w:val="00527624"/>
    <w:rsid w:val="005276AC"/>
    <w:rsid w:val="00527941"/>
    <w:rsid w:val="00527963"/>
    <w:rsid w:val="00527A21"/>
    <w:rsid w:val="00527A71"/>
    <w:rsid w:val="00527CD4"/>
    <w:rsid w:val="00527DEC"/>
    <w:rsid w:val="005302C0"/>
    <w:rsid w:val="005304B7"/>
    <w:rsid w:val="005306BD"/>
    <w:rsid w:val="0053082B"/>
    <w:rsid w:val="00530859"/>
    <w:rsid w:val="00530868"/>
    <w:rsid w:val="00530999"/>
    <w:rsid w:val="00530B63"/>
    <w:rsid w:val="00530EF2"/>
    <w:rsid w:val="00530FD9"/>
    <w:rsid w:val="005310D7"/>
    <w:rsid w:val="0053130B"/>
    <w:rsid w:val="0053134E"/>
    <w:rsid w:val="0053148B"/>
    <w:rsid w:val="0053157B"/>
    <w:rsid w:val="00531581"/>
    <w:rsid w:val="00531632"/>
    <w:rsid w:val="005318AD"/>
    <w:rsid w:val="00531C61"/>
    <w:rsid w:val="00531C86"/>
    <w:rsid w:val="00531FCF"/>
    <w:rsid w:val="0053217B"/>
    <w:rsid w:val="005321B1"/>
    <w:rsid w:val="005321FB"/>
    <w:rsid w:val="005323C9"/>
    <w:rsid w:val="00532730"/>
    <w:rsid w:val="00532A6D"/>
    <w:rsid w:val="00532F19"/>
    <w:rsid w:val="00532F96"/>
    <w:rsid w:val="00532FCF"/>
    <w:rsid w:val="00533006"/>
    <w:rsid w:val="00533125"/>
    <w:rsid w:val="00533201"/>
    <w:rsid w:val="00533383"/>
    <w:rsid w:val="0053387B"/>
    <w:rsid w:val="005338DF"/>
    <w:rsid w:val="005338E3"/>
    <w:rsid w:val="0053391E"/>
    <w:rsid w:val="005339CF"/>
    <w:rsid w:val="00533C82"/>
    <w:rsid w:val="00533D3F"/>
    <w:rsid w:val="00533DD8"/>
    <w:rsid w:val="00533DDB"/>
    <w:rsid w:val="00533F87"/>
    <w:rsid w:val="00533FAF"/>
    <w:rsid w:val="00533FE9"/>
    <w:rsid w:val="005340B1"/>
    <w:rsid w:val="005341CC"/>
    <w:rsid w:val="0053427D"/>
    <w:rsid w:val="005345FF"/>
    <w:rsid w:val="005347C1"/>
    <w:rsid w:val="005348B2"/>
    <w:rsid w:val="005348FA"/>
    <w:rsid w:val="00534CA0"/>
    <w:rsid w:val="00534E28"/>
    <w:rsid w:val="00535309"/>
    <w:rsid w:val="00535658"/>
    <w:rsid w:val="00535D7B"/>
    <w:rsid w:val="005363A7"/>
    <w:rsid w:val="005363D1"/>
    <w:rsid w:val="0053648E"/>
    <w:rsid w:val="005366A1"/>
    <w:rsid w:val="005366D1"/>
    <w:rsid w:val="005368C0"/>
    <w:rsid w:val="00536A23"/>
    <w:rsid w:val="00536A69"/>
    <w:rsid w:val="00536B2D"/>
    <w:rsid w:val="00536DA5"/>
    <w:rsid w:val="00536E01"/>
    <w:rsid w:val="00536EEB"/>
    <w:rsid w:val="00536F20"/>
    <w:rsid w:val="0053700D"/>
    <w:rsid w:val="0053700E"/>
    <w:rsid w:val="005370BD"/>
    <w:rsid w:val="005370D9"/>
    <w:rsid w:val="00537121"/>
    <w:rsid w:val="0053719B"/>
    <w:rsid w:val="00537202"/>
    <w:rsid w:val="0053759F"/>
    <w:rsid w:val="00537905"/>
    <w:rsid w:val="00537952"/>
    <w:rsid w:val="00537D90"/>
    <w:rsid w:val="00537DE8"/>
    <w:rsid w:val="00537E2E"/>
    <w:rsid w:val="00537F1B"/>
    <w:rsid w:val="005400F8"/>
    <w:rsid w:val="005400FF"/>
    <w:rsid w:val="00540137"/>
    <w:rsid w:val="00540213"/>
    <w:rsid w:val="00540309"/>
    <w:rsid w:val="0054033D"/>
    <w:rsid w:val="00540497"/>
    <w:rsid w:val="0054076C"/>
    <w:rsid w:val="005407AF"/>
    <w:rsid w:val="0054086B"/>
    <w:rsid w:val="00540984"/>
    <w:rsid w:val="00540B7A"/>
    <w:rsid w:val="00540C48"/>
    <w:rsid w:val="00540E48"/>
    <w:rsid w:val="00540E76"/>
    <w:rsid w:val="00541577"/>
    <w:rsid w:val="0054158A"/>
    <w:rsid w:val="00541719"/>
    <w:rsid w:val="0054175C"/>
    <w:rsid w:val="005417B1"/>
    <w:rsid w:val="00541977"/>
    <w:rsid w:val="00541ACD"/>
    <w:rsid w:val="00541AE3"/>
    <w:rsid w:val="00541C09"/>
    <w:rsid w:val="00541D26"/>
    <w:rsid w:val="00541D27"/>
    <w:rsid w:val="00541D95"/>
    <w:rsid w:val="00541DB7"/>
    <w:rsid w:val="00541E10"/>
    <w:rsid w:val="00542155"/>
    <w:rsid w:val="00542196"/>
    <w:rsid w:val="00542533"/>
    <w:rsid w:val="0054270F"/>
    <w:rsid w:val="0054281F"/>
    <w:rsid w:val="0054291B"/>
    <w:rsid w:val="00542E15"/>
    <w:rsid w:val="0054323B"/>
    <w:rsid w:val="005432E3"/>
    <w:rsid w:val="00543808"/>
    <w:rsid w:val="00543893"/>
    <w:rsid w:val="00543A92"/>
    <w:rsid w:val="00543AEA"/>
    <w:rsid w:val="00543C17"/>
    <w:rsid w:val="00543CD0"/>
    <w:rsid w:val="00543D7C"/>
    <w:rsid w:val="00543E82"/>
    <w:rsid w:val="00543F30"/>
    <w:rsid w:val="00544049"/>
    <w:rsid w:val="005442B0"/>
    <w:rsid w:val="00544509"/>
    <w:rsid w:val="005445E3"/>
    <w:rsid w:val="00544692"/>
    <w:rsid w:val="00544ADC"/>
    <w:rsid w:val="00544E39"/>
    <w:rsid w:val="00544EDC"/>
    <w:rsid w:val="0054561F"/>
    <w:rsid w:val="0054562E"/>
    <w:rsid w:val="0054585D"/>
    <w:rsid w:val="00545BD3"/>
    <w:rsid w:val="00545C03"/>
    <w:rsid w:val="005460BC"/>
    <w:rsid w:val="00546293"/>
    <w:rsid w:val="005462E8"/>
    <w:rsid w:val="00546314"/>
    <w:rsid w:val="0054644B"/>
    <w:rsid w:val="0054651E"/>
    <w:rsid w:val="0054651F"/>
    <w:rsid w:val="005466C3"/>
    <w:rsid w:val="005466CA"/>
    <w:rsid w:val="005469F5"/>
    <w:rsid w:val="00546BAE"/>
    <w:rsid w:val="00546C1A"/>
    <w:rsid w:val="00546FE0"/>
    <w:rsid w:val="00546FE1"/>
    <w:rsid w:val="005471A6"/>
    <w:rsid w:val="0054723D"/>
    <w:rsid w:val="00547267"/>
    <w:rsid w:val="00547291"/>
    <w:rsid w:val="005473D1"/>
    <w:rsid w:val="0054758D"/>
    <w:rsid w:val="00547894"/>
    <w:rsid w:val="00547A15"/>
    <w:rsid w:val="00547FDD"/>
    <w:rsid w:val="00550169"/>
    <w:rsid w:val="005501D0"/>
    <w:rsid w:val="00550403"/>
    <w:rsid w:val="00550741"/>
    <w:rsid w:val="00550882"/>
    <w:rsid w:val="00550997"/>
    <w:rsid w:val="005509F8"/>
    <w:rsid w:val="00550A3D"/>
    <w:rsid w:val="00550DA2"/>
    <w:rsid w:val="00551097"/>
    <w:rsid w:val="00551443"/>
    <w:rsid w:val="0055157D"/>
    <w:rsid w:val="005515A1"/>
    <w:rsid w:val="005516CA"/>
    <w:rsid w:val="005517B2"/>
    <w:rsid w:val="00551A44"/>
    <w:rsid w:val="00551B01"/>
    <w:rsid w:val="00551B67"/>
    <w:rsid w:val="00551D5D"/>
    <w:rsid w:val="005520A8"/>
    <w:rsid w:val="005520CD"/>
    <w:rsid w:val="0055261A"/>
    <w:rsid w:val="00552645"/>
    <w:rsid w:val="005527DE"/>
    <w:rsid w:val="005528F3"/>
    <w:rsid w:val="00552952"/>
    <w:rsid w:val="00552A60"/>
    <w:rsid w:val="005531CA"/>
    <w:rsid w:val="005535A5"/>
    <w:rsid w:val="0055371C"/>
    <w:rsid w:val="00553745"/>
    <w:rsid w:val="00553A0D"/>
    <w:rsid w:val="00554038"/>
    <w:rsid w:val="00554058"/>
    <w:rsid w:val="00554106"/>
    <w:rsid w:val="00554191"/>
    <w:rsid w:val="00554831"/>
    <w:rsid w:val="005549E3"/>
    <w:rsid w:val="00554A6A"/>
    <w:rsid w:val="00554B88"/>
    <w:rsid w:val="00554D19"/>
    <w:rsid w:val="0055506B"/>
    <w:rsid w:val="005550DE"/>
    <w:rsid w:val="0055532C"/>
    <w:rsid w:val="00555459"/>
    <w:rsid w:val="0055550E"/>
    <w:rsid w:val="005556E9"/>
    <w:rsid w:val="00555764"/>
    <w:rsid w:val="00555A67"/>
    <w:rsid w:val="00555B24"/>
    <w:rsid w:val="00555FA6"/>
    <w:rsid w:val="0055600A"/>
    <w:rsid w:val="00556170"/>
    <w:rsid w:val="005561CB"/>
    <w:rsid w:val="0055633D"/>
    <w:rsid w:val="00556472"/>
    <w:rsid w:val="00556651"/>
    <w:rsid w:val="00556782"/>
    <w:rsid w:val="005567E7"/>
    <w:rsid w:val="0055690F"/>
    <w:rsid w:val="0055700F"/>
    <w:rsid w:val="005571F2"/>
    <w:rsid w:val="0055754D"/>
    <w:rsid w:val="00557578"/>
    <w:rsid w:val="005578A4"/>
    <w:rsid w:val="005578F6"/>
    <w:rsid w:val="0055793D"/>
    <w:rsid w:val="00557B31"/>
    <w:rsid w:val="00557B85"/>
    <w:rsid w:val="00557BEB"/>
    <w:rsid w:val="00557E07"/>
    <w:rsid w:val="00557E0C"/>
    <w:rsid w:val="00557E77"/>
    <w:rsid w:val="00557F71"/>
    <w:rsid w:val="00560060"/>
    <w:rsid w:val="0056015A"/>
    <w:rsid w:val="005601D0"/>
    <w:rsid w:val="0056026C"/>
    <w:rsid w:val="00560667"/>
    <w:rsid w:val="0056066D"/>
    <w:rsid w:val="005608B9"/>
    <w:rsid w:val="0056092F"/>
    <w:rsid w:val="00560962"/>
    <w:rsid w:val="00560A6E"/>
    <w:rsid w:val="00560D2F"/>
    <w:rsid w:val="00560D6A"/>
    <w:rsid w:val="00560DB7"/>
    <w:rsid w:val="00560E83"/>
    <w:rsid w:val="005610B6"/>
    <w:rsid w:val="00561355"/>
    <w:rsid w:val="0056165A"/>
    <w:rsid w:val="005616F8"/>
    <w:rsid w:val="0056189F"/>
    <w:rsid w:val="0056194F"/>
    <w:rsid w:val="00561D18"/>
    <w:rsid w:val="00561D97"/>
    <w:rsid w:val="00561E15"/>
    <w:rsid w:val="00561E1F"/>
    <w:rsid w:val="00561E6C"/>
    <w:rsid w:val="00561F93"/>
    <w:rsid w:val="005621AE"/>
    <w:rsid w:val="005621F5"/>
    <w:rsid w:val="005625F3"/>
    <w:rsid w:val="00562A1B"/>
    <w:rsid w:val="00562AAB"/>
    <w:rsid w:val="00562D8A"/>
    <w:rsid w:val="00562F74"/>
    <w:rsid w:val="005632A9"/>
    <w:rsid w:val="0056353D"/>
    <w:rsid w:val="00563569"/>
    <w:rsid w:val="00563A98"/>
    <w:rsid w:val="00563B16"/>
    <w:rsid w:val="00563B45"/>
    <w:rsid w:val="00563C47"/>
    <w:rsid w:val="00563CA4"/>
    <w:rsid w:val="00564133"/>
    <w:rsid w:val="00564209"/>
    <w:rsid w:val="0056498E"/>
    <w:rsid w:val="005649E1"/>
    <w:rsid w:val="00564F07"/>
    <w:rsid w:val="00564F54"/>
    <w:rsid w:val="00565045"/>
    <w:rsid w:val="0056509D"/>
    <w:rsid w:val="005651E5"/>
    <w:rsid w:val="00565272"/>
    <w:rsid w:val="005652C6"/>
    <w:rsid w:val="005654E0"/>
    <w:rsid w:val="0056555E"/>
    <w:rsid w:val="00565D7F"/>
    <w:rsid w:val="00565DD8"/>
    <w:rsid w:val="00565DEC"/>
    <w:rsid w:val="005660D4"/>
    <w:rsid w:val="00566121"/>
    <w:rsid w:val="0056646B"/>
    <w:rsid w:val="00566543"/>
    <w:rsid w:val="00566775"/>
    <w:rsid w:val="005669A3"/>
    <w:rsid w:val="00566A9D"/>
    <w:rsid w:val="00566AB0"/>
    <w:rsid w:val="00566ADE"/>
    <w:rsid w:val="00566D3C"/>
    <w:rsid w:val="00566DCE"/>
    <w:rsid w:val="00566EC9"/>
    <w:rsid w:val="00566ECE"/>
    <w:rsid w:val="0056709C"/>
    <w:rsid w:val="005671C9"/>
    <w:rsid w:val="005671CF"/>
    <w:rsid w:val="0056734E"/>
    <w:rsid w:val="005677D0"/>
    <w:rsid w:val="005678C9"/>
    <w:rsid w:val="005679DA"/>
    <w:rsid w:val="00567A7F"/>
    <w:rsid w:val="00567ABB"/>
    <w:rsid w:val="00567AFB"/>
    <w:rsid w:val="00567B89"/>
    <w:rsid w:val="00567BC7"/>
    <w:rsid w:val="00567CF6"/>
    <w:rsid w:val="00567DD3"/>
    <w:rsid w:val="00570073"/>
    <w:rsid w:val="005701E4"/>
    <w:rsid w:val="00570583"/>
    <w:rsid w:val="0057062B"/>
    <w:rsid w:val="0057081B"/>
    <w:rsid w:val="00570BB6"/>
    <w:rsid w:val="00570D92"/>
    <w:rsid w:val="00571218"/>
    <w:rsid w:val="00571359"/>
    <w:rsid w:val="0057159C"/>
    <w:rsid w:val="005717F7"/>
    <w:rsid w:val="005718A0"/>
    <w:rsid w:val="00571970"/>
    <w:rsid w:val="00571C9A"/>
    <w:rsid w:val="00571F30"/>
    <w:rsid w:val="005724B4"/>
    <w:rsid w:val="005724BA"/>
    <w:rsid w:val="00572528"/>
    <w:rsid w:val="00572608"/>
    <w:rsid w:val="00572784"/>
    <w:rsid w:val="00572953"/>
    <w:rsid w:val="005729E9"/>
    <w:rsid w:val="00572AB1"/>
    <w:rsid w:val="00572ABE"/>
    <w:rsid w:val="00572CD0"/>
    <w:rsid w:val="00572CE6"/>
    <w:rsid w:val="00572D2D"/>
    <w:rsid w:val="00572D44"/>
    <w:rsid w:val="00572D5A"/>
    <w:rsid w:val="00572E5B"/>
    <w:rsid w:val="00572E5E"/>
    <w:rsid w:val="00572EA7"/>
    <w:rsid w:val="00573106"/>
    <w:rsid w:val="00573142"/>
    <w:rsid w:val="00573226"/>
    <w:rsid w:val="0057328B"/>
    <w:rsid w:val="005734A9"/>
    <w:rsid w:val="00573600"/>
    <w:rsid w:val="0057360C"/>
    <w:rsid w:val="00573621"/>
    <w:rsid w:val="00573775"/>
    <w:rsid w:val="00573B01"/>
    <w:rsid w:val="00573B84"/>
    <w:rsid w:val="00574018"/>
    <w:rsid w:val="00574081"/>
    <w:rsid w:val="00574088"/>
    <w:rsid w:val="0057423C"/>
    <w:rsid w:val="00574252"/>
    <w:rsid w:val="00574477"/>
    <w:rsid w:val="005744E9"/>
    <w:rsid w:val="00574531"/>
    <w:rsid w:val="0057456F"/>
    <w:rsid w:val="005746FD"/>
    <w:rsid w:val="0057478D"/>
    <w:rsid w:val="0057479C"/>
    <w:rsid w:val="005747A3"/>
    <w:rsid w:val="005748CD"/>
    <w:rsid w:val="005749ED"/>
    <w:rsid w:val="00574A66"/>
    <w:rsid w:val="00574D4E"/>
    <w:rsid w:val="00574D53"/>
    <w:rsid w:val="00574D8D"/>
    <w:rsid w:val="0057524D"/>
    <w:rsid w:val="0057528E"/>
    <w:rsid w:val="00575414"/>
    <w:rsid w:val="005755B8"/>
    <w:rsid w:val="00575842"/>
    <w:rsid w:val="005758C6"/>
    <w:rsid w:val="00575A1A"/>
    <w:rsid w:val="0057603F"/>
    <w:rsid w:val="00576208"/>
    <w:rsid w:val="0057637A"/>
    <w:rsid w:val="0057646D"/>
    <w:rsid w:val="0057691C"/>
    <w:rsid w:val="00576C4B"/>
    <w:rsid w:val="00576F61"/>
    <w:rsid w:val="0057707A"/>
    <w:rsid w:val="00577297"/>
    <w:rsid w:val="00577687"/>
    <w:rsid w:val="00577749"/>
    <w:rsid w:val="00577902"/>
    <w:rsid w:val="00577D88"/>
    <w:rsid w:val="00577E3E"/>
    <w:rsid w:val="00580064"/>
    <w:rsid w:val="005800F2"/>
    <w:rsid w:val="0058047E"/>
    <w:rsid w:val="005805D5"/>
    <w:rsid w:val="0058060D"/>
    <w:rsid w:val="00580732"/>
    <w:rsid w:val="0058074F"/>
    <w:rsid w:val="00580760"/>
    <w:rsid w:val="00580781"/>
    <w:rsid w:val="0058098A"/>
    <w:rsid w:val="00580C45"/>
    <w:rsid w:val="00580C51"/>
    <w:rsid w:val="00580EE4"/>
    <w:rsid w:val="00581114"/>
    <w:rsid w:val="0058138D"/>
    <w:rsid w:val="005814BB"/>
    <w:rsid w:val="00581B7E"/>
    <w:rsid w:val="00581D00"/>
    <w:rsid w:val="00581D85"/>
    <w:rsid w:val="00581E06"/>
    <w:rsid w:val="00581EF6"/>
    <w:rsid w:val="0058200D"/>
    <w:rsid w:val="00582082"/>
    <w:rsid w:val="005821B7"/>
    <w:rsid w:val="0058252D"/>
    <w:rsid w:val="0058263E"/>
    <w:rsid w:val="005829B6"/>
    <w:rsid w:val="00582AB8"/>
    <w:rsid w:val="00582B3E"/>
    <w:rsid w:val="00582B74"/>
    <w:rsid w:val="00582D43"/>
    <w:rsid w:val="00582D8B"/>
    <w:rsid w:val="00583014"/>
    <w:rsid w:val="005830EF"/>
    <w:rsid w:val="005834D6"/>
    <w:rsid w:val="00583562"/>
    <w:rsid w:val="005835D3"/>
    <w:rsid w:val="00583617"/>
    <w:rsid w:val="0058369D"/>
    <w:rsid w:val="00583880"/>
    <w:rsid w:val="00583A01"/>
    <w:rsid w:val="00583A69"/>
    <w:rsid w:val="00583D04"/>
    <w:rsid w:val="005841A3"/>
    <w:rsid w:val="00584241"/>
    <w:rsid w:val="005843EE"/>
    <w:rsid w:val="00584975"/>
    <w:rsid w:val="00584B63"/>
    <w:rsid w:val="00584B7A"/>
    <w:rsid w:val="00584CE2"/>
    <w:rsid w:val="00584CED"/>
    <w:rsid w:val="00584DE8"/>
    <w:rsid w:val="0058517B"/>
    <w:rsid w:val="005854A9"/>
    <w:rsid w:val="005854B5"/>
    <w:rsid w:val="00585560"/>
    <w:rsid w:val="00585722"/>
    <w:rsid w:val="00585808"/>
    <w:rsid w:val="005858B1"/>
    <w:rsid w:val="0058592F"/>
    <w:rsid w:val="00585B91"/>
    <w:rsid w:val="00585E26"/>
    <w:rsid w:val="00585F5A"/>
    <w:rsid w:val="00586178"/>
    <w:rsid w:val="0058632A"/>
    <w:rsid w:val="0058632C"/>
    <w:rsid w:val="0058636E"/>
    <w:rsid w:val="0058664F"/>
    <w:rsid w:val="00586654"/>
    <w:rsid w:val="005867D0"/>
    <w:rsid w:val="00586941"/>
    <w:rsid w:val="00586A2B"/>
    <w:rsid w:val="00586BE0"/>
    <w:rsid w:val="00586D28"/>
    <w:rsid w:val="00586D96"/>
    <w:rsid w:val="0058718C"/>
    <w:rsid w:val="0058731E"/>
    <w:rsid w:val="0058737E"/>
    <w:rsid w:val="005874A2"/>
    <w:rsid w:val="0058766F"/>
    <w:rsid w:val="00587759"/>
    <w:rsid w:val="0058781F"/>
    <w:rsid w:val="00587A03"/>
    <w:rsid w:val="00587A28"/>
    <w:rsid w:val="00587A33"/>
    <w:rsid w:val="00587B62"/>
    <w:rsid w:val="00587D5C"/>
    <w:rsid w:val="00587E46"/>
    <w:rsid w:val="00590064"/>
    <w:rsid w:val="00590386"/>
    <w:rsid w:val="00590896"/>
    <w:rsid w:val="00590996"/>
    <w:rsid w:val="00590A24"/>
    <w:rsid w:val="00590DA3"/>
    <w:rsid w:val="00590E8F"/>
    <w:rsid w:val="00590EA9"/>
    <w:rsid w:val="00590F87"/>
    <w:rsid w:val="00590F97"/>
    <w:rsid w:val="00590FA6"/>
    <w:rsid w:val="005910B6"/>
    <w:rsid w:val="0059111D"/>
    <w:rsid w:val="0059120D"/>
    <w:rsid w:val="005912EB"/>
    <w:rsid w:val="0059134F"/>
    <w:rsid w:val="00591750"/>
    <w:rsid w:val="00591804"/>
    <w:rsid w:val="005919A5"/>
    <w:rsid w:val="00591D03"/>
    <w:rsid w:val="00592067"/>
    <w:rsid w:val="005920A1"/>
    <w:rsid w:val="005920EB"/>
    <w:rsid w:val="005924DD"/>
    <w:rsid w:val="00592864"/>
    <w:rsid w:val="005928CC"/>
    <w:rsid w:val="005928E3"/>
    <w:rsid w:val="00592909"/>
    <w:rsid w:val="005929B9"/>
    <w:rsid w:val="00592A7F"/>
    <w:rsid w:val="00592A8D"/>
    <w:rsid w:val="00592AFA"/>
    <w:rsid w:val="00593384"/>
    <w:rsid w:val="005933E0"/>
    <w:rsid w:val="00593432"/>
    <w:rsid w:val="0059358D"/>
    <w:rsid w:val="00593627"/>
    <w:rsid w:val="005937F2"/>
    <w:rsid w:val="0059396A"/>
    <w:rsid w:val="005939CC"/>
    <w:rsid w:val="00593B16"/>
    <w:rsid w:val="00593D25"/>
    <w:rsid w:val="00593D94"/>
    <w:rsid w:val="00593E35"/>
    <w:rsid w:val="00593E9E"/>
    <w:rsid w:val="005940C5"/>
    <w:rsid w:val="0059418F"/>
    <w:rsid w:val="005941A8"/>
    <w:rsid w:val="00594379"/>
    <w:rsid w:val="00594515"/>
    <w:rsid w:val="005946D0"/>
    <w:rsid w:val="005947F3"/>
    <w:rsid w:val="00594F7F"/>
    <w:rsid w:val="00595198"/>
    <w:rsid w:val="005953E1"/>
    <w:rsid w:val="0059567B"/>
    <w:rsid w:val="005956AB"/>
    <w:rsid w:val="00595732"/>
    <w:rsid w:val="00595830"/>
    <w:rsid w:val="00595917"/>
    <w:rsid w:val="00595CF8"/>
    <w:rsid w:val="00596167"/>
    <w:rsid w:val="0059635A"/>
    <w:rsid w:val="00596490"/>
    <w:rsid w:val="0059659B"/>
    <w:rsid w:val="005967AA"/>
    <w:rsid w:val="005967B8"/>
    <w:rsid w:val="0059685F"/>
    <w:rsid w:val="00596CBB"/>
    <w:rsid w:val="00596CEC"/>
    <w:rsid w:val="00596F33"/>
    <w:rsid w:val="00596FD5"/>
    <w:rsid w:val="0059732A"/>
    <w:rsid w:val="005974AE"/>
    <w:rsid w:val="005977F8"/>
    <w:rsid w:val="005977FE"/>
    <w:rsid w:val="0059782C"/>
    <w:rsid w:val="00597B70"/>
    <w:rsid w:val="00597C09"/>
    <w:rsid w:val="00597FE4"/>
    <w:rsid w:val="005A0014"/>
    <w:rsid w:val="005A02DC"/>
    <w:rsid w:val="005A041F"/>
    <w:rsid w:val="005A0452"/>
    <w:rsid w:val="005A04FF"/>
    <w:rsid w:val="005A0504"/>
    <w:rsid w:val="005A05F0"/>
    <w:rsid w:val="005A06CB"/>
    <w:rsid w:val="005A06E9"/>
    <w:rsid w:val="005A085C"/>
    <w:rsid w:val="005A0A4A"/>
    <w:rsid w:val="005A0CDE"/>
    <w:rsid w:val="005A13D3"/>
    <w:rsid w:val="005A1833"/>
    <w:rsid w:val="005A189F"/>
    <w:rsid w:val="005A191E"/>
    <w:rsid w:val="005A1950"/>
    <w:rsid w:val="005A1B16"/>
    <w:rsid w:val="005A1CE4"/>
    <w:rsid w:val="005A1F5B"/>
    <w:rsid w:val="005A1F7E"/>
    <w:rsid w:val="005A207E"/>
    <w:rsid w:val="005A20F7"/>
    <w:rsid w:val="005A218B"/>
    <w:rsid w:val="005A21A7"/>
    <w:rsid w:val="005A22C4"/>
    <w:rsid w:val="005A22CC"/>
    <w:rsid w:val="005A252C"/>
    <w:rsid w:val="005A260D"/>
    <w:rsid w:val="005A26ED"/>
    <w:rsid w:val="005A2713"/>
    <w:rsid w:val="005A2A45"/>
    <w:rsid w:val="005A2B46"/>
    <w:rsid w:val="005A2D08"/>
    <w:rsid w:val="005A2F10"/>
    <w:rsid w:val="005A2FF9"/>
    <w:rsid w:val="005A318F"/>
    <w:rsid w:val="005A326D"/>
    <w:rsid w:val="005A39F6"/>
    <w:rsid w:val="005A3A32"/>
    <w:rsid w:val="005A3AAD"/>
    <w:rsid w:val="005A3E20"/>
    <w:rsid w:val="005A3FCA"/>
    <w:rsid w:val="005A42C0"/>
    <w:rsid w:val="005A43AE"/>
    <w:rsid w:val="005A4463"/>
    <w:rsid w:val="005A4630"/>
    <w:rsid w:val="005A48F0"/>
    <w:rsid w:val="005A49EE"/>
    <w:rsid w:val="005A4D6D"/>
    <w:rsid w:val="005A4F5C"/>
    <w:rsid w:val="005A5025"/>
    <w:rsid w:val="005A523B"/>
    <w:rsid w:val="005A55AB"/>
    <w:rsid w:val="005A5614"/>
    <w:rsid w:val="005A5784"/>
    <w:rsid w:val="005A587E"/>
    <w:rsid w:val="005A58DB"/>
    <w:rsid w:val="005A5972"/>
    <w:rsid w:val="005A59B0"/>
    <w:rsid w:val="005A5A26"/>
    <w:rsid w:val="005A5FF5"/>
    <w:rsid w:val="005A6105"/>
    <w:rsid w:val="005A6146"/>
    <w:rsid w:val="005A614B"/>
    <w:rsid w:val="005A63B5"/>
    <w:rsid w:val="005A6435"/>
    <w:rsid w:val="005A6550"/>
    <w:rsid w:val="005A6784"/>
    <w:rsid w:val="005A67D5"/>
    <w:rsid w:val="005A68FD"/>
    <w:rsid w:val="005A6ABA"/>
    <w:rsid w:val="005A6AEB"/>
    <w:rsid w:val="005A6B55"/>
    <w:rsid w:val="005A6BF6"/>
    <w:rsid w:val="005A6E41"/>
    <w:rsid w:val="005A6FC2"/>
    <w:rsid w:val="005A7485"/>
    <w:rsid w:val="005A74D8"/>
    <w:rsid w:val="005A7782"/>
    <w:rsid w:val="005A78E9"/>
    <w:rsid w:val="005A79B8"/>
    <w:rsid w:val="005A7B81"/>
    <w:rsid w:val="005A7BE0"/>
    <w:rsid w:val="005A7C4C"/>
    <w:rsid w:val="005A7CE3"/>
    <w:rsid w:val="005B01D1"/>
    <w:rsid w:val="005B01E1"/>
    <w:rsid w:val="005B0240"/>
    <w:rsid w:val="005B025A"/>
    <w:rsid w:val="005B02A1"/>
    <w:rsid w:val="005B03FD"/>
    <w:rsid w:val="005B0568"/>
    <w:rsid w:val="005B05FB"/>
    <w:rsid w:val="005B0776"/>
    <w:rsid w:val="005B07B7"/>
    <w:rsid w:val="005B0905"/>
    <w:rsid w:val="005B0B4A"/>
    <w:rsid w:val="005B0DBC"/>
    <w:rsid w:val="005B107A"/>
    <w:rsid w:val="005B1302"/>
    <w:rsid w:val="005B193F"/>
    <w:rsid w:val="005B197F"/>
    <w:rsid w:val="005B19B3"/>
    <w:rsid w:val="005B1AB7"/>
    <w:rsid w:val="005B1AD7"/>
    <w:rsid w:val="005B1C51"/>
    <w:rsid w:val="005B1C9A"/>
    <w:rsid w:val="005B1CC7"/>
    <w:rsid w:val="005B1F61"/>
    <w:rsid w:val="005B200B"/>
    <w:rsid w:val="005B23A9"/>
    <w:rsid w:val="005B264F"/>
    <w:rsid w:val="005B282A"/>
    <w:rsid w:val="005B2876"/>
    <w:rsid w:val="005B2949"/>
    <w:rsid w:val="005B2C1B"/>
    <w:rsid w:val="005B2C6A"/>
    <w:rsid w:val="005B2C7C"/>
    <w:rsid w:val="005B2D84"/>
    <w:rsid w:val="005B2E1A"/>
    <w:rsid w:val="005B2E90"/>
    <w:rsid w:val="005B2FF1"/>
    <w:rsid w:val="005B331B"/>
    <w:rsid w:val="005B35BD"/>
    <w:rsid w:val="005B37CF"/>
    <w:rsid w:val="005B37EC"/>
    <w:rsid w:val="005B396C"/>
    <w:rsid w:val="005B39A0"/>
    <w:rsid w:val="005B3AE4"/>
    <w:rsid w:val="005B3C31"/>
    <w:rsid w:val="005B3CC8"/>
    <w:rsid w:val="005B3D4C"/>
    <w:rsid w:val="005B3D93"/>
    <w:rsid w:val="005B46E3"/>
    <w:rsid w:val="005B480A"/>
    <w:rsid w:val="005B4A84"/>
    <w:rsid w:val="005B4C83"/>
    <w:rsid w:val="005B4CE3"/>
    <w:rsid w:val="005B4E45"/>
    <w:rsid w:val="005B4E52"/>
    <w:rsid w:val="005B4F60"/>
    <w:rsid w:val="005B5278"/>
    <w:rsid w:val="005B52E9"/>
    <w:rsid w:val="005B5606"/>
    <w:rsid w:val="005B56AB"/>
    <w:rsid w:val="005B5806"/>
    <w:rsid w:val="005B598D"/>
    <w:rsid w:val="005B5D3A"/>
    <w:rsid w:val="005B6252"/>
    <w:rsid w:val="005B67D1"/>
    <w:rsid w:val="005B68FC"/>
    <w:rsid w:val="005B6DE2"/>
    <w:rsid w:val="005B6ECA"/>
    <w:rsid w:val="005B6F1F"/>
    <w:rsid w:val="005B73F6"/>
    <w:rsid w:val="005B7406"/>
    <w:rsid w:val="005B762F"/>
    <w:rsid w:val="005B790E"/>
    <w:rsid w:val="005B793A"/>
    <w:rsid w:val="005B7A3C"/>
    <w:rsid w:val="005B7A9A"/>
    <w:rsid w:val="005B7AEC"/>
    <w:rsid w:val="005B7B26"/>
    <w:rsid w:val="005B7BB7"/>
    <w:rsid w:val="005B7EE3"/>
    <w:rsid w:val="005C00C3"/>
    <w:rsid w:val="005C01A9"/>
    <w:rsid w:val="005C02BD"/>
    <w:rsid w:val="005C064E"/>
    <w:rsid w:val="005C0733"/>
    <w:rsid w:val="005C0A56"/>
    <w:rsid w:val="005C0B99"/>
    <w:rsid w:val="005C0D58"/>
    <w:rsid w:val="005C0D73"/>
    <w:rsid w:val="005C0E13"/>
    <w:rsid w:val="005C0EB8"/>
    <w:rsid w:val="005C0FA9"/>
    <w:rsid w:val="005C10E1"/>
    <w:rsid w:val="005C116E"/>
    <w:rsid w:val="005C13C5"/>
    <w:rsid w:val="005C149B"/>
    <w:rsid w:val="005C16AB"/>
    <w:rsid w:val="005C179A"/>
    <w:rsid w:val="005C189E"/>
    <w:rsid w:val="005C18AE"/>
    <w:rsid w:val="005C19DC"/>
    <w:rsid w:val="005C1C39"/>
    <w:rsid w:val="005C1CAF"/>
    <w:rsid w:val="005C1E18"/>
    <w:rsid w:val="005C1E36"/>
    <w:rsid w:val="005C1F9D"/>
    <w:rsid w:val="005C1FC1"/>
    <w:rsid w:val="005C2145"/>
    <w:rsid w:val="005C22D9"/>
    <w:rsid w:val="005C266D"/>
    <w:rsid w:val="005C289B"/>
    <w:rsid w:val="005C2E27"/>
    <w:rsid w:val="005C316B"/>
    <w:rsid w:val="005C3250"/>
    <w:rsid w:val="005C3645"/>
    <w:rsid w:val="005C3730"/>
    <w:rsid w:val="005C37B7"/>
    <w:rsid w:val="005C3B68"/>
    <w:rsid w:val="005C3E5A"/>
    <w:rsid w:val="005C3E5E"/>
    <w:rsid w:val="005C3E98"/>
    <w:rsid w:val="005C432A"/>
    <w:rsid w:val="005C43CB"/>
    <w:rsid w:val="005C4441"/>
    <w:rsid w:val="005C460A"/>
    <w:rsid w:val="005C46AA"/>
    <w:rsid w:val="005C4875"/>
    <w:rsid w:val="005C4A4D"/>
    <w:rsid w:val="005C4A61"/>
    <w:rsid w:val="005C4B73"/>
    <w:rsid w:val="005C4EF7"/>
    <w:rsid w:val="005C5081"/>
    <w:rsid w:val="005C5095"/>
    <w:rsid w:val="005C529E"/>
    <w:rsid w:val="005C531F"/>
    <w:rsid w:val="005C5430"/>
    <w:rsid w:val="005C54CB"/>
    <w:rsid w:val="005C5592"/>
    <w:rsid w:val="005C55A9"/>
    <w:rsid w:val="005C56F9"/>
    <w:rsid w:val="005C571D"/>
    <w:rsid w:val="005C581D"/>
    <w:rsid w:val="005C5848"/>
    <w:rsid w:val="005C5C04"/>
    <w:rsid w:val="005C5CB5"/>
    <w:rsid w:val="005C627E"/>
    <w:rsid w:val="005C6597"/>
    <w:rsid w:val="005C65BB"/>
    <w:rsid w:val="005C66D5"/>
    <w:rsid w:val="005C68DA"/>
    <w:rsid w:val="005C6A84"/>
    <w:rsid w:val="005C6BFB"/>
    <w:rsid w:val="005C6C25"/>
    <w:rsid w:val="005C6D6F"/>
    <w:rsid w:val="005C6D95"/>
    <w:rsid w:val="005C6E7C"/>
    <w:rsid w:val="005C6FBD"/>
    <w:rsid w:val="005C71C4"/>
    <w:rsid w:val="005C73FB"/>
    <w:rsid w:val="005C755C"/>
    <w:rsid w:val="005C762D"/>
    <w:rsid w:val="005C7726"/>
    <w:rsid w:val="005C79A7"/>
    <w:rsid w:val="005C7A95"/>
    <w:rsid w:val="005C7AF4"/>
    <w:rsid w:val="005C7CE5"/>
    <w:rsid w:val="005C7FD7"/>
    <w:rsid w:val="005D023E"/>
    <w:rsid w:val="005D02CB"/>
    <w:rsid w:val="005D03C8"/>
    <w:rsid w:val="005D06AE"/>
    <w:rsid w:val="005D06CA"/>
    <w:rsid w:val="005D07FE"/>
    <w:rsid w:val="005D0A0F"/>
    <w:rsid w:val="005D0C3A"/>
    <w:rsid w:val="005D0C91"/>
    <w:rsid w:val="005D0D97"/>
    <w:rsid w:val="005D0E80"/>
    <w:rsid w:val="005D0E96"/>
    <w:rsid w:val="005D0FE7"/>
    <w:rsid w:val="005D1034"/>
    <w:rsid w:val="005D1084"/>
    <w:rsid w:val="005D10C3"/>
    <w:rsid w:val="005D11BF"/>
    <w:rsid w:val="005D126F"/>
    <w:rsid w:val="005D15B6"/>
    <w:rsid w:val="005D196E"/>
    <w:rsid w:val="005D1E25"/>
    <w:rsid w:val="005D1ED4"/>
    <w:rsid w:val="005D23F8"/>
    <w:rsid w:val="005D26A7"/>
    <w:rsid w:val="005D2782"/>
    <w:rsid w:val="005D2B50"/>
    <w:rsid w:val="005D2C61"/>
    <w:rsid w:val="005D2EB1"/>
    <w:rsid w:val="005D2F18"/>
    <w:rsid w:val="005D3158"/>
    <w:rsid w:val="005D31AE"/>
    <w:rsid w:val="005D31CD"/>
    <w:rsid w:val="005D3250"/>
    <w:rsid w:val="005D327C"/>
    <w:rsid w:val="005D35F2"/>
    <w:rsid w:val="005D3710"/>
    <w:rsid w:val="005D3711"/>
    <w:rsid w:val="005D381A"/>
    <w:rsid w:val="005D3A2C"/>
    <w:rsid w:val="005D3C45"/>
    <w:rsid w:val="005D3E22"/>
    <w:rsid w:val="005D3FD4"/>
    <w:rsid w:val="005D46C5"/>
    <w:rsid w:val="005D4971"/>
    <w:rsid w:val="005D49CE"/>
    <w:rsid w:val="005D4A09"/>
    <w:rsid w:val="005D4A5D"/>
    <w:rsid w:val="005D4A64"/>
    <w:rsid w:val="005D4FD1"/>
    <w:rsid w:val="005D50DE"/>
    <w:rsid w:val="005D5212"/>
    <w:rsid w:val="005D5218"/>
    <w:rsid w:val="005D5420"/>
    <w:rsid w:val="005D55F5"/>
    <w:rsid w:val="005D566F"/>
    <w:rsid w:val="005D5851"/>
    <w:rsid w:val="005D59A5"/>
    <w:rsid w:val="005D59C1"/>
    <w:rsid w:val="005D5AD9"/>
    <w:rsid w:val="005D5B52"/>
    <w:rsid w:val="005D5C82"/>
    <w:rsid w:val="005D5E42"/>
    <w:rsid w:val="005D62A2"/>
    <w:rsid w:val="005D637A"/>
    <w:rsid w:val="005D63D0"/>
    <w:rsid w:val="005D63F0"/>
    <w:rsid w:val="005D6461"/>
    <w:rsid w:val="005D66FC"/>
    <w:rsid w:val="005D6B42"/>
    <w:rsid w:val="005D6CA6"/>
    <w:rsid w:val="005D70B9"/>
    <w:rsid w:val="005D730B"/>
    <w:rsid w:val="005D7396"/>
    <w:rsid w:val="005D73E6"/>
    <w:rsid w:val="005D74EE"/>
    <w:rsid w:val="005D7571"/>
    <w:rsid w:val="005D77B2"/>
    <w:rsid w:val="005D7A85"/>
    <w:rsid w:val="005D7AFC"/>
    <w:rsid w:val="005D7B83"/>
    <w:rsid w:val="005D7CC2"/>
    <w:rsid w:val="005D7DD0"/>
    <w:rsid w:val="005D7E40"/>
    <w:rsid w:val="005D7FBE"/>
    <w:rsid w:val="005E0482"/>
    <w:rsid w:val="005E0502"/>
    <w:rsid w:val="005E0532"/>
    <w:rsid w:val="005E0549"/>
    <w:rsid w:val="005E055E"/>
    <w:rsid w:val="005E05E7"/>
    <w:rsid w:val="005E07B4"/>
    <w:rsid w:val="005E0909"/>
    <w:rsid w:val="005E09D8"/>
    <w:rsid w:val="005E0A3E"/>
    <w:rsid w:val="005E0EEB"/>
    <w:rsid w:val="005E12F6"/>
    <w:rsid w:val="005E1646"/>
    <w:rsid w:val="005E1864"/>
    <w:rsid w:val="005E1904"/>
    <w:rsid w:val="005E1AF7"/>
    <w:rsid w:val="005E1B85"/>
    <w:rsid w:val="005E1C01"/>
    <w:rsid w:val="005E1E2C"/>
    <w:rsid w:val="005E1EBE"/>
    <w:rsid w:val="005E2122"/>
    <w:rsid w:val="005E25D4"/>
    <w:rsid w:val="005E274B"/>
    <w:rsid w:val="005E284F"/>
    <w:rsid w:val="005E2B42"/>
    <w:rsid w:val="005E2C39"/>
    <w:rsid w:val="005E2C49"/>
    <w:rsid w:val="005E3144"/>
    <w:rsid w:val="005E32A5"/>
    <w:rsid w:val="005E3300"/>
    <w:rsid w:val="005E3363"/>
    <w:rsid w:val="005E3370"/>
    <w:rsid w:val="005E33FB"/>
    <w:rsid w:val="005E3508"/>
    <w:rsid w:val="005E354C"/>
    <w:rsid w:val="005E35CC"/>
    <w:rsid w:val="005E3737"/>
    <w:rsid w:val="005E37C1"/>
    <w:rsid w:val="005E37E2"/>
    <w:rsid w:val="005E3AE9"/>
    <w:rsid w:val="005E3E5A"/>
    <w:rsid w:val="005E3F8D"/>
    <w:rsid w:val="005E3FF0"/>
    <w:rsid w:val="005E4211"/>
    <w:rsid w:val="005E451F"/>
    <w:rsid w:val="005E48B5"/>
    <w:rsid w:val="005E4945"/>
    <w:rsid w:val="005E4A94"/>
    <w:rsid w:val="005E4B1B"/>
    <w:rsid w:val="005E4C8B"/>
    <w:rsid w:val="005E4CCC"/>
    <w:rsid w:val="005E515F"/>
    <w:rsid w:val="005E5256"/>
    <w:rsid w:val="005E52CE"/>
    <w:rsid w:val="005E52D7"/>
    <w:rsid w:val="005E545E"/>
    <w:rsid w:val="005E5540"/>
    <w:rsid w:val="005E5588"/>
    <w:rsid w:val="005E5589"/>
    <w:rsid w:val="005E56EC"/>
    <w:rsid w:val="005E57AB"/>
    <w:rsid w:val="005E5B22"/>
    <w:rsid w:val="005E5B3C"/>
    <w:rsid w:val="005E5B55"/>
    <w:rsid w:val="005E6053"/>
    <w:rsid w:val="005E607E"/>
    <w:rsid w:val="005E624E"/>
    <w:rsid w:val="005E6B73"/>
    <w:rsid w:val="005E6C30"/>
    <w:rsid w:val="005E6CC1"/>
    <w:rsid w:val="005E71D6"/>
    <w:rsid w:val="005E77FF"/>
    <w:rsid w:val="005E7BC7"/>
    <w:rsid w:val="005E7C8F"/>
    <w:rsid w:val="005E7D49"/>
    <w:rsid w:val="005F006A"/>
    <w:rsid w:val="005F0184"/>
    <w:rsid w:val="005F0533"/>
    <w:rsid w:val="005F07CF"/>
    <w:rsid w:val="005F0A27"/>
    <w:rsid w:val="005F0A56"/>
    <w:rsid w:val="005F0AAD"/>
    <w:rsid w:val="005F0D98"/>
    <w:rsid w:val="005F0EF7"/>
    <w:rsid w:val="005F10A9"/>
    <w:rsid w:val="005F1371"/>
    <w:rsid w:val="005F1769"/>
    <w:rsid w:val="005F179D"/>
    <w:rsid w:val="005F19FF"/>
    <w:rsid w:val="005F1A67"/>
    <w:rsid w:val="005F1D4D"/>
    <w:rsid w:val="005F1D80"/>
    <w:rsid w:val="005F1E3C"/>
    <w:rsid w:val="005F1F62"/>
    <w:rsid w:val="005F1F89"/>
    <w:rsid w:val="005F20C5"/>
    <w:rsid w:val="005F20CB"/>
    <w:rsid w:val="005F2147"/>
    <w:rsid w:val="005F230D"/>
    <w:rsid w:val="005F238B"/>
    <w:rsid w:val="005F2561"/>
    <w:rsid w:val="005F26F8"/>
    <w:rsid w:val="005F272B"/>
    <w:rsid w:val="005F27EB"/>
    <w:rsid w:val="005F28C9"/>
    <w:rsid w:val="005F28E5"/>
    <w:rsid w:val="005F29D5"/>
    <w:rsid w:val="005F2A56"/>
    <w:rsid w:val="005F2B32"/>
    <w:rsid w:val="005F2C2C"/>
    <w:rsid w:val="005F2CC9"/>
    <w:rsid w:val="005F2D9D"/>
    <w:rsid w:val="005F2F5A"/>
    <w:rsid w:val="005F3649"/>
    <w:rsid w:val="005F39E4"/>
    <w:rsid w:val="005F3C15"/>
    <w:rsid w:val="005F3F31"/>
    <w:rsid w:val="005F402B"/>
    <w:rsid w:val="005F435B"/>
    <w:rsid w:val="005F43B1"/>
    <w:rsid w:val="005F43B4"/>
    <w:rsid w:val="005F4404"/>
    <w:rsid w:val="005F442A"/>
    <w:rsid w:val="005F4938"/>
    <w:rsid w:val="005F4BA6"/>
    <w:rsid w:val="005F4D0A"/>
    <w:rsid w:val="005F50D4"/>
    <w:rsid w:val="005F5165"/>
    <w:rsid w:val="005F51D7"/>
    <w:rsid w:val="005F51E5"/>
    <w:rsid w:val="005F52B5"/>
    <w:rsid w:val="005F52D5"/>
    <w:rsid w:val="005F52F1"/>
    <w:rsid w:val="005F5535"/>
    <w:rsid w:val="005F55E8"/>
    <w:rsid w:val="005F5880"/>
    <w:rsid w:val="005F5A6D"/>
    <w:rsid w:val="005F5FCE"/>
    <w:rsid w:val="005F5FE9"/>
    <w:rsid w:val="005F61B7"/>
    <w:rsid w:val="005F62BD"/>
    <w:rsid w:val="005F6684"/>
    <w:rsid w:val="005F66C3"/>
    <w:rsid w:val="005F66D7"/>
    <w:rsid w:val="005F6838"/>
    <w:rsid w:val="005F6A4D"/>
    <w:rsid w:val="005F6BE0"/>
    <w:rsid w:val="005F6E9E"/>
    <w:rsid w:val="005F7292"/>
    <w:rsid w:val="005F72D3"/>
    <w:rsid w:val="005F7397"/>
    <w:rsid w:val="005F74C8"/>
    <w:rsid w:val="005F769D"/>
    <w:rsid w:val="005F7B54"/>
    <w:rsid w:val="005F7C2B"/>
    <w:rsid w:val="005F7C51"/>
    <w:rsid w:val="005F7C99"/>
    <w:rsid w:val="006000A0"/>
    <w:rsid w:val="00600335"/>
    <w:rsid w:val="006005A8"/>
    <w:rsid w:val="00600634"/>
    <w:rsid w:val="006006C3"/>
    <w:rsid w:val="0060076A"/>
    <w:rsid w:val="00600877"/>
    <w:rsid w:val="0060097A"/>
    <w:rsid w:val="00600C20"/>
    <w:rsid w:val="00600CCC"/>
    <w:rsid w:val="00600E4E"/>
    <w:rsid w:val="00600E5F"/>
    <w:rsid w:val="00600E7C"/>
    <w:rsid w:val="00600EC2"/>
    <w:rsid w:val="00600ED6"/>
    <w:rsid w:val="006010D2"/>
    <w:rsid w:val="006014B2"/>
    <w:rsid w:val="006017AA"/>
    <w:rsid w:val="006018EB"/>
    <w:rsid w:val="00601963"/>
    <w:rsid w:val="00601998"/>
    <w:rsid w:val="006019B2"/>
    <w:rsid w:val="00601AA3"/>
    <w:rsid w:val="00601AAD"/>
    <w:rsid w:val="00601ADD"/>
    <w:rsid w:val="00601BD5"/>
    <w:rsid w:val="00601E46"/>
    <w:rsid w:val="00601FCC"/>
    <w:rsid w:val="00601FFC"/>
    <w:rsid w:val="006021A5"/>
    <w:rsid w:val="0060249D"/>
    <w:rsid w:val="00602A8C"/>
    <w:rsid w:val="00602CAD"/>
    <w:rsid w:val="00602E8E"/>
    <w:rsid w:val="00602EBA"/>
    <w:rsid w:val="00603039"/>
    <w:rsid w:val="006030BB"/>
    <w:rsid w:val="006030D1"/>
    <w:rsid w:val="006032F0"/>
    <w:rsid w:val="00603730"/>
    <w:rsid w:val="0060373F"/>
    <w:rsid w:val="00603DB1"/>
    <w:rsid w:val="00603FB5"/>
    <w:rsid w:val="00604011"/>
    <w:rsid w:val="0060439A"/>
    <w:rsid w:val="0060443B"/>
    <w:rsid w:val="00604443"/>
    <w:rsid w:val="006045CF"/>
    <w:rsid w:val="006046E2"/>
    <w:rsid w:val="0060474D"/>
    <w:rsid w:val="006049A0"/>
    <w:rsid w:val="006049CE"/>
    <w:rsid w:val="00604BBD"/>
    <w:rsid w:val="00604BE9"/>
    <w:rsid w:val="00604C1B"/>
    <w:rsid w:val="00604DA5"/>
    <w:rsid w:val="00604F51"/>
    <w:rsid w:val="00605344"/>
    <w:rsid w:val="00605507"/>
    <w:rsid w:val="0060564E"/>
    <w:rsid w:val="00605669"/>
    <w:rsid w:val="00605824"/>
    <w:rsid w:val="006058EF"/>
    <w:rsid w:val="006059DF"/>
    <w:rsid w:val="00605AAD"/>
    <w:rsid w:val="00605B04"/>
    <w:rsid w:val="00605C37"/>
    <w:rsid w:val="00605E92"/>
    <w:rsid w:val="00605F1E"/>
    <w:rsid w:val="0060602F"/>
    <w:rsid w:val="00606091"/>
    <w:rsid w:val="00606178"/>
    <w:rsid w:val="00606189"/>
    <w:rsid w:val="00606226"/>
    <w:rsid w:val="006062CE"/>
    <w:rsid w:val="006063EE"/>
    <w:rsid w:val="00606880"/>
    <w:rsid w:val="00606A66"/>
    <w:rsid w:val="00606C01"/>
    <w:rsid w:val="00606F96"/>
    <w:rsid w:val="006070C4"/>
    <w:rsid w:val="0060747F"/>
    <w:rsid w:val="00607495"/>
    <w:rsid w:val="00607591"/>
    <w:rsid w:val="00607608"/>
    <w:rsid w:val="00607704"/>
    <w:rsid w:val="006078B9"/>
    <w:rsid w:val="006079EA"/>
    <w:rsid w:val="00607AC6"/>
    <w:rsid w:val="00607BA3"/>
    <w:rsid w:val="00607CE3"/>
    <w:rsid w:val="00607D37"/>
    <w:rsid w:val="00607E0A"/>
    <w:rsid w:val="0061011B"/>
    <w:rsid w:val="00610185"/>
    <w:rsid w:val="006101DF"/>
    <w:rsid w:val="00610499"/>
    <w:rsid w:val="006105E4"/>
    <w:rsid w:val="00610A04"/>
    <w:rsid w:val="00610AED"/>
    <w:rsid w:val="00610C57"/>
    <w:rsid w:val="00610E98"/>
    <w:rsid w:val="0061116E"/>
    <w:rsid w:val="006111F0"/>
    <w:rsid w:val="0061134E"/>
    <w:rsid w:val="00611667"/>
    <w:rsid w:val="00611E0F"/>
    <w:rsid w:val="00611F01"/>
    <w:rsid w:val="00611FE6"/>
    <w:rsid w:val="00611FF8"/>
    <w:rsid w:val="006120A4"/>
    <w:rsid w:val="00612337"/>
    <w:rsid w:val="0061236E"/>
    <w:rsid w:val="00612677"/>
    <w:rsid w:val="00612A00"/>
    <w:rsid w:val="00612ACB"/>
    <w:rsid w:val="00612D1E"/>
    <w:rsid w:val="00612DEA"/>
    <w:rsid w:val="00612E04"/>
    <w:rsid w:val="00612EB4"/>
    <w:rsid w:val="0061317C"/>
    <w:rsid w:val="006134A9"/>
    <w:rsid w:val="006134E0"/>
    <w:rsid w:val="006135FF"/>
    <w:rsid w:val="006136C8"/>
    <w:rsid w:val="00613766"/>
    <w:rsid w:val="0061379D"/>
    <w:rsid w:val="00613992"/>
    <w:rsid w:val="006139E7"/>
    <w:rsid w:val="00613BE3"/>
    <w:rsid w:val="00613C69"/>
    <w:rsid w:val="00613CF6"/>
    <w:rsid w:val="00613D68"/>
    <w:rsid w:val="00613FF3"/>
    <w:rsid w:val="00614002"/>
    <w:rsid w:val="00614137"/>
    <w:rsid w:val="006143B4"/>
    <w:rsid w:val="0061472A"/>
    <w:rsid w:val="00614ACE"/>
    <w:rsid w:val="00614B8C"/>
    <w:rsid w:val="00614BCB"/>
    <w:rsid w:val="00614C84"/>
    <w:rsid w:val="00614D68"/>
    <w:rsid w:val="00614ED3"/>
    <w:rsid w:val="00614F56"/>
    <w:rsid w:val="00614FB2"/>
    <w:rsid w:val="00615021"/>
    <w:rsid w:val="006154FC"/>
    <w:rsid w:val="006155F4"/>
    <w:rsid w:val="0061571A"/>
    <w:rsid w:val="006158B5"/>
    <w:rsid w:val="00615971"/>
    <w:rsid w:val="00615B5A"/>
    <w:rsid w:val="00615BF9"/>
    <w:rsid w:val="00615C62"/>
    <w:rsid w:val="00615E5A"/>
    <w:rsid w:val="00615FCA"/>
    <w:rsid w:val="00616003"/>
    <w:rsid w:val="0061600E"/>
    <w:rsid w:val="006160E7"/>
    <w:rsid w:val="00616316"/>
    <w:rsid w:val="00616415"/>
    <w:rsid w:val="0061644D"/>
    <w:rsid w:val="006164F1"/>
    <w:rsid w:val="006165AE"/>
    <w:rsid w:val="00616666"/>
    <w:rsid w:val="00616821"/>
    <w:rsid w:val="006168D9"/>
    <w:rsid w:val="00616997"/>
    <w:rsid w:val="00616A17"/>
    <w:rsid w:val="00616A23"/>
    <w:rsid w:val="00616CE0"/>
    <w:rsid w:val="00616DA4"/>
    <w:rsid w:val="00616E4A"/>
    <w:rsid w:val="006170FD"/>
    <w:rsid w:val="00617120"/>
    <w:rsid w:val="006171A6"/>
    <w:rsid w:val="006174DD"/>
    <w:rsid w:val="0061757B"/>
    <w:rsid w:val="006175F3"/>
    <w:rsid w:val="00617629"/>
    <w:rsid w:val="00617856"/>
    <w:rsid w:val="006179C7"/>
    <w:rsid w:val="006201F3"/>
    <w:rsid w:val="0062029B"/>
    <w:rsid w:val="006202E5"/>
    <w:rsid w:val="0062045B"/>
    <w:rsid w:val="0062054E"/>
    <w:rsid w:val="0062056C"/>
    <w:rsid w:val="006205EC"/>
    <w:rsid w:val="00620965"/>
    <w:rsid w:val="006209EC"/>
    <w:rsid w:val="00620C85"/>
    <w:rsid w:val="00620E8D"/>
    <w:rsid w:val="0062126B"/>
    <w:rsid w:val="0062143F"/>
    <w:rsid w:val="006214F2"/>
    <w:rsid w:val="0062167A"/>
    <w:rsid w:val="006218B6"/>
    <w:rsid w:val="0062193F"/>
    <w:rsid w:val="00621CC8"/>
    <w:rsid w:val="00621D11"/>
    <w:rsid w:val="00621E2E"/>
    <w:rsid w:val="00621F71"/>
    <w:rsid w:val="00621FDF"/>
    <w:rsid w:val="00622185"/>
    <w:rsid w:val="0062228F"/>
    <w:rsid w:val="0062252A"/>
    <w:rsid w:val="00622671"/>
    <w:rsid w:val="006226F7"/>
    <w:rsid w:val="00622958"/>
    <w:rsid w:val="00622AB7"/>
    <w:rsid w:val="00622D2E"/>
    <w:rsid w:val="00622E8D"/>
    <w:rsid w:val="00623213"/>
    <w:rsid w:val="006233FA"/>
    <w:rsid w:val="0062392F"/>
    <w:rsid w:val="00623C4E"/>
    <w:rsid w:val="00623E7F"/>
    <w:rsid w:val="00623F87"/>
    <w:rsid w:val="006245BA"/>
    <w:rsid w:val="00624B0E"/>
    <w:rsid w:val="00624B4D"/>
    <w:rsid w:val="00624D1F"/>
    <w:rsid w:val="00624DEB"/>
    <w:rsid w:val="00624EC1"/>
    <w:rsid w:val="00624EC6"/>
    <w:rsid w:val="006251AE"/>
    <w:rsid w:val="00625277"/>
    <w:rsid w:val="0062554A"/>
    <w:rsid w:val="006255F2"/>
    <w:rsid w:val="006256BF"/>
    <w:rsid w:val="00625824"/>
    <w:rsid w:val="00625B00"/>
    <w:rsid w:val="00625B07"/>
    <w:rsid w:val="00625B79"/>
    <w:rsid w:val="00625B89"/>
    <w:rsid w:val="00625E3D"/>
    <w:rsid w:val="00625E6E"/>
    <w:rsid w:val="00625EAA"/>
    <w:rsid w:val="00626187"/>
    <w:rsid w:val="006261D7"/>
    <w:rsid w:val="00626236"/>
    <w:rsid w:val="00626245"/>
    <w:rsid w:val="006263C9"/>
    <w:rsid w:val="0062642B"/>
    <w:rsid w:val="006264F6"/>
    <w:rsid w:val="00626508"/>
    <w:rsid w:val="00626579"/>
    <w:rsid w:val="00626606"/>
    <w:rsid w:val="0062679A"/>
    <w:rsid w:val="00626834"/>
    <w:rsid w:val="00626A5E"/>
    <w:rsid w:val="00626AA1"/>
    <w:rsid w:val="00626C00"/>
    <w:rsid w:val="00627161"/>
    <w:rsid w:val="006274C1"/>
    <w:rsid w:val="006279B0"/>
    <w:rsid w:val="00627ACC"/>
    <w:rsid w:val="00627B4A"/>
    <w:rsid w:val="00630229"/>
    <w:rsid w:val="006302FA"/>
    <w:rsid w:val="006303CF"/>
    <w:rsid w:val="0063046D"/>
    <w:rsid w:val="0063065A"/>
    <w:rsid w:val="00630816"/>
    <w:rsid w:val="006309CF"/>
    <w:rsid w:val="00630A87"/>
    <w:rsid w:val="00630DCC"/>
    <w:rsid w:val="00631360"/>
    <w:rsid w:val="0063165D"/>
    <w:rsid w:val="00631A94"/>
    <w:rsid w:val="00631BAF"/>
    <w:rsid w:val="00631CCC"/>
    <w:rsid w:val="00631EFE"/>
    <w:rsid w:val="00631F63"/>
    <w:rsid w:val="00632161"/>
    <w:rsid w:val="006321D5"/>
    <w:rsid w:val="0063235A"/>
    <w:rsid w:val="006324C6"/>
    <w:rsid w:val="006324E0"/>
    <w:rsid w:val="0063259E"/>
    <w:rsid w:val="00632791"/>
    <w:rsid w:val="0063281A"/>
    <w:rsid w:val="00632BDB"/>
    <w:rsid w:val="00632BDE"/>
    <w:rsid w:val="00632E93"/>
    <w:rsid w:val="00632EB8"/>
    <w:rsid w:val="006334BA"/>
    <w:rsid w:val="00633516"/>
    <w:rsid w:val="006335FE"/>
    <w:rsid w:val="0063368F"/>
    <w:rsid w:val="0063372B"/>
    <w:rsid w:val="0063379C"/>
    <w:rsid w:val="00633934"/>
    <w:rsid w:val="00633AB5"/>
    <w:rsid w:val="00633AC5"/>
    <w:rsid w:val="00633BA8"/>
    <w:rsid w:val="00633CD7"/>
    <w:rsid w:val="00633D8C"/>
    <w:rsid w:val="00633DD6"/>
    <w:rsid w:val="00633E50"/>
    <w:rsid w:val="00633F03"/>
    <w:rsid w:val="00633FFC"/>
    <w:rsid w:val="00634096"/>
    <w:rsid w:val="00634207"/>
    <w:rsid w:val="006343A7"/>
    <w:rsid w:val="006346CB"/>
    <w:rsid w:val="0063486D"/>
    <w:rsid w:val="006349E6"/>
    <w:rsid w:val="00634DCD"/>
    <w:rsid w:val="00634DFA"/>
    <w:rsid w:val="00634F61"/>
    <w:rsid w:val="00634FFA"/>
    <w:rsid w:val="00635164"/>
    <w:rsid w:val="00635196"/>
    <w:rsid w:val="00635269"/>
    <w:rsid w:val="006353FE"/>
    <w:rsid w:val="00635434"/>
    <w:rsid w:val="00635A3A"/>
    <w:rsid w:val="00635BFB"/>
    <w:rsid w:val="00635FD9"/>
    <w:rsid w:val="00635FDC"/>
    <w:rsid w:val="00636022"/>
    <w:rsid w:val="00636087"/>
    <w:rsid w:val="006360E9"/>
    <w:rsid w:val="0063616E"/>
    <w:rsid w:val="00636364"/>
    <w:rsid w:val="00636506"/>
    <w:rsid w:val="00636579"/>
    <w:rsid w:val="0063669B"/>
    <w:rsid w:val="006366F3"/>
    <w:rsid w:val="00636A48"/>
    <w:rsid w:val="00636AEA"/>
    <w:rsid w:val="00636BE5"/>
    <w:rsid w:val="00636D71"/>
    <w:rsid w:val="00636FCC"/>
    <w:rsid w:val="00636FE3"/>
    <w:rsid w:val="0063708C"/>
    <w:rsid w:val="006370AB"/>
    <w:rsid w:val="0063712C"/>
    <w:rsid w:val="00637172"/>
    <w:rsid w:val="00637173"/>
    <w:rsid w:val="00637421"/>
    <w:rsid w:val="0063746B"/>
    <w:rsid w:val="00637541"/>
    <w:rsid w:val="00637561"/>
    <w:rsid w:val="00637689"/>
    <w:rsid w:val="0063789F"/>
    <w:rsid w:val="006378AC"/>
    <w:rsid w:val="006378FA"/>
    <w:rsid w:val="00637B33"/>
    <w:rsid w:val="00637B6E"/>
    <w:rsid w:val="00637C0F"/>
    <w:rsid w:val="00637D83"/>
    <w:rsid w:val="00637DC1"/>
    <w:rsid w:val="00637DC2"/>
    <w:rsid w:val="00637FDA"/>
    <w:rsid w:val="00640130"/>
    <w:rsid w:val="00640164"/>
    <w:rsid w:val="0064038B"/>
    <w:rsid w:val="0064046D"/>
    <w:rsid w:val="006404C9"/>
    <w:rsid w:val="006405DA"/>
    <w:rsid w:val="00640725"/>
    <w:rsid w:val="00640C7F"/>
    <w:rsid w:val="00640EFD"/>
    <w:rsid w:val="00640F1F"/>
    <w:rsid w:val="00640FDC"/>
    <w:rsid w:val="00641587"/>
    <w:rsid w:val="006416FE"/>
    <w:rsid w:val="006417A1"/>
    <w:rsid w:val="006417EE"/>
    <w:rsid w:val="00641D7F"/>
    <w:rsid w:val="00641DBE"/>
    <w:rsid w:val="00641E6B"/>
    <w:rsid w:val="00641F0A"/>
    <w:rsid w:val="00641F5A"/>
    <w:rsid w:val="006420BC"/>
    <w:rsid w:val="0064215A"/>
    <w:rsid w:val="0064234E"/>
    <w:rsid w:val="00642368"/>
    <w:rsid w:val="006426AC"/>
    <w:rsid w:val="00642833"/>
    <w:rsid w:val="00642902"/>
    <w:rsid w:val="0064292B"/>
    <w:rsid w:val="00642969"/>
    <w:rsid w:val="00642B13"/>
    <w:rsid w:val="00642B72"/>
    <w:rsid w:val="00642B9E"/>
    <w:rsid w:val="00642BB1"/>
    <w:rsid w:val="00642CBF"/>
    <w:rsid w:val="00642CF0"/>
    <w:rsid w:val="00642DA7"/>
    <w:rsid w:val="00642F8E"/>
    <w:rsid w:val="00643124"/>
    <w:rsid w:val="006433DF"/>
    <w:rsid w:val="0064343D"/>
    <w:rsid w:val="00643471"/>
    <w:rsid w:val="0064349C"/>
    <w:rsid w:val="00643714"/>
    <w:rsid w:val="00643BA6"/>
    <w:rsid w:val="00643C0B"/>
    <w:rsid w:val="00643C91"/>
    <w:rsid w:val="0064428A"/>
    <w:rsid w:val="00644525"/>
    <w:rsid w:val="006446B4"/>
    <w:rsid w:val="006449E6"/>
    <w:rsid w:val="00644A3C"/>
    <w:rsid w:val="00644B4F"/>
    <w:rsid w:val="00644EA3"/>
    <w:rsid w:val="00645286"/>
    <w:rsid w:val="00645340"/>
    <w:rsid w:val="00645383"/>
    <w:rsid w:val="0064565B"/>
    <w:rsid w:val="00645924"/>
    <w:rsid w:val="0064597F"/>
    <w:rsid w:val="00645A17"/>
    <w:rsid w:val="00645B1D"/>
    <w:rsid w:val="00645F2A"/>
    <w:rsid w:val="00645F71"/>
    <w:rsid w:val="00646018"/>
    <w:rsid w:val="00646124"/>
    <w:rsid w:val="006462E0"/>
    <w:rsid w:val="006465F7"/>
    <w:rsid w:val="006467C1"/>
    <w:rsid w:val="006469F0"/>
    <w:rsid w:val="00646A51"/>
    <w:rsid w:val="00646B48"/>
    <w:rsid w:val="00646BA7"/>
    <w:rsid w:val="00646DF6"/>
    <w:rsid w:val="00646E4E"/>
    <w:rsid w:val="00647026"/>
    <w:rsid w:val="00647058"/>
    <w:rsid w:val="00647165"/>
    <w:rsid w:val="006471B8"/>
    <w:rsid w:val="0064725D"/>
    <w:rsid w:val="00647526"/>
    <w:rsid w:val="00647607"/>
    <w:rsid w:val="00647CB0"/>
    <w:rsid w:val="00647DE6"/>
    <w:rsid w:val="00647ED4"/>
    <w:rsid w:val="00647F0D"/>
    <w:rsid w:val="00647F0E"/>
    <w:rsid w:val="006500C5"/>
    <w:rsid w:val="00650132"/>
    <w:rsid w:val="00650553"/>
    <w:rsid w:val="006505E1"/>
    <w:rsid w:val="00650766"/>
    <w:rsid w:val="006507A1"/>
    <w:rsid w:val="006507F1"/>
    <w:rsid w:val="006509B0"/>
    <w:rsid w:val="00650AB8"/>
    <w:rsid w:val="00650ACF"/>
    <w:rsid w:val="00650CBB"/>
    <w:rsid w:val="00650D24"/>
    <w:rsid w:val="00650D64"/>
    <w:rsid w:val="00650D93"/>
    <w:rsid w:val="00651006"/>
    <w:rsid w:val="0065122D"/>
    <w:rsid w:val="00651525"/>
    <w:rsid w:val="0065157F"/>
    <w:rsid w:val="006515AF"/>
    <w:rsid w:val="00651CAE"/>
    <w:rsid w:val="00651D08"/>
    <w:rsid w:val="00651D63"/>
    <w:rsid w:val="00651DF0"/>
    <w:rsid w:val="0065238F"/>
    <w:rsid w:val="0065251F"/>
    <w:rsid w:val="0065271F"/>
    <w:rsid w:val="00652922"/>
    <w:rsid w:val="00652BAA"/>
    <w:rsid w:val="00652F8C"/>
    <w:rsid w:val="00652FC1"/>
    <w:rsid w:val="0065306F"/>
    <w:rsid w:val="00653290"/>
    <w:rsid w:val="00653485"/>
    <w:rsid w:val="006535B8"/>
    <w:rsid w:val="00653606"/>
    <w:rsid w:val="00653747"/>
    <w:rsid w:val="006537EB"/>
    <w:rsid w:val="006538BD"/>
    <w:rsid w:val="00653ABA"/>
    <w:rsid w:val="00653FDE"/>
    <w:rsid w:val="006541EB"/>
    <w:rsid w:val="00654488"/>
    <w:rsid w:val="00654641"/>
    <w:rsid w:val="006547B6"/>
    <w:rsid w:val="006547F4"/>
    <w:rsid w:val="006549C5"/>
    <w:rsid w:val="00654D32"/>
    <w:rsid w:val="00654F35"/>
    <w:rsid w:val="00654FCB"/>
    <w:rsid w:val="00655020"/>
    <w:rsid w:val="006554C8"/>
    <w:rsid w:val="00655626"/>
    <w:rsid w:val="00655649"/>
    <w:rsid w:val="006558DD"/>
    <w:rsid w:val="006559F1"/>
    <w:rsid w:val="00655A42"/>
    <w:rsid w:val="00655BD7"/>
    <w:rsid w:val="00655F74"/>
    <w:rsid w:val="00655F79"/>
    <w:rsid w:val="00656033"/>
    <w:rsid w:val="0065603A"/>
    <w:rsid w:val="006560FF"/>
    <w:rsid w:val="006565EE"/>
    <w:rsid w:val="00656782"/>
    <w:rsid w:val="006569EE"/>
    <w:rsid w:val="00656A25"/>
    <w:rsid w:val="00656A74"/>
    <w:rsid w:val="00656CEB"/>
    <w:rsid w:val="00656D2E"/>
    <w:rsid w:val="00656DFF"/>
    <w:rsid w:val="00656F8C"/>
    <w:rsid w:val="00657023"/>
    <w:rsid w:val="00657041"/>
    <w:rsid w:val="006570D7"/>
    <w:rsid w:val="0065739A"/>
    <w:rsid w:val="00657558"/>
    <w:rsid w:val="0065768D"/>
    <w:rsid w:val="006576A4"/>
    <w:rsid w:val="006577A7"/>
    <w:rsid w:val="00657831"/>
    <w:rsid w:val="00657E0D"/>
    <w:rsid w:val="00657E4D"/>
    <w:rsid w:val="006601FD"/>
    <w:rsid w:val="0066027B"/>
    <w:rsid w:val="006602E7"/>
    <w:rsid w:val="00660311"/>
    <w:rsid w:val="006603EB"/>
    <w:rsid w:val="006605D9"/>
    <w:rsid w:val="006607AA"/>
    <w:rsid w:val="00660916"/>
    <w:rsid w:val="006609DC"/>
    <w:rsid w:val="00660A02"/>
    <w:rsid w:val="00660A95"/>
    <w:rsid w:val="00660AF2"/>
    <w:rsid w:val="00660B05"/>
    <w:rsid w:val="00660B34"/>
    <w:rsid w:val="00660C00"/>
    <w:rsid w:val="00660CC6"/>
    <w:rsid w:val="00660D2D"/>
    <w:rsid w:val="00660DC6"/>
    <w:rsid w:val="006612D3"/>
    <w:rsid w:val="0066132F"/>
    <w:rsid w:val="00661374"/>
    <w:rsid w:val="006613E5"/>
    <w:rsid w:val="0066143B"/>
    <w:rsid w:val="00661457"/>
    <w:rsid w:val="0066153E"/>
    <w:rsid w:val="00661575"/>
    <w:rsid w:val="006619D4"/>
    <w:rsid w:val="00661A9C"/>
    <w:rsid w:val="00661DA1"/>
    <w:rsid w:val="00661E18"/>
    <w:rsid w:val="00661E44"/>
    <w:rsid w:val="00661F3A"/>
    <w:rsid w:val="006620DE"/>
    <w:rsid w:val="006621F1"/>
    <w:rsid w:val="0066231F"/>
    <w:rsid w:val="00662391"/>
    <w:rsid w:val="00662515"/>
    <w:rsid w:val="00662748"/>
    <w:rsid w:val="00662792"/>
    <w:rsid w:val="00662BE1"/>
    <w:rsid w:val="00662C52"/>
    <w:rsid w:val="0066315C"/>
    <w:rsid w:val="006636DC"/>
    <w:rsid w:val="00663B0B"/>
    <w:rsid w:val="00663CBA"/>
    <w:rsid w:val="00663D85"/>
    <w:rsid w:val="00663EB1"/>
    <w:rsid w:val="00663ED4"/>
    <w:rsid w:val="00663EDC"/>
    <w:rsid w:val="00663F71"/>
    <w:rsid w:val="00664246"/>
    <w:rsid w:val="006643DD"/>
    <w:rsid w:val="006643FE"/>
    <w:rsid w:val="006644E5"/>
    <w:rsid w:val="00664500"/>
    <w:rsid w:val="0066456D"/>
    <w:rsid w:val="0066473D"/>
    <w:rsid w:val="006649A2"/>
    <w:rsid w:val="00664B1F"/>
    <w:rsid w:val="00664B99"/>
    <w:rsid w:val="00664C31"/>
    <w:rsid w:val="00664D4B"/>
    <w:rsid w:val="00664EA2"/>
    <w:rsid w:val="00664EDC"/>
    <w:rsid w:val="00664FB1"/>
    <w:rsid w:val="0066515E"/>
    <w:rsid w:val="006651A7"/>
    <w:rsid w:val="006651C5"/>
    <w:rsid w:val="0066530B"/>
    <w:rsid w:val="00665347"/>
    <w:rsid w:val="00665372"/>
    <w:rsid w:val="006654AD"/>
    <w:rsid w:val="006656B9"/>
    <w:rsid w:val="006657E9"/>
    <w:rsid w:val="00665A38"/>
    <w:rsid w:val="00665B1F"/>
    <w:rsid w:val="00665BB1"/>
    <w:rsid w:val="00665F77"/>
    <w:rsid w:val="00665FCE"/>
    <w:rsid w:val="006662EA"/>
    <w:rsid w:val="00666368"/>
    <w:rsid w:val="006663AB"/>
    <w:rsid w:val="00666DF9"/>
    <w:rsid w:val="00666E23"/>
    <w:rsid w:val="00667071"/>
    <w:rsid w:val="00667095"/>
    <w:rsid w:val="006671DB"/>
    <w:rsid w:val="006671FF"/>
    <w:rsid w:val="0066727C"/>
    <w:rsid w:val="006672CC"/>
    <w:rsid w:val="006675E5"/>
    <w:rsid w:val="006677C6"/>
    <w:rsid w:val="006678D6"/>
    <w:rsid w:val="00667ACC"/>
    <w:rsid w:val="00667D6F"/>
    <w:rsid w:val="00667D8E"/>
    <w:rsid w:val="00667E05"/>
    <w:rsid w:val="00667F88"/>
    <w:rsid w:val="006701E4"/>
    <w:rsid w:val="00670230"/>
    <w:rsid w:val="00670298"/>
    <w:rsid w:val="00670338"/>
    <w:rsid w:val="006704B8"/>
    <w:rsid w:val="0067062A"/>
    <w:rsid w:val="0067069B"/>
    <w:rsid w:val="006706AF"/>
    <w:rsid w:val="006709B6"/>
    <w:rsid w:val="00670A37"/>
    <w:rsid w:val="00670A8A"/>
    <w:rsid w:val="00670C14"/>
    <w:rsid w:val="00670C33"/>
    <w:rsid w:val="00670CAB"/>
    <w:rsid w:val="00670D0C"/>
    <w:rsid w:val="00670F09"/>
    <w:rsid w:val="00670FD3"/>
    <w:rsid w:val="006710B4"/>
    <w:rsid w:val="0067144E"/>
    <w:rsid w:val="00671662"/>
    <w:rsid w:val="006716B3"/>
    <w:rsid w:val="00671841"/>
    <w:rsid w:val="00671DAC"/>
    <w:rsid w:val="0067200E"/>
    <w:rsid w:val="00672046"/>
    <w:rsid w:val="0067252B"/>
    <w:rsid w:val="0067254F"/>
    <w:rsid w:val="00672827"/>
    <w:rsid w:val="00672895"/>
    <w:rsid w:val="006728E1"/>
    <w:rsid w:val="00672966"/>
    <w:rsid w:val="00672AAC"/>
    <w:rsid w:val="00672ADE"/>
    <w:rsid w:val="00672EF1"/>
    <w:rsid w:val="00672F7E"/>
    <w:rsid w:val="00672FAC"/>
    <w:rsid w:val="00673077"/>
    <w:rsid w:val="00673139"/>
    <w:rsid w:val="006733B1"/>
    <w:rsid w:val="0067342F"/>
    <w:rsid w:val="006739F2"/>
    <w:rsid w:val="00673DAB"/>
    <w:rsid w:val="0067427D"/>
    <w:rsid w:val="00674345"/>
    <w:rsid w:val="006743AA"/>
    <w:rsid w:val="006743BA"/>
    <w:rsid w:val="0067479D"/>
    <w:rsid w:val="0067480D"/>
    <w:rsid w:val="00674A94"/>
    <w:rsid w:val="00674AB0"/>
    <w:rsid w:val="00674AB6"/>
    <w:rsid w:val="00674B74"/>
    <w:rsid w:val="00674C05"/>
    <w:rsid w:val="00674C79"/>
    <w:rsid w:val="00674F49"/>
    <w:rsid w:val="00674FC2"/>
    <w:rsid w:val="0067536A"/>
    <w:rsid w:val="0067542A"/>
    <w:rsid w:val="00675660"/>
    <w:rsid w:val="006756E5"/>
    <w:rsid w:val="006757CC"/>
    <w:rsid w:val="0067594D"/>
    <w:rsid w:val="00675A16"/>
    <w:rsid w:val="00675A81"/>
    <w:rsid w:val="00675C8D"/>
    <w:rsid w:val="00675CB3"/>
    <w:rsid w:val="00675DEE"/>
    <w:rsid w:val="00675F80"/>
    <w:rsid w:val="0067607C"/>
    <w:rsid w:val="006762FF"/>
    <w:rsid w:val="00676422"/>
    <w:rsid w:val="006766CE"/>
    <w:rsid w:val="00676732"/>
    <w:rsid w:val="006768DC"/>
    <w:rsid w:val="00676B67"/>
    <w:rsid w:val="00676BA6"/>
    <w:rsid w:val="00676C80"/>
    <w:rsid w:val="00676C85"/>
    <w:rsid w:val="00676D80"/>
    <w:rsid w:val="00676FC7"/>
    <w:rsid w:val="006770C2"/>
    <w:rsid w:val="006771D9"/>
    <w:rsid w:val="0067728E"/>
    <w:rsid w:val="006774B7"/>
    <w:rsid w:val="006777A2"/>
    <w:rsid w:val="006778A1"/>
    <w:rsid w:val="00677936"/>
    <w:rsid w:val="0067797A"/>
    <w:rsid w:val="00677A32"/>
    <w:rsid w:val="00677AE9"/>
    <w:rsid w:val="00677C79"/>
    <w:rsid w:val="00677D2B"/>
    <w:rsid w:val="00677E1D"/>
    <w:rsid w:val="00677ECF"/>
    <w:rsid w:val="00677F68"/>
    <w:rsid w:val="00680083"/>
    <w:rsid w:val="00680088"/>
    <w:rsid w:val="006801B9"/>
    <w:rsid w:val="0068051D"/>
    <w:rsid w:val="00680649"/>
    <w:rsid w:val="0068085F"/>
    <w:rsid w:val="00680935"/>
    <w:rsid w:val="00680958"/>
    <w:rsid w:val="00680A26"/>
    <w:rsid w:val="00680D62"/>
    <w:rsid w:val="00681178"/>
    <w:rsid w:val="0068118A"/>
    <w:rsid w:val="006812DF"/>
    <w:rsid w:val="0068133B"/>
    <w:rsid w:val="006813E4"/>
    <w:rsid w:val="0068145B"/>
    <w:rsid w:val="00681559"/>
    <w:rsid w:val="00681814"/>
    <w:rsid w:val="006818CB"/>
    <w:rsid w:val="00681955"/>
    <w:rsid w:val="006819F3"/>
    <w:rsid w:val="00681E5F"/>
    <w:rsid w:val="00681EE1"/>
    <w:rsid w:val="0068206F"/>
    <w:rsid w:val="006822BE"/>
    <w:rsid w:val="006824AD"/>
    <w:rsid w:val="00682697"/>
    <w:rsid w:val="006828DE"/>
    <w:rsid w:val="00682935"/>
    <w:rsid w:val="00682A3C"/>
    <w:rsid w:val="00682D79"/>
    <w:rsid w:val="00682E7E"/>
    <w:rsid w:val="00682EC3"/>
    <w:rsid w:val="00682EE6"/>
    <w:rsid w:val="00682EF6"/>
    <w:rsid w:val="00682F0F"/>
    <w:rsid w:val="00682FC1"/>
    <w:rsid w:val="00683295"/>
    <w:rsid w:val="00683481"/>
    <w:rsid w:val="0068348C"/>
    <w:rsid w:val="00683972"/>
    <w:rsid w:val="006839EC"/>
    <w:rsid w:val="00683AB3"/>
    <w:rsid w:val="00683B97"/>
    <w:rsid w:val="00683C2F"/>
    <w:rsid w:val="00683C8F"/>
    <w:rsid w:val="00683F2C"/>
    <w:rsid w:val="0068401D"/>
    <w:rsid w:val="006840B2"/>
    <w:rsid w:val="0068414A"/>
    <w:rsid w:val="006844A9"/>
    <w:rsid w:val="0068486E"/>
    <w:rsid w:val="00684AAE"/>
    <w:rsid w:val="00684DD2"/>
    <w:rsid w:val="00684E1A"/>
    <w:rsid w:val="00684EAF"/>
    <w:rsid w:val="006852CE"/>
    <w:rsid w:val="006854E9"/>
    <w:rsid w:val="00685585"/>
    <w:rsid w:val="0068561C"/>
    <w:rsid w:val="006857C9"/>
    <w:rsid w:val="00685A23"/>
    <w:rsid w:val="00685E7F"/>
    <w:rsid w:val="00686010"/>
    <w:rsid w:val="006860ED"/>
    <w:rsid w:val="006863E6"/>
    <w:rsid w:val="00686815"/>
    <w:rsid w:val="006868FB"/>
    <w:rsid w:val="00686A1A"/>
    <w:rsid w:val="00686D3A"/>
    <w:rsid w:val="00686FED"/>
    <w:rsid w:val="00686FFF"/>
    <w:rsid w:val="006870E5"/>
    <w:rsid w:val="00687114"/>
    <w:rsid w:val="00687246"/>
    <w:rsid w:val="00687434"/>
    <w:rsid w:val="006874A2"/>
    <w:rsid w:val="006874A3"/>
    <w:rsid w:val="006874F3"/>
    <w:rsid w:val="0068752B"/>
    <w:rsid w:val="00687543"/>
    <w:rsid w:val="00687545"/>
    <w:rsid w:val="0068775F"/>
    <w:rsid w:val="00687770"/>
    <w:rsid w:val="00687852"/>
    <w:rsid w:val="00687B23"/>
    <w:rsid w:val="00687B51"/>
    <w:rsid w:val="00687BA0"/>
    <w:rsid w:val="00687DCD"/>
    <w:rsid w:val="00690054"/>
    <w:rsid w:val="0069012B"/>
    <w:rsid w:val="0069027B"/>
    <w:rsid w:val="006902AE"/>
    <w:rsid w:val="00690391"/>
    <w:rsid w:val="006904CD"/>
    <w:rsid w:val="006904F5"/>
    <w:rsid w:val="0069063B"/>
    <w:rsid w:val="0069065E"/>
    <w:rsid w:val="0069067E"/>
    <w:rsid w:val="006906FC"/>
    <w:rsid w:val="006907AC"/>
    <w:rsid w:val="00690AB5"/>
    <w:rsid w:val="00690C7F"/>
    <w:rsid w:val="00690CAC"/>
    <w:rsid w:val="00690CD1"/>
    <w:rsid w:val="0069136B"/>
    <w:rsid w:val="006913E6"/>
    <w:rsid w:val="006914B7"/>
    <w:rsid w:val="0069164F"/>
    <w:rsid w:val="00691869"/>
    <w:rsid w:val="00691882"/>
    <w:rsid w:val="00691C18"/>
    <w:rsid w:val="00691D8F"/>
    <w:rsid w:val="006920E0"/>
    <w:rsid w:val="006925A6"/>
    <w:rsid w:val="00692627"/>
    <w:rsid w:val="006928CB"/>
    <w:rsid w:val="00692BC5"/>
    <w:rsid w:val="00692D5D"/>
    <w:rsid w:val="00692D6D"/>
    <w:rsid w:val="0069306F"/>
    <w:rsid w:val="00693188"/>
    <w:rsid w:val="006931CE"/>
    <w:rsid w:val="00693692"/>
    <w:rsid w:val="006936C4"/>
    <w:rsid w:val="006936D0"/>
    <w:rsid w:val="00693807"/>
    <w:rsid w:val="006938FF"/>
    <w:rsid w:val="00693A39"/>
    <w:rsid w:val="00693B5F"/>
    <w:rsid w:val="00693CA9"/>
    <w:rsid w:val="00693E2B"/>
    <w:rsid w:val="00693F3A"/>
    <w:rsid w:val="00694069"/>
    <w:rsid w:val="006942DE"/>
    <w:rsid w:val="00694318"/>
    <w:rsid w:val="00694367"/>
    <w:rsid w:val="006944AC"/>
    <w:rsid w:val="00694580"/>
    <w:rsid w:val="00694655"/>
    <w:rsid w:val="0069485B"/>
    <w:rsid w:val="00694A6D"/>
    <w:rsid w:val="00694ABB"/>
    <w:rsid w:val="00694AD7"/>
    <w:rsid w:val="00694C68"/>
    <w:rsid w:val="00694DF8"/>
    <w:rsid w:val="00694F3C"/>
    <w:rsid w:val="00695017"/>
    <w:rsid w:val="00695050"/>
    <w:rsid w:val="006950E5"/>
    <w:rsid w:val="00695122"/>
    <w:rsid w:val="006951F6"/>
    <w:rsid w:val="00695425"/>
    <w:rsid w:val="006954B9"/>
    <w:rsid w:val="00695634"/>
    <w:rsid w:val="00695636"/>
    <w:rsid w:val="00695883"/>
    <w:rsid w:val="00695897"/>
    <w:rsid w:val="006959B5"/>
    <w:rsid w:val="00695A5F"/>
    <w:rsid w:val="00695BB7"/>
    <w:rsid w:val="00695C2F"/>
    <w:rsid w:val="00695DD1"/>
    <w:rsid w:val="00695DFE"/>
    <w:rsid w:val="00695FA2"/>
    <w:rsid w:val="00696024"/>
    <w:rsid w:val="006960BA"/>
    <w:rsid w:val="006965D5"/>
    <w:rsid w:val="006966E3"/>
    <w:rsid w:val="00696748"/>
    <w:rsid w:val="00696889"/>
    <w:rsid w:val="006969CF"/>
    <w:rsid w:val="00696A9D"/>
    <w:rsid w:val="00696AC2"/>
    <w:rsid w:val="00696BDA"/>
    <w:rsid w:val="00696C2A"/>
    <w:rsid w:val="00696CF7"/>
    <w:rsid w:val="00696DFB"/>
    <w:rsid w:val="00696EF2"/>
    <w:rsid w:val="00697114"/>
    <w:rsid w:val="00697216"/>
    <w:rsid w:val="00697384"/>
    <w:rsid w:val="00697402"/>
    <w:rsid w:val="0069751B"/>
    <w:rsid w:val="006975A4"/>
    <w:rsid w:val="00697AE1"/>
    <w:rsid w:val="00697BB4"/>
    <w:rsid w:val="00697BEF"/>
    <w:rsid w:val="00697F74"/>
    <w:rsid w:val="006A007F"/>
    <w:rsid w:val="006A0308"/>
    <w:rsid w:val="006A0540"/>
    <w:rsid w:val="006A06ED"/>
    <w:rsid w:val="006A0AE9"/>
    <w:rsid w:val="006A0B8C"/>
    <w:rsid w:val="006A0D62"/>
    <w:rsid w:val="006A0D8F"/>
    <w:rsid w:val="006A0F4F"/>
    <w:rsid w:val="006A108C"/>
    <w:rsid w:val="006A114D"/>
    <w:rsid w:val="006A1427"/>
    <w:rsid w:val="006A143B"/>
    <w:rsid w:val="006A155F"/>
    <w:rsid w:val="006A1710"/>
    <w:rsid w:val="006A18E0"/>
    <w:rsid w:val="006A194D"/>
    <w:rsid w:val="006A1A28"/>
    <w:rsid w:val="006A1BD6"/>
    <w:rsid w:val="006A1E34"/>
    <w:rsid w:val="006A1F8C"/>
    <w:rsid w:val="006A215F"/>
    <w:rsid w:val="006A2316"/>
    <w:rsid w:val="006A24B3"/>
    <w:rsid w:val="006A2647"/>
    <w:rsid w:val="006A27C6"/>
    <w:rsid w:val="006A2834"/>
    <w:rsid w:val="006A287A"/>
    <w:rsid w:val="006A2B1F"/>
    <w:rsid w:val="006A2B4F"/>
    <w:rsid w:val="006A2B7A"/>
    <w:rsid w:val="006A2BBD"/>
    <w:rsid w:val="006A2F67"/>
    <w:rsid w:val="006A30B1"/>
    <w:rsid w:val="006A34D8"/>
    <w:rsid w:val="006A3959"/>
    <w:rsid w:val="006A3C00"/>
    <w:rsid w:val="006A3D2E"/>
    <w:rsid w:val="006A3D7B"/>
    <w:rsid w:val="006A3E92"/>
    <w:rsid w:val="006A41DE"/>
    <w:rsid w:val="006A4390"/>
    <w:rsid w:val="006A45F6"/>
    <w:rsid w:val="006A460C"/>
    <w:rsid w:val="006A464D"/>
    <w:rsid w:val="006A486F"/>
    <w:rsid w:val="006A49B6"/>
    <w:rsid w:val="006A4B62"/>
    <w:rsid w:val="006A4DFA"/>
    <w:rsid w:val="006A5103"/>
    <w:rsid w:val="006A5359"/>
    <w:rsid w:val="006A53C7"/>
    <w:rsid w:val="006A56A3"/>
    <w:rsid w:val="006A582C"/>
    <w:rsid w:val="006A58BC"/>
    <w:rsid w:val="006A592B"/>
    <w:rsid w:val="006A5A45"/>
    <w:rsid w:val="006A5AE3"/>
    <w:rsid w:val="006A5C6F"/>
    <w:rsid w:val="006A5CF3"/>
    <w:rsid w:val="006A5EB5"/>
    <w:rsid w:val="006A5F10"/>
    <w:rsid w:val="006A61FD"/>
    <w:rsid w:val="006A621E"/>
    <w:rsid w:val="006A63F3"/>
    <w:rsid w:val="006A6548"/>
    <w:rsid w:val="006A66B6"/>
    <w:rsid w:val="006A6705"/>
    <w:rsid w:val="006A68B3"/>
    <w:rsid w:val="006A6951"/>
    <w:rsid w:val="006A69BD"/>
    <w:rsid w:val="006A6AC3"/>
    <w:rsid w:val="006A6D1C"/>
    <w:rsid w:val="006A6E79"/>
    <w:rsid w:val="006A6EA3"/>
    <w:rsid w:val="006A6EB8"/>
    <w:rsid w:val="006A6EE5"/>
    <w:rsid w:val="006A6F10"/>
    <w:rsid w:val="006A6F61"/>
    <w:rsid w:val="006A6F87"/>
    <w:rsid w:val="006A72CB"/>
    <w:rsid w:val="006A7430"/>
    <w:rsid w:val="006A7548"/>
    <w:rsid w:val="006A7731"/>
    <w:rsid w:val="006A7888"/>
    <w:rsid w:val="006A794B"/>
    <w:rsid w:val="006A7AB3"/>
    <w:rsid w:val="006A7C59"/>
    <w:rsid w:val="006A7F0F"/>
    <w:rsid w:val="006A7F1A"/>
    <w:rsid w:val="006A7FD8"/>
    <w:rsid w:val="006B0297"/>
    <w:rsid w:val="006B056B"/>
    <w:rsid w:val="006B0618"/>
    <w:rsid w:val="006B0646"/>
    <w:rsid w:val="006B079D"/>
    <w:rsid w:val="006B0931"/>
    <w:rsid w:val="006B0F78"/>
    <w:rsid w:val="006B101C"/>
    <w:rsid w:val="006B10DE"/>
    <w:rsid w:val="006B1197"/>
    <w:rsid w:val="006B152E"/>
    <w:rsid w:val="006B17C3"/>
    <w:rsid w:val="006B1A1A"/>
    <w:rsid w:val="006B1B7D"/>
    <w:rsid w:val="006B1E47"/>
    <w:rsid w:val="006B1ECD"/>
    <w:rsid w:val="006B1ECF"/>
    <w:rsid w:val="006B1F4A"/>
    <w:rsid w:val="006B2192"/>
    <w:rsid w:val="006B222D"/>
    <w:rsid w:val="006B2359"/>
    <w:rsid w:val="006B237C"/>
    <w:rsid w:val="006B24D6"/>
    <w:rsid w:val="006B24EF"/>
    <w:rsid w:val="006B257A"/>
    <w:rsid w:val="006B270C"/>
    <w:rsid w:val="006B273B"/>
    <w:rsid w:val="006B2867"/>
    <w:rsid w:val="006B29B5"/>
    <w:rsid w:val="006B2A4F"/>
    <w:rsid w:val="006B2B8D"/>
    <w:rsid w:val="006B2C73"/>
    <w:rsid w:val="006B2CA4"/>
    <w:rsid w:val="006B2CAD"/>
    <w:rsid w:val="006B2F36"/>
    <w:rsid w:val="006B2F41"/>
    <w:rsid w:val="006B2F70"/>
    <w:rsid w:val="006B30EE"/>
    <w:rsid w:val="006B3114"/>
    <w:rsid w:val="006B3189"/>
    <w:rsid w:val="006B321E"/>
    <w:rsid w:val="006B34DF"/>
    <w:rsid w:val="006B3609"/>
    <w:rsid w:val="006B376D"/>
    <w:rsid w:val="006B37CC"/>
    <w:rsid w:val="006B3AF3"/>
    <w:rsid w:val="006B3B27"/>
    <w:rsid w:val="006B3B55"/>
    <w:rsid w:val="006B3E17"/>
    <w:rsid w:val="006B3E80"/>
    <w:rsid w:val="006B3EC5"/>
    <w:rsid w:val="006B4302"/>
    <w:rsid w:val="006B44F2"/>
    <w:rsid w:val="006B4563"/>
    <w:rsid w:val="006B474B"/>
    <w:rsid w:val="006B477F"/>
    <w:rsid w:val="006B48E1"/>
    <w:rsid w:val="006B4A87"/>
    <w:rsid w:val="006B4AB1"/>
    <w:rsid w:val="006B4C4D"/>
    <w:rsid w:val="006B4CAF"/>
    <w:rsid w:val="006B5248"/>
    <w:rsid w:val="006B529F"/>
    <w:rsid w:val="006B52A5"/>
    <w:rsid w:val="006B54EF"/>
    <w:rsid w:val="006B5514"/>
    <w:rsid w:val="006B5571"/>
    <w:rsid w:val="006B55ED"/>
    <w:rsid w:val="006B595B"/>
    <w:rsid w:val="006B59C1"/>
    <w:rsid w:val="006B5BF8"/>
    <w:rsid w:val="006B5F5F"/>
    <w:rsid w:val="006B6165"/>
    <w:rsid w:val="006B65EB"/>
    <w:rsid w:val="006B6830"/>
    <w:rsid w:val="006B6A46"/>
    <w:rsid w:val="006B6C17"/>
    <w:rsid w:val="006B6D67"/>
    <w:rsid w:val="006B7131"/>
    <w:rsid w:val="006B7494"/>
    <w:rsid w:val="006B75BC"/>
    <w:rsid w:val="006B75C3"/>
    <w:rsid w:val="006B75DA"/>
    <w:rsid w:val="006B760B"/>
    <w:rsid w:val="006B7765"/>
    <w:rsid w:val="006B7954"/>
    <w:rsid w:val="006B7BD1"/>
    <w:rsid w:val="006B7D24"/>
    <w:rsid w:val="006B7D68"/>
    <w:rsid w:val="006B7F03"/>
    <w:rsid w:val="006B7FA9"/>
    <w:rsid w:val="006C0049"/>
    <w:rsid w:val="006C0535"/>
    <w:rsid w:val="006C06A6"/>
    <w:rsid w:val="006C0728"/>
    <w:rsid w:val="006C0734"/>
    <w:rsid w:val="006C0782"/>
    <w:rsid w:val="006C079E"/>
    <w:rsid w:val="006C08D6"/>
    <w:rsid w:val="006C0987"/>
    <w:rsid w:val="006C0B22"/>
    <w:rsid w:val="006C0D77"/>
    <w:rsid w:val="006C0E21"/>
    <w:rsid w:val="006C0FFD"/>
    <w:rsid w:val="006C117E"/>
    <w:rsid w:val="006C11EC"/>
    <w:rsid w:val="006C13A3"/>
    <w:rsid w:val="006C1539"/>
    <w:rsid w:val="006C17E7"/>
    <w:rsid w:val="006C1D38"/>
    <w:rsid w:val="006C1D8C"/>
    <w:rsid w:val="006C21A2"/>
    <w:rsid w:val="006C240F"/>
    <w:rsid w:val="006C244C"/>
    <w:rsid w:val="006C2780"/>
    <w:rsid w:val="006C2871"/>
    <w:rsid w:val="006C29FE"/>
    <w:rsid w:val="006C2A89"/>
    <w:rsid w:val="006C311D"/>
    <w:rsid w:val="006C34E8"/>
    <w:rsid w:val="006C3681"/>
    <w:rsid w:val="006C374B"/>
    <w:rsid w:val="006C3BCE"/>
    <w:rsid w:val="006C3C1D"/>
    <w:rsid w:val="006C3CDB"/>
    <w:rsid w:val="006C3DC2"/>
    <w:rsid w:val="006C3E42"/>
    <w:rsid w:val="006C3F9F"/>
    <w:rsid w:val="006C40BC"/>
    <w:rsid w:val="006C4216"/>
    <w:rsid w:val="006C42A0"/>
    <w:rsid w:val="006C42E0"/>
    <w:rsid w:val="006C4398"/>
    <w:rsid w:val="006C43BB"/>
    <w:rsid w:val="006C43D5"/>
    <w:rsid w:val="006C440D"/>
    <w:rsid w:val="006C47F8"/>
    <w:rsid w:val="006C4D16"/>
    <w:rsid w:val="006C4D86"/>
    <w:rsid w:val="006C4D8F"/>
    <w:rsid w:val="006C50C1"/>
    <w:rsid w:val="006C5136"/>
    <w:rsid w:val="006C5250"/>
    <w:rsid w:val="006C529A"/>
    <w:rsid w:val="006C546C"/>
    <w:rsid w:val="006C5577"/>
    <w:rsid w:val="006C5689"/>
    <w:rsid w:val="006C5696"/>
    <w:rsid w:val="006C56AF"/>
    <w:rsid w:val="006C56D3"/>
    <w:rsid w:val="006C5707"/>
    <w:rsid w:val="006C57BB"/>
    <w:rsid w:val="006C59A1"/>
    <w:rsid w:val="006C5D76"/>
    <w:rsid w:val="006C5F0E"/>
    <w:rsid w:val="006C61B4"/>
    <w:rsid w:val="006C643C"/>
    <w:rsid w:val="006C647D"/>
    <w:rsid w:val="006C65AA"/>
    <w:rsid w:val="006C6788"/>
    <w:rsid w:val="006C67AA"/>
    <w:rsid w:val="006C68C1"/>
    <w:rsid w:val="006C68CC"/>
    <w:rsid w:val="006C69DC"/>
    <w:rsid w:val="006C6B9F"/>
    <w:rsid w:val="006C6BE8"/>
    <w:rsid w:val="006C6C58"/>
    <w:rsid w:val="006C6F95"/>
    <w:rsid w:val="006C6FEF"/>
    <w:rsid w:val="006C7007"/>
    <w:rsid w:val="006C7075"/>
    <w:rsid w:val="006C71DA"/>
    <w:rsid w:val="006C728E"/>
    <w:rsid w:val="006C757C"/>
    <w:rsid w:val="006C784D"/>
    <w:rsid w:val="006C7A14"/>
    <w:rsid w:val="006C7A3E"/>
    <w:rsid w:val="006C7ADF"/>
    <w:rsid w:val="006C7B0E"/>
    <w:rsid w:val="006C7B61"/>
    <w:rsid w:val="006C7BC6"/>
    <w:rsid w:val="006C7CA4"/>
    <w:rsid w:val="006C7CB0"/>
    <w:rsid w:val="006C7E74"/>
    <w:rsid w:val="006C7F32"/>
    <w:rsid w:val="006D0123"/>
    <w:rsid w:val="006D020D"/>
    <w:rsid w:val="006D0212"/>
    <w:rsid w:val="006D02AE"/>
    <w:rsid w:val="006D02C9"/>
    <w:rsid w:val="006D0311"/>
    <w:rsid w:val="006D03B4"/>
    <w:rsid w:val="006D04CD"/>
    <w:rsid w:val="006D0665"/>
    <w:rsid w:val="006D0789"/>
    <w:rsid w:val="006D0ABF"/>
    <w:rsid w:val="006D0B45"/>
    <w:rsid w:val="006D0BA5"/>
    <w:rsid w:val="006D0C33"/>
    <w:rsid w:val="006D0EB8"/>
    <w:rsid w:val="006D1097"/>
    <w:rsid w:val="006D11BB"/>
    <w:rsid w:val="006D147A"/>
    <w:rsid w:val="006D1521"/>
    <w:rsid w:val="006D16EC"/>
    <w:rsid w:val="006D181F"/>
    <w:rsid w:val="006D18D2"/>
    <w:rsid w:val="006D19FE"/>
    <w:rsid w:val="006D1A33"/>
    <w:rsid w:val="006D1A4B"/>
    <w:rsid w:val="006D1BEB"/>
    <w:rsid w:val="006D1C1A"/>
    <w:rsid w:val="006D1C3E"/>
    <w:rsid w:val="006D1C92"/>
    <w:rsid w:val="006D1CB8"/>
    <w:rsid w:val="006D1F67"/>
    <w:rsid w:val="006D1FBA"/>
    <w:rsid w:val="006D2035"/>
    <w:rsid w:val="006D22B0"/>
    <w:rsid w:val="006D2394"/>
    <w:rsid w:val="006D242D"/>
    <w:rsid w:val="006D2627"/>
    <w:rsid w:val="006D265F"/>
    <w:rsid w:val="006D29E9"/>
    <w:rsid w:val="006D2A1A"/>
    <w:rsid w:val="006D2A51"/>
    <w:rsid w:val="006D2A58"/>
    <w:rsid w:val="006D2BE6"/>
    <w:rsid w:val="006D2D0B"/>
    <w:rsid w:val="006D2ED9"/>
    <w:rsid w:val="006D3167"/>
    <w:rsid w:val="006D3171"/>
    <w:rsid w:val="006D38F8"/>
    <w:rsid w:val="006D3972"/>
    <w:rsid w:val="006D3AAD"/>
    <w:rsid w:val="006D3C1E"/>
    <w:rsid w:val="006D3C6D"/>
    <w:rsid w:val="006D3C7C"/>
    <w:rsid w:val="006D3F60"/>
    <w:rsid w:val="006D403B"/>
    <w:rsid w:val="006D4427"/>
    <w:rsid w:val="006D47E2"/>
    <w:rsid w:val="006D4825"/>
    <w:rsid w:val="006D4952"/>
    <w:rsid w:val="006D4A56"/>
    <w:rsid w:val="006D4BB2"/>
    <w:rsid w:val="006D4C2B"/>
    <w:rsid w:val="006D4E11"/>
    <w:rsid w:val="006D4E8A"/>
    <w:rsid w:val="006D4FEA"/>
    <w:rsid w:val="006D5175"/>
    <w:rsid w:val="006D51CD"/>
    <w:rsid w:val="006D54A4"/>
    <w:rsid w:val="006D5545"/>
    <w:rsid w:val="006D56A5"/>
    <w:rsid w:val="006D5838"/>
    <w:rsid w:val="006D583D"/>
    <w:rsid w:val="006D58E9"/>
    <w:rsid w:val="006D59EB"/>
    <w:rsid w:val="006D5ADC"/>
    <w:rsid w:val="006D5E2B"/>
    <w:rsid w:val="006D5E6E"/>
    <w:rsid w:val="006D5EF2"/>
    <w:rsid w:val="006D61B6"/>
    <w:rsid w:val="006D61DD"/>
    <w:rsid w:val="006D623D"/>
    <w:rsid w:val="006D6553"/>
    <w:rsid w:val="006D6575"/>
    <w:rsid w:val="006D661D"/>
    <w:rsid w:val="006D677B"/>
    <w:rsid w:val="006D6A0D"/>
    <w:rsid w:val="006D6A78"/>
    <w:rsid w:val="006D6B55"/>
    <w:rsid w:val="006D6C8D"/>
    <w:rsid w:val="006D6CE4"/>
    <w:rsid w:val="006D6EAE"/>
    <w:rsid w:val="006D6ED7"/>
    <w:rsid w:val="006D7192"/>
    <w:rsid w:val="006D71A1"/>
    <w:rsid w:val="006D79FD"/>
    <w:rsid w:val="006D7C52"/>
    <w:rsid w:val="006D7D4B"/>
    <w:rsid w:val="006D7E81"/>
    <w:rsid w:val="006D7FF7"/>
    <w:rsid w:val="006E0140"/>
    <w:rsid w:val="006E017B"/>
    <w:rsid w:val="006E0238"/>
    <w:rsid w:val="006E096A"/>
    <w:rsid w:val="006E0A18"/>
    <w:rsid w:val="006E0A27"/>
    <w:rsid w:val="006E0A69"/>
    <w:rsid w:val="006E0A71"/>
    <w:rsid w:val="006E0CEC"/>
    <w:rsid w:val="006E0D5C"/>
    <w:rsid w:val="006E0DC3"/>
    <w:rsid w:val="006E0F13"/>
    <w:rsid w:val="006E0F27"/>
    <w:rsid w:val="006E0F7B"/>
    <w:rsid w:val="006E10A4"/>
    <w:rsid w:val="006E116D"/>
    <w:rsid w:val="006E1238"/>
    <w:rsid w:val="006E12C6"/>
    <w:rsid w:val="006E1393"/>
    <w:rsid w:val="006E13F8"/>
    <w:rsid w:val="006E16E9"/>
    <w:rsid w:val="006E1716"/>
    <w:rsid w:val="006E1869"/>
    <w:rsid w:val="006E1C8E"/>
    <w:rsid w:val="006E200F"/>
    <w:rsid w:val="006E2566"/>
    <w:rsid w:val="006E2703"/>
    <w:rsid w:val="006E2849"/>
    <w:rsid w:val="006E28D9"/>
    <w:rsid w:val="006E2A4B"/>
    <w:rsid w:val="006E2B9C"/>
    <w:rsid w:val="006E2DEB"/>
    <w:rsid w:val="006E30F5"/>
    <w:rsid w:val="006E32D8"/>
    <w:rsid w:val="006E32EC"/>
    <w:rsid w:val="006E336E"/>
    <w:rsid w:val="006E37A2"/>
    <w:rsid w:val="006E399B"/>
    <w:rsid w:val="006E39D0"/>
    <w:rsid w:val="006E3AC0"/>
    <w:rsid w:val="006E40A4"/>
    <w:rsid w:val="006E40AA"/>
    <w:rsid w:val="006E40D2"/>
    <w:rsid w:val="006E47B4"/>
    <w:rsid w:val="006E485D"/>
    <w:rsid w:val="006E4933"/>
    <w:rsid w:val="006E4B2F"/>
    <w:rsid w:val="006E4E4C"/>
    <w:rsid w:val="006E4F17"/>
    <w:rsid w:val="006E4F39"/>
    <w:rsid w:val="006E5138"/>
    <w:rsid w:val="006E5288"/>
    <w:rsid w:val="006E548A"/>
    <w:rsid w:val="006E551E"/>
    <w:rsid w:val="006E564F"/>
    <w:rsid w:val="006E5993"/>
    <w:rsid w:val="006E59E1"/>
    <w:rsid w:val="006E5A18"/>
    <w:rsid w:val="006E5AC5"/>
    <w:rsid w:val="006E5BCB"/>
    <w:rsid w:val="006E5F6D"/>
    <w:rsid w:val="006E5F9B"/>
    <w:rsid w:val="006E6021"/>
    <w:rsid w:val="006E605F"/>
    <w:rsid w:val="006E60CB"/>
    <w:rsid w:val="006E63DD"/>
    <w:rsid w:val="006E6494"/>
    <w:rsid w:val="006E65AF"/>
    <w:rsid w:val="006E677C"/>
    <w:rsid w:val="006E6A1C"/>
    <w:rsid w:val="006E6A5F"/>
    <w:rsid w:val="006E6B01"/>
    <w:rsid w:val="006E6C3D"/>
    <w:rsid w:val="006E6D54"/>
    <w:rsid w:val="006E6E54"/>
    <w:rsid w:val="006E6F8B"/>
    <w:rsid w:val="006E6FAD"/>
    <w:rsid w:val="006E70AE"/>
    <w:rsid w:val="006E7102"/>
    <w:rsid w:val="006E71A2"/>
    <w:rsid w:val="006E7446"/>
    <w:rsid w:val="006E752D"/>
    <w:rsid w:val="006E7615"/>
    <w:rsid w:val="006E792B"/>
    <w:rsid w:val="006E7D65"/>
    <w:rsid w:val="006E7DBE"/>
    <w:rsid w:val="006E7E69"/>
    <w:rsid w:val="006E7EE2"/>
    <w:rsid w:val="006E7F16"/>
    <w:rsid w:val="006F0050"/>
    <w:rsid w:val="006F0395"/>
    <w:rsid w:val="006F044F"/>
    <w:rsid w:val="006F0496"/>
    <w:rsid w:val="006F06B0"/>
    <w:rsid w:val="006F06BE"/>
    <w:rsid w:val="006F092A"/>
    <w:rsid w:val="006F0BE7"/>
    <w:rsid w:val="006F0CA0"/>
    <w:rsid w:val="006F14A7"/>
    <w:rsid w:val="006F16E1"/>
    <w:rsid w:val="006F1901"/>
    <w:rsid w:val="006F198F"/>
    <w:rsid w:val="006F1A26"/>
    <w:rsid w:val="006F1A42"/>
    <w:rsid w:val="006F1B09"/>
    <w:rsid w:val="006F1B15"/>
    <w:rsid w:val="006F1B4C"/>
    <w:rsid w:val="006F1BF6"/>
    <w:rsid w:val="006F1C87"/>
    <w:rsid w:val="006F1EE1"/>
    <w:rsid w:val="006F21C3"/>
    <w:rsid w:val="006F221B"/>
    <w:rsid w:val="006F2950"/>
    <w:rsid w:val="006F2C3D"/>
    <w:rsid w:val="006F2E0B"/>
    <w:rsid w:val="006F3143"/>
    <w:rsid w:val="006F3161"/>
    <w:rsid w:val="006F31B5"/>
    <w:rsid w:val="006F3281"/>
    <w:rsid w:val="006F3422"/>
    <w:rsid w:val="006F34F0"/>
    <w:rsid w:val="006F360B"/>
    <w:rsid w:val="006F3661"/>
    <w:rsid w:val="006F3662"/>
    <w:rsid w:val="006F382E"/>
    <w:rsid w:val="006F3B81"/>
    <w:rsid w:val="006F3BC1"/>
    <w:rsid w:val="006F3D05"/>
    <w:rsid w:val="006F3D73"/>
    <w:rsid w:val="006F3F69"/>
    <w:rsid w:val="006F456E"/>
    <w:rsid w:val="006F45BE"/>
    <w:rsid w:val="006F479A"/>
    <w:rsid w:val="006F4902"/>
    <w:rsid w:val="006F4B58"/>
    <w:rsid w:val="006F4B59"/>
    <w:rsid w:val="006F4BB4"/>
    <w:rsid w:val="006F4BBC"/>
    <w:rsid w:val="006F4ED9"/>
    <w:rsid w:val="006F50DC"/>
    <w:rsid w:val="006F53E4"/>
    <w:rsid w:val="006F56A5"/>
    <w:rsid w:val="006F576D"/>
    <w:rsid w:val="006F57C2"/>
    <w:rsid w:val="006F57D2"/>
    <w:rsid w:val="006F581A"/>
    <w:rsid w:val="006F5C5F"/>
    <w:rsid w:val="006F5CE1"/>
    <w:rsid w:val="006F5D91"/>
    <w:rsid w:val="006F5EE1"/>
    <w:rsid w:val="006F5F3D"/>
    <w:rsid w:val="006F5FBC"/>
    <w:rsid w:val="006F6081"/>
    <w:rsid w:val="006F6221"/>
    <w:rsid w:val="006F626C"/>
    <w:rsid w:val="006F660B"/>
    <w:rsid w:val="006F68C5"/>
    <w:rsid w:val="006F69CF"/>
    <w:rsid w:val="006F6A0E"/>
    <w:rsid w:val="006F6C46"/>
    <w:rsid w:val="006F6C95"/>
    <w:rsid w:val="006F6C9B"/>
    <w:rsid w:val="006F6EE1"/>
    <w:rsid w:val="006F71A6"/>
    <w:rsid w:val="006F7264"/>
    <w:rsid w:val="006F72D2"/>
    <w:rsid w:val="006F7325"/>
    <w:rsid w:val="006F7A59"/>
    <w:rsid w:val="006F7CBF"/>
    <w:rsid w:val="0070000F"/>
    <w:rsid w:val="00700015"/>
    <w:rsid w:val="0070041D"/>
    <w:rsid w:val="007008DB"/>
    <w:rsid w:val="00700933"/>
    <w:rsid w:val="00700958"/>
    <w:rsid w:val="00700C7B"/>
    <w:rsid w:val="00700FB5"/>
    <w:rsid w:val="007010EF"/>
    <w:rsid w:val="00701395"/>
    <w:rsid w:val="0070184C"/>
    <w:rsid w:val="00701A0B"/>
    <w:rsid w:val="00701A86"/>
    <w:rsid w:val="00701EA5"/>
    <w:rsid w:val="00701EFF"/>
    <w:rsid w:val="00702230"/>
    <w:rsid w:val="007024A2"/>
    <w:rsid w:val="00702648"/>
    <w:rsid w:val="0070268C"/>
    <w:rsid w:val="007027DF"/>
    <w:rsid w:val="007028B1"/>
    <w:rsid w:val="00702A10"/>
    <w:rsid w:val="00702AAD"/>
    <w:rsid w:val="00702AD7"/>
    <w:rsid w:val="00702B5D"/>
    <w:rsid w:val="00702DE3"/>
    <w:rsid w:val="00702E68"/>
    <w:rsid w:val="007031B8"/>
    <w:rsid w:val="0070322F"/>
    <w:rsid w:val="00703364"/>
    <w:rsid w:val="00703456"/>
    <w:rsid w:val="00703551"/>
    <w:rsid w:val="007035EB"/>
    <w:rsid w:val="0070360B"/>
    <w:rsid w:val="00703660"/>
    <w:rsid w:val="007037AB"/>
    <w:rsid w:val="007038C8"/>
    <w:rsid w:val="00703932"/>
    <w:rsid w:val="0070396A"/>
    <w:rsid w:val="00703D62"/>
    <w:rsid w:val="00703DC5"/>
    <w:rsid w:val="0070408A"/>
    <w:rsid w:val="007040B8"/>
    <w:rsid w:val="00704749"/>
    <w:rsid w:val="007048C5"/>
    <w:rsid w:val="007048DF"/>
    <w:rsid w:val="00704A82"/>
    <w:rsid w:val="00704E03"/>
    <w:rsid w:val="00704ED6"/>
    <w:rsid w:val="00704F88"/>
    <w:rsid w:val="0070527B"/>
    <w:rsid w:val="007053AB"/>
    <w:rsid w:val="00705638"/>
    <w:rsid w:val="007056C5"/>
    <w:rsid w:val="007057C2"/>
    <w:rsid w:val="007057E0"/>
    <w:rsid w:val="0070589E"/>
    <w:rsid w:val="00705AB8"/>
    <w:rsid w:val="00705CBC"/>
    <w:rsid w:val="00705DE5"/>
    <w:rsid w:val="00706086"/>
    <w:rsid w:val="007061FA"/>
    <w:rsid w:val="007062B0"/>
    <w:rsid w:val="007066D4"/>
    <w:rsid w:val="00706B95"/>
    <w:rsid w:val="00706EA5"/>
    <w:rsid w:val="00706F43"/>
    <w:rsid w:val="00706FB5"/>
    <w:rsid w:val="00706FF7"/>
    <w:rsid w:val="00707177"/>
    <w:rsid w:val="00707341"/>
    <w:rsid w:val="00707398"/>
    <w:rsid w:val="0070741A"/>
    <w:rsid w:val="007074B7"/>
    <w:rsid w:val="007074DC"/>
    <w:rsid w:val="00707948"/>
    <w:rsid w:val="00707951"/>
    <w:rsid w:val="00707C4A"/>
    <w:rsid w:val="00707CA9"/>
    <w:rsid w:val="00707F0D"/>
    <w:rsid w:val="007102FC"/>
    <w:rsid w:val="00710338"/>
    <w:rsid w:val="00710550"/>
    <w:rsid w:val="007106A5"/>
    <w:rsid w:val="007107F8"/>
    <w:rsid w:val="0071089F"/>
    <w:rsid w:val="00710B79"/>
    <w:rsid w:val="00710EB3"/>
    <w:rsid w:val="00710EF6"/>
    <w:rsid w:val="007110D7"/>
    <w:rsid w:val="007110EF"/>
    <w:rsid w:val="0071144B"/>
    <w:rsid w:val="00711537"/>
    <w:rsid w:val="007116A6"/>
    <w:rsid w:val="00711966"/>
    <w:rsid w:val="00711C8C"/>
    <w:rsid w:val="00711D12"/>
    <w:rsid w:val="00711FC8"/>
    <w:rsid w:val="00712184"/>
    <w:rsid w:val="0071264B"/>
    <w:rsid w:val="00712785"/>
    <w:rsid w:val="00712829"/>
    <w:rsid w:val="007128FF"/>
    <w:rsid w:val="007129F8"/>
    <w:rsid w:val="00712A78"/>
    <w:rsid w:val="00712CD7"/>
    <w:rsid w:val="00712D0B"/>
    <w:rsid w:val="00712E0E"/>
    <w:rsid w:val="00712F21"/>
    <w:rsid w:val="00712F62"/>
    <w:rsid w:val="00712FB1"/>
    <w:rsid w:val="007130FC"/>
    <w:rsid w:val="00713133"/>
    <w:rsid w:val="007131A4"/>
    <w:rsid w:val="00713244"/>
    <w:rsid w:val="007134DE"/>
    <w:rsid w:val="00713526"/>
    <w:rsid w:val="007135D8"/>
    <w:rsid w:val="00713AA2"/>
    <w:rsid w:val="00713AA4"/>
    <w:rsid w:val="00713F97"/>
    <w:rsid w:val="00714029"/>
    <w:rsid w:val="00714262"/>
    <w:rsid w:val="007142C6"/>
    <w:rsid w:val="00714716"/>
    <w:rsid w:val="007148C4"/>
    <w:rsid w:val="0071498A"/>
    <w:rsid w:val="007149EA"/>
    <w:rsid w:val="00714A24"/>
    <w:rsid w:val="00714A4D"/>
    <w:rsid w:val="00714D1B"/>
    <w:rsid w:val="00714D50"/>
    <w:rsid w:val="0071516A"/>
    <w:rsid w:val="0071529F"/>
    <w:rsid w:val="007155EE"/>
    <w:rsid w:val="0071575A"/>
    <w:rsid w:val="00715802"/>
    <w:rsid w:val="007158C4"/>
    <w:rsid w:val="007159F4"/>
    <w:rsid w:val="00715AE1"/>
    <w:rsid w:val="00715CE0"/>
    <w:rsid w:val="00715D89"/>
    <w:rsid w:val="00715E39"/>
    <w:rsid w:val="00715F99"/>
    <w:rsid w:val="00716063"/>
    <w:rsid w:val="007161D0"/>
    <w:rsid w:val="007164B4"/>
    <w:rsid w:val="00716588"/>
    <w:rsid w:val="007165B5"/>
    <w:rsid w:val="007165ED"/>
    <w:rsid w:val="007166F4"/>
    <w:rsid w:val="007167D2"/>
    <w:rsid w:val="007169E1"/>
    <w:rsid w:val="00716A8E"/>
    <w:rsid w:val="00716BB8"/>
    <w:rsid w:val="00716D33"/>
    <w:rsid w:val="00716D36"/>
    <w:rsid w:val="00716E2A"/>
    <w:rsid w:val="00716EA4"/>
    <w:rsid w:val="00716F6A"/>
    <w:rsid w:val="00717140"/>
    <w:rsid w:val="007172CF"/>
    <w:rsid w:val="0071762F"/>
    <w:rsid w:val="007176B9"/>
    <w:rsid w:val="007176D5"/>
    <w:rsid w:val="00717861"/>
    <w:rsid w:val="007178A1"/>
    <w:rsid w:val="007178A4"/>
    <w:rsid w:val="00717961"/>
    <w:rsid w:val="0071799B"/>
    <w:rsid w:val="00717B78"/>
    <w:rsid w:val="00717BDA"/>
    <w:rsid w:val="00717C32"/>
    <w:rsid w:val="00717D0C"/>
    <w:rsid w:val="00717D90"/>
    <w:rsid w:val="00717DBE"/>
    <w:rsid w:val="00717DF3"/>
    <w:rsid w:val="0072029A"/>
    <w:rsid w:val="00720311"/>
    <w:rsid w:val="00720608"/>
    <w:rsid w:val="007209A6"/>
    <w:rsid w:val="00720CB9"/>
    <w:rsid w:val="00720CC6"/>
    <w:rsid w:val="00720EAF"/>
    <w:rsid w:val="00720EE1"/>
    <w:rsid w:val="0072104D"/>
    <w:rsid w:val="00721298"/>
    <w:rsid w:val="007214F8"/>
    <w:rsid w:val="007216E3"/>
    <w:rsid w:val="0072181F"/>
    <w:rsid w:val="00721953"/>
    <w:rsid w:val="00721A03"/>
    <w:rsid w:val="00721A4C"/>
    <w:rsid w:val="00721A51"/>
    <w:rsid w:val="00721A9C"/>
    <w:rsid w:val="00721BE9"/>
    <w:rsid w:val="00721C16"/>
    <w:rsid w:val="00721C89"/>
    <w:rsid w:val="0072229E"/>
    <w:rsid w:val="007223DB"/>
    <w:rsid w:val="007225F6"/>
    <w:rsid w:val="00722767"/>
    <w:rsid w:val="00722823"/>
    <w:rsid w:val="00722A83"/>
    <w:rsid w:val="00722A89"/>
    <w:rsid w:val="00722AF6"/>
    <w:rsid w:val="00722C43"/>
    <w:rsid w:val="007232D6"/>
    <w:rsid w:val="00723332"/>
    <w:rsid w:val="00723342"/>
    <w:rsid w:val="007233A9"/>
    <w:rsid w:val="007233B5"/>
    <w:rsid w:val="007239FB"/>
    <w:rsid w:val="00723A03"/>
    <w:rsid w:val="00723BDA"/>
    <w:rsid w:val="00723DEC"/>
    <w:rsid w:val="00723E9F"/>
    <w:rsid w:val="00723FA0"/>
    <w:rsid w:val="007245AB"/>
    <w:rsid w:val="0072474E"/>
    <w:rsid w:val="00724871"/>
    <w:rsid w:val="007248BE"/>
    <w:rsid w:val="00724CB0"/>
    <w:rsid w:val="00724D25"/>
    <w:rsid w:val="00724E77"/>
    <w:rsid w:val="00724F9C"/>
    <w:rsid w:val="007250A8"/>
    <w:rsid w:val="007250AD"/>
    <w:rsid w:val="00725237"/>
    <w:rsid w:val="007253B2"/>
    <w:rsid w:val="007254BC"/>
    <w:rsid w:val="007254C2"/>
    <w:rsid w:val="0072554E"/>
    <w:rsid w:val="007257D7"/>
    <w:rsid w:val="0072585F"/>
    <w:rsid w:val="00725A16"/>
    <w:rsid w:val="00725ACD"/>
    <w:rsid w:val="00725B03"/>
    <w:rsid w:val="00726437"/>
    <w:rsid w:val="00726600"/>
    <w:rsid w:val="00726AF4"/>
    <w:rsid w:val="00726C37"/>
    <w:rsid w:val="00726D6E"/>
    <w:rsid w:val="00726DE4"/>
    <w:rsid w:val="007272E2"/>
    <w:rsid w:val="00727317"/>
    <w:rsid w:val="00727335"/>
    <w:rsid w:val="0072738A"/>
    <w:rsid w:val="0072746E"/>
    <w:rsid w:val="00727981"/>
    <w:rsid w:val="007279FC"/>
    <w:rsid w:val="00727A11"/>
    <w:rsid w:val="00727A47"/>
    <w:rsid w:val="00727A8D"/>
    <w:rsid w:val="00727AEA"/>
    <w:rsid w:val="00727C97"/>
    <w:rsid w:val="00727D37"/>
    <w:rsid w:val="00727D86"/>
    <w:rsid w:val="007300E0"/>
    <w:rsid w:val="007300E5"/>
    <w:rsid w:val="00730143"/>
    <w:rsid w:val="0073044A"/>
    <w:rsid w:val="007308AE"/>
    <w:rsid w:val="007309CB"/>
    <w:rsid w:val="00730CCB"/>
    <w:rsid w:val="00730F20"/>
    <w:rsid w:val="00730F26"/>
    <w:rsid w:val="00731350"/>
    <w:rsid w:val="007315C6"/>
    <w:rsid w:val="00731827"/>
    <w:rsid w:val="00731A7D"/>
    <w:rsid w:val="00731AD1"/>
    <w:rsid w:val="007321EF"/>
    <w:rsid w:val="007326DC"/>
    <w:rsid w:val="007326E4"/>
    <w:rsid w:val="007328BD"/>
    <w:rsid w:val="00732CB8"/>
    <w:rsid w:val="00732CBF"/>
    <w:rsid w:val="00732E70"/>
    <w:rsid w:val="007330AE"/>
    <w:rsid w:val="007332A2"/>
    <w:rsid w:val="007332F5"/>
    <w:rsid w:val="00733312"/>
    <w:rsid w:val="007333BF"/>
    <w:rsid w:val="007334B2"/>
    <w:rsid w:val="00733510"/>
    <w:rsid w:val="00733858"/>
    <w:rsid w:val="00733957"/>
    <w:rsid w:val="007339B1"/>
    <w:rsid w:val="00733A3E"/>
    <w:rsid w:val="00733BBC"/>
    <w:rsid w:val="00733D62"/>
    <w:rsid w:val="00733FBB"/>
    <w:rsid w:val="00734040"/>
    <w:rsid w:val="007342DA"/>
    <w:rsid w:val="00734346"/>
    <w:rsid w:val="00734467"/>
    <w:rsid w:val="007344A9"/>
    <w:rsid w:val="0073450C"/>
    <w:rsid w:val="0073467B"/>
    <w:rsid w:val="007346C2"/>
    <w:rsid w:val="00734729"/>
    <w:rsid w:val="00734734"/>
    <w:rsid w:val="00734788"/>
    <w:rsid w:val="007347C7"/>
    <w:rsid w:val="007348D4"/>
    <w:rsid w:val="00734A1A"/>
    <w:rsid w:val="00734A8D"/>
    <w:rsid w:val="00734B5D"/>
    <w:rsid w:val="00734C75"/>
    <w:rsid w:val="00734CE0"/>
    <w:rsid w:val="00734D6B"/>
    <w:rsid w:val="00734D83"/>
    <w:rsid w:val="00734FDB"/>
    <w:rsid w:val="007350E8"/>
    <w:rsid w:val="00735135"/>
    <w:rsid w:val="007351E6"/>
    <w:rsid w:val="007352A5"/>
    <w:rsid w:val="00735301"/>
    <w:rsid w:val="0073578C"/>
    <w:rsid w:val="00735791"/>
    <w:rsid w:val="00735821"/>
    <w:rsid w:val="00735963"/>
    <w:rsid w:val="00735A25"/>
    <w:rsid w:val="00735A66"/>
    <w:rsid w:val="00735B00"/>
    <w:rsid w:val="00735DEC"/>
    <w:rsid w:val="00736101"/>
    <w:rsid w:val="00736205"/>
    <w:rsid w:val="00736744"/>
    <w:rsid w:val="00736D20"/>
    <w:rsid w:val="00736DB3"/>
    <w:rsid w:val="00736EE0"/>
    <w:rsid w:val="0073704D"/>
    <w:rsid w:val="007371AC"/>
    <w:rsid w:val="00737537"/>
    <w:rsid w:val="007375C6"/>
    <w:rsid w:val="00737680"/>
    <w:rsid w:val="0073770A"/>
    <w:rsid w:val="007377D8"/>
    <w:rsid w:val="0073789E"/>
    <w:rsid w:val="007378E5"/>
    <w:rsid w:val="0073796A"/>
    <w:rsid w:val="007379CA"/>
    <w:rsid w:val="00737CD0"/>
    <w:rsid w:val="00737F1E"/>
    <w:rsid w:val="007404B7"/>
    <w:rsid w:val="0074083E"/>
    <w:rsid w:val="0074084C"/>
    <w:rsid w:val="00740884"/>
    <w:rsid w:val="00740A85"/>
    <w:rsid w:val="00740ADE"/>
    <w:rsid w:val="00740B01"/>
    <w:rsid w:val="00740DBB"/>
    <w:rsid w:val="00740E89"/>
    <w:rsid w:val="00740F00"/>
    <w:rsid w:val="00740FCD"/>
    <w:rsid w:val="0074111A"/>
    <w:rsid w:val="007416A2"/>
    <w:rsid w:val="00741BD9"/>
    <w:rsid w:val="00741DF8"/>
    <w:rsid w:val="00741E32"/>
    <w:rsid w:val="00741F2B"/>
    <w:rsid w:val="00742142"/>
    <w:rsid w:val="007421CB"/>
    <w:rsid w:val="007424BA"/>
    <w:rsid w:val="007424F2"/>
    <w:rsid w:val="007425D0"/>
    <w:rsid w:val="0074264D"/>
    <w:rsid w:val="00742AD8"/>
    <w:rsid w:val="00742B23"/>
    <w:rsid w:val="00743309"/>
    <w:rsid w:val="0074352A"/>
    <w:rsid w:val="00743653"/>
    <w:rsid w:val="007436E4"/>
    <w:rsid w:val="00743B5A"/>
    <w:rsid w:val="00743C1D"/>
    <w:rsid w:val="00743DD7"/>
    <w:rsid w:val="00743E62"/>
    <w:rsid w:val="00743E85"/>
    <w:rsid w:val="00743F69"/>
    <w:rsid w:val="00744129"/>
    <w:rsid w:val="00744164"/>
    <w:rsid w:val="00744393"/>
    <w:rsid w:val="007444BF"/>
    <w:rsid w:val="007447DD"/>
    <w:rsid w:val="0074496D"/>
    <w:rsid w:val="00744AA7"/>
    <w:rsid w:val="00744BFF"/>
    <w:rsid w:val="00744E0E"/>
    <w:rsid w:val="00745114"/>
    <w:rsid w:val="007457D5"/>
    <w:rsid w:val="00745876"/>
    <w:rsid w:val="00745973"/>
    <w:rsid w:val="00745A4C"/>
    <w:rsid w:val="00745B70"/>
    <w:rsid w:val="00745BF5"/>
    <w:rsid w:val="00745F24"/>
    <w:rsid w:val="00745F64"/>
    <w:rsid w:val="00745F79"/>
    <w:rsid w:val="00745FAB"/>
    <w:rsid w:val="00746111"/>
    <w:rsid w:val="00746344"/>
    <w:rsid w:val="00746370"/>
    <w:rsid w:val="007466BC"/>
    <w:rsid w:val="00746A12"/>
    <w:rsid w:val="00746C8E"/>
    <w:rsid w:val="00746CDF"/>
    <w:rsid w:val="00746F53"/>
    <w:rsid w:val="00747120"/>
    <w:rsid w:val="0074719C"/>
    <w:rsid w:val="0074735F"/>
    <w:rsid w:val="0074751E"/>
    <w:rsid w:val="007475B1"/>
    <w:rsid w:val="007476E4"/>
    <w:rsid w:val="007477D7"/>
    <w:rsid w:val="007477E7"/>
    <w:rsid w:val="007478B8"/>
    <w:rsid w:val="00747908"/>
    <w:rsid w:val="007479A4"/>
    <w:rsid w:val="00747C2F"/>
    <w:rsid w:val="00747C41"/>
    <w:rsid w:val="00747DEF"/>
    <w:rsid w:val="007501A3"/>
    <w:rsid w:val="0075029E"/>
    <w:rsid w:val="007502EF"/>
    <w:rsid w:val="007504CE"/>
    <w:rsid w:val="00750522"/>
    <w:rsid w:val="00750585"/>
    <w:rsid w:val="00750ABD"/>
    <w:rsid w:val="00750BC1"/>
    <w:rsid w:val="00750F3B"/>
    <w:rsid w:val="00750FB4"/>
    <w:rsid w:val="00751125"/>
    <w:rsid w:val="007511D8"/>
    <w:rsid w:val="007514EB"/>
    <w:rsid w:val="007515BB"/>
    <w:rsid w:val="007516C7"/>
    <w:rsid w:val="00751873"/>
    <w:rsid w:val="00751883"/>
    <w:rsid w:val="00751C33"/>
    <w:rsid w:val="00751C6F"/>
    <w:rsid w:val="00751DBE"/>
    <w:rsid w:val="00751ECF"/>
    <w:rsid w:val="00751FEB"/>
    <w:rsid w:val="007520A1"/>
    <w:rsid w:val="0075213D"/>
    <w:rsid w:val="0075214C"/>
    <w:rsid w:val="0075288F"/>
    <w:rsid w:val="00752981"/>
    <w:rsid w:val="00752BBB"/>
    <w:rsid w:val="00752BF3"/>
    <w:rsid w:val="00752CFF"/>
    <w:rsid w:val="00752E09"/>
    <w:rsid w:val="00753034"/>
    <w:rsid w:val="00753058"/>
    <w:rsid w:val="0075305D"/>
    <w:rsid w:val="007532CF"/>
    <w:rsid w:val="0075343D"/>
    <w:rsid w:val="007535DD"/>
    <w:rsid w:val="007536DC"/>
    <w:rsid w:val="007537C6"/>
    <w:rsid w:val="00753847"/>
    <w:rsid w:val="00753AFE"/>
    <w:rsid w:val="00753B06"/>
    <w:rsid w:val="00753B0F"/>
    <w:rsid w:val="00753E98"/>
    <w:rsid w:val="00753EC2"/>
    <w:rsid w:val="00754020"/>
    <w:rsid w:val="0075403D"/>
    <w:rsid w:val="007540E4"/>
    <w:rsid w:val="0075426F"/>
    <w:rsid w:val="007544C9"/>
    <w:rsid w:val="007544CC"/>
    <w:rsid w:val="00754ADC"/>
    <w:rsid w:val="00754B78"/>
    <w:rsid w:val="00754B97"/>
    <w:rsid w:val="00754C93"/>
    <w:rsid w:val="00754F76"/>
    <w:rsid w:val="0075537B"/>
    <w:rsid w:val="0075542A"/>
    <w:rsid w:val="00755651"/>
    <w:rsid w:val="007556A4"/>
    <w:rsid w:val="007556C9"/>
    <w:rsid w:val="00755D25"/>
    <w:rsid w:val="00755EBE"/>
    <w:rsid w:val="00755F8B"/>
    <w:rsid w:val="00755F8C"/>
    <w:rsid w:val="007563FB"/>
    <w:rsid w:val="007564E4"/>
    <w:rsid w:val="0075654D"/>
    <w:rsid w:val="007565FC"/>
    <w:rsid w:val="0075675C"/>
    <w:rsid w:val="007567D2"/>
    <w:rsid w:val="00756EAD"/>
    <w:rsid w:val="00756F36"/>
    <w:rsid w:val="0075715E"/>
    <w:rsid w:val="0075718E"/>
    <w:rsid w:val="00757759"/>
    <w:rsid w:val="00757869"/>
    <w:rsid w:val="0075791C"/>
    <w:rsid w:val="00757989"/>
    <w:rsid w:val="007579AE"/>
    <w:rsid w:val="00757AF6"/>
    <w:rsid w:val="00757B26"/>
    <w:rsid w:val="00757B31"/>
    <w:rsid w:val="00757BB0"/>
    <w:rsid w:val="00757E0C"/>
    <w:rsid w:val="00757E66"/>
    <w:rsid w:val="0076001B"/>
    <w:rsid w:val="00760120"/>
    <w:rsid w:val="00760566"/>
    <w:rsid w:val="0076070F"/>
    <w:rsid w:val="007608D2"/>
    <w:rsid w:val="00760AEB"/>
    <w:rsid w:val="00760BB2"/>
    <w:rsid w:val="00760C4F"/>
    <w:rsid w:val="00760C66"/>
    <w:rsid w:val="00760D38"/>
    <w:rsid w:val="00760DC3"/>
    <w:rsid w:val="00761080"/>
    <w:rsid w:val="00761330"/>
    <w:rsid w:val="0076139D"/>
    <w:rsid w:val="0076148A"/>
    <w:rsid w:val="007614B6"/>
    <w:rsid w:val="0076187A"/>
    <w:rsid w:val="00761BC5"/>
    <w:rsid w:val="00761D39"/>
    <w:rsid w:val="00761EBC"/>
    <w:rsid w:val="007620D6"/>
    <w:rsid w:val="00762210"/>
    <w:rsid w:val="00762583"/>
    <w:rsid w:val="007625B8"/>
    <w:rsid w:val="00762815"/>
    <w:rsid w:val="0076294A"/>
    <w:rsid w:val="00762A6B"/>
    <w:rsid w:val="00762AEF"/>
    <w:rsid w:val="00762B63"/>
    <w:rsid w:val="00762CFC"/>
    <w:rsid w:val="00762D40"/>
    <w:rsid w:val="00762F21"/>
    <w:rsid w:val="00762F73"/>
    <w:rsid w:val="007631DB"/>
    <w:rsid w:val="00763465"/>
    <w:rsid w:val="007634E8"/>
    <w:rsid w:val="00763A5D"/>
    <w:rsid w:val="00763A6A"/>
    <w:rsid w:val="00763D4C"/>
    <w:rsid w:val="00763F2A"/>
    <w:rsid w:val="00763F54"/>
    <w:rsid w:val="00764023"/>
    <w:rsid w:val="0076406C"/>
    <w:rsid w:val="007647E8"/>
    <w:rsid w:val="0076490C"/>
    <w:rsid w:val="00764A21"/>
    <w:rsid w:val="00764B3A"/>
    <w:rsid w:val="00764B9F"/>
    <w:rsid w:val="00764BDB"/>
    <w:rsid w:val="00764C13"/>
    <w:rsid w:val="00764C56"/>
    <w:rsid w:val="00764D66"/>
    <w:rsid w:val="00764D87"/>
    <w:rsid w:val="00764D96"/>
    <w:rsid w:val="00764FD2"/>
    <w:rsid w:val="00765064"/>
    <w:rsid w:val="007654B8"/>
    <w:rsid w:val="007654FC"/>
    <w:rsid w:val="007655BB"/>
    <w:rsid w:val="00765968"/>
    <w:rsid w:val="00765C77"/>
    <w:rsid w:val="00765E20"/>
    <w:rsid w:val="00765E21"/>
    <w:rsid w:val="00765FB9"/>
    <w:rsid w:val="007661B7"/>
    <w:rsid w:val="00766276"/>
    <w:rsid w:val="00766280"/>
    <w:rsid w:val="007663A3"/>
    <w:rsid w:val="007663CE"/>
    <w:rsid w:val="0076642B"/>
    <w:rsid w:val="007666F4"/>
    <w:rsid w:val="00766B4E"/>
    <w:rsid w:val="00766C29"/>
    <w:rsid w:val="00766C80"/>
    <w:rsid w:val="00766F96"/>
    <w:rsid w:val="00767201"/>
    <w:rsid w:val="00767318"/>
    <w:rsid w:val="007673E4"/>
    <w:rsid w:val="007673F5"/>
    <w:rsid w:val="00767492"/>
    <w:rsid w:val="00767694"/>
    <w:rsid w:val="00767857"/>
    <w:rsid w:val="00767CEF"/>
    <w:rsid w:val="00767EC3"/>
    <w:rsid w:val="0077001F"/>
    <w:rsid w:val="00770081"/>
    <w:rsid w:val="007701C3"/>
    <w:rsid w:val="007702AF"/>
    <w:rsid w:val="00770369"/>
    <w:rsid w:val="00770413"/>
    <w:rsid w:val="00770644"/>
    <w:rsid w:val="007706F5"/>
    <w:rsid w:val="0077081F"/>
    <w:rsid w:val="00770851"/>
    <w:rsid w:val="0077091C"/>
    <w:rsid w:val="00770A12"/>
    <w:rsid w:val="00770ACE"/>
    <w:rsid w:val="00770E09"/>
    <w:rsid w:val="00770E5E"/>
    <w:rsid w:val="00770F03"/>
    <w:rsid w:val="00770F06"/>
    <w:rsid w:val="0077133E"/>
    <w:rsid w:val="00771434"/>
    <w:rsid w:val="007715FE"/>
    <w:rsid w:val="00771B4B"/>
    <w:rsid w:val="00771D39"/>
    <w:rsid w:val="00771DF8"/>
    <w:rsid w:val="00771E7A"/>
    <w:rsid w:val="007722AC"/>
    <w:rsid w:val="007722B0"/>
    <w:rsid w:val="00772366"/>
    <w:rsid w:val="00772641"/>
    <w:rsid w:val="00772754"/>
    <w:rsid w:val="0077275C"/>
    <w:rsid w:val="00772821"/>
    <w:rsid w:val="00772977"/>
    <w:rsid w:val="00772A69"/>
    <w:rsid w:val="00772B55"/>
    <w:rsid w:val="00772C7F"/>
    <w:rsid w:val="00772D4F"/>
    <w:rsid w:val="00772E18"/>
    <w:rsid w:val="0077301A"/>
    <w:rsid w:val="00773141"/>
    <w:rsid w:val="007732DF"/>
    <w:rsid w:val="0077344A"/>
    <w:rsid w:val="00773459"/>
    <w:rsid w:val="00773534"/>
    <w:rsid w:val="0077355A"/>
    <w:rsid w:val="007735AD"/>
    <w:rsid w:val="007736DD"/>
    <w:rsid w:val="007737B6"/>
    <w:rsid w:val="0077385B"/>
    <w:rsid w:val="00773FB4"/>
    <w:rsid w:val="007741C3"/>
    <w:rsid w:val="00774282"/>
    <w:rsid w:val="007744FE"/>
    <w:rsid w:val="007749FB"/>
    <w:rsid w:val="00774A30"/>
    <w:rsid w:val="00774D74"/>
    <w:rsid w:val="00775417"/>
    <w:rsid w:val="00775443"/>
    <w:rsid w:val="007754AB"/>
    <w:rsid w:val="007754C3"/>
    <w:rsid w:val="00775520"/>
    <w:rsid w:val="0077573A"/>
    <w:rsid w:val="00775A3B"/>
    <w:rsid w:val="00775CEA"/>
    <w:rsid w:val="00775DEA"/>
    <w:rsid w:val="00775FE7"/>
    <w:rsid w:val="007760EA"/>
    <w:rsid w:val="00776125"/>
    <w:rsid w:val="007763FC"/>
    <w:rsid w:val="007765A9"/>
    <w:rsid w:val="00776892"/>
    <w:rsid w:val="007768BA"/>
    <w:rsid w:val="0077694D"/>
    <w:rsid w:val="00776A19"/>
    <w:rsid w:val="00776D18"/>
    <w:rsid w:val="00777252"/>
    <w:rsid w:val="00777274"/>
    <w:rsid w:val="0077747F"/>
    <w:rsid w:val="00777552"/>
    <w:rsid w:val="00777677"/>
    <w:rsid w:val="0077771E"/>
    <w:rsid w:val="0077788D"/>
    <w:rsid w:val="0077793A"/>
    <w:rsid w:val="00777AE6"/>
    <w:rsid w:val="00777BF6"/>
    <w:rsid w:val="00777ED0"/>
    <w:rsid w:val="00777ED7"/>
    <w:rsid w:val="00777FA8"/>
    <w:rsid w:val="00777FFA"/>
    <w:rsid w:val="00780067"/>
    <w:rsid w:val="00780163"/>
    <w:rsid w:val="007801D8"/>
    <w:rsid w:val="0078030A"/>
    <w:rsid w:val="00780344"/>
    <w:rsid w:val="007809AD"/>
    <w:rsid w:val="00780A56"/>
    <w:rsid w:val="00780B8B"/>
    <w:rsid w:val="007810E7"/>
    <w:rsid w:val="00781193"/>
    <w:rsid w:val="0078124A"/>
    <w:rsid w:val="0078148C"/>
    <w:rsid w:val="00782233"/>
    <w:rsid w:val="0078234D"/>
    <w:rsid w:val="0078239C"/>
    <w:rsid w:val="007824B0"/>
    <w:rsid w:val="0078251B"/>
    <w:rsid w:val="0078253A"/>
    <w:rsid w:val="0078267C"/>
    <w:rsid w:val="007827B6"/>
    <w:rsid w:val="00782BC9"/>
    <w:rsid w:val="00782D0B"/>
    <w:rsid w:val="00782DD4"/>
    <w:rsid w:val="00782E7F"/>
    <w:rsid w:val="0078325F"/>
    <w:rsid w:val="0078355D"/>
    <w:rsid w:val="00783570"/>
    <w:rsid w:val="00783579"/>
    <w:rsid w:val="007836CB"/>
    <w:rsid w:val="00783A43"/>
    <w:rsid w:val="00783AFA"/>
    <w:rsid w:val="00783BEC"/>
    <w:rsid w:val="00783CB7"/>
    <w:rsid w:val="00783D99"/>
    <w:rsid w:val="00783E76"/>
    <w:rsid w:val="00783FDF"/>
    <w:rsid w:val="00783FE2"/>
    <w:rsid w:val="0078432C"/>
    <w:rsid w:val="0078434E"/>
    <w:rsid w:val="007847F7"/>
    <w:rsid w:val="00784888"/>
    <w:rsid w:val="00784980"/>
    <w:rsid w:val="007849FD"/>
    <w:rsid w:val="00784A0F"/>
    <w:rsid w:val="00784A75"/>
    <w:rsid w:val="00784B8D"/>
    <w:rsid w:val="00784E55"/>
    <w:rsid w:val="00784F5D"/>
    <w:rsid w:val="007851EF"/>
    <w:rsid w:val="00785257"/>
    <w:rsid w:val="007852CC"/>
    <w:rsid w:val="0078543F"/>
    <w:rsid w:val="00785761"/>
    <w:rsid w:val="00785806"/>
    <w:rsid w:val="00785832"/>
    <w:rsid w:val="0078587B"/>
    <w:rsid w:val="00785935"/>
    <w:rsid w:val="0078593A"/>
    <w:rsid w:val="00785BEB"/>
    <w:rsid w:val="00785C2C"/>
    <w:rsid w:val="00785F09"/>
    <w:rsid w:val="00785F43"/>
    <w:rsid w:val="0078616F"/>
    <w:rsid w:val="00786258"/>
    <w:rsid w:val="00786292"/>
    <w:rsid w:val="00786709"/>
    <w:rsid w:val="007867FF"/>
    <w:rsid w:val="007868A9"/>
    <w:rsid w:val="007868C8"/>
    <w:rsid w:val="00786A8F"/>
    <w:rsid w:val="00786AFC"/>
    <w:rsid w:val="0078710A"/>
    <w:rsid w:val="007872C0"/>
    <w:rsid w:val="0078763E"/>
    <w:rsid w:val="007876BF"/>
    <w:rsid w:val="00787709"/>
    <w:rsid w:val="00787793"/>
    <w:rsid w:val="0078786B"/>
    <w:rsid w:val="007878FA"/>
    <w:rsid w:val="00787A77"/>
    <w:rsid w:val="00787A87"/>
    <w:rsid w:val="00787BAC"/>
    <w:rsid w:val="00787C60"/>
    <w:rsid w:val="00787C6D"/>
    <w:rsid w:val="00787D50"/>
    <w:rsid w:val="00787DB7"/>
    <w:rsid w:val="00787EBE"/>
    <w:rsid w:val="00787F15"/>
    <w:rsid w:val="0079007F"/>
    <w:rsid w:val="0079060B"/>
    <w:rsid w:val="0079065B"/>
    <w:rsid w:val="0079073C"/>
    <w:rsid w:val="0079092C"/>
    <w:rsid w:val="00790946"/>
    <w:rsid w:val="00790B6E"/>
    <w:rsid w:val="00790C24"/>
    <w:rsid w:val="00790C70"/>
    <w:rsid w:val="00790CBE"/>
    <w:rsid w:val="00790F13"/>
    <w:rsid w:val="00790FA7"/>
    <w:rsid w:val="0079126F"/>
    <w:rsid w:val="007912AE"/>
    <w:rsid w:val="007915A6"/>
    <w:rsid w:val="00791783"/>
    <w:rsid w:val="0079180E"/>
    <w:rsid w:val="007918B2"/>
    <w:rsid w:val="007918B8"/>
    <w:rsid w:val="007919C8"/>
    <w:rsid w:val="00791B04"/>
    <w:rsid w:val="00791EAE"/>
    <w:rsid w:val="00791FDA"/>
    <w:rsid w:val="00792110"/>
    <w:rsid w:val="00792143"/>
    <w:rsid w:val="0079242A"/>
    <w:rsid w:val="0079262D"/>
    <w:rsid w:val="00792675"/>
    <w:rsid w:val="007926CF"/>
    <w:rsid w:val="00792B9C"/>
    <w:rsid w:val="00792D50"/>
    <w:rsid w:val="00792F4E"/>
    <w:rsid w:val="0079335A"/>
    <w:rsid w:val="0079336C"/>
    <w:rsid w:val="00793397"/>
    <w:rsid w:val="00793797"/>
    <w:rsid w:val="007937A0"/>
    <w:rsid w:val="00793802"/>
    <w:rsid w:val="00793B5D"/>
    <w:rsid w:val="00793BE0"/>
    <w:rsid w:val="00793CEF"/>
    <w:rsid w:val="00793DA7"/>
    <w:rsid w:val="00793E36"/>
    <w:rsid w:val="00793EDB"/>
    <w:rsid w:val="00793EDF"/>
    <w:rsid w:val="007940BD"/>
    <w:rsid w:val="007941DC"/>
    <w:rsid w:val="0079434D"/>
    <w:rsid w:val="007944A5"/>
    <w:rsid w:val="00794592"/>
    <w:rsid w:val="007945B4"/>
    <w:rsid w:val="00794A9D"/>
    <w:rsid w:val="00794B03"/>
    <w:rsid w:val="00794B2F"/>
    <w:rsid w:val="00795449"/>
    <w:rsid w:val="0079545F"/>
    <w:rsid w:val="00795477"/>
    <w:rsid w:val="00795624"/>
    <w:rsid w:val="0079574E"/>
    <w:rsid w:val="007959CD"/>
    <w:rsid w:val="007959DA"/>
    <w:rsid w:val="00795B79"/>
    <w:rsid w:val="00795C5F"/>
    <w:rsid w:val="00795C6E"/>
    <w:rsid w:val="00795CC8"/>
    <w:rsid w:val="00795F88"/>
    <w:rsid w:val="00795FF6"/>
    <w:rsid w:val="0079602D"/>
    <w:rsid w:val="0079620F"/>
    <w:rsid w:val="00796549"/>
    <w:rsid w:val="00796619"/>
    <w:rsid w:val="00796AE7"/>
    <w:rsid w:val="007971AD"/>
    <w:rsid w:val="0079752A"/>
    <w:rsid w:val="00797593"/>
    <w:rsid w:val="007976F8"/>
    <w:rsid w:val="0079778C"/>
    <w:rsid w:val="007977EB"/>
    <w:rsid w:val="00797887"/>
    <w:rsid w:val="007979AB"/>
    <w:rsid w:val="007979EC"/>
    <w:rsid w:val="00797E67"/>
    <w:rsid w:val="007A022B"/>
    <w:rsid w:val="007A02F5"/>
    <w:rsid w:val="007A0337"/>
    <w:rsid w:val="007A0543"/>
    <w:rsid w:val="007A093B"/>
    <w:rsid w:val="007A0C10"/>
    <w:rsid w:val="007A0D18"/>
    <w:rsid w:val="007A0DD8"/>
    <w:rsid w:val="007A1075"/>
    <w:rsid w:val="007A139F"/>
    <w:rsid w:val="007A13AB"/>
    <w:rsid w:val="007A13BC"/>
    <w:rsid w:val="007A1482"/>
    <w:rsid w:val="007A1494"/>
    <w:rsid w:val="007A189A"/>
    <w:rsid w:val="007A18DE"/>
    <w:rsid w:val="007A1A22"/>
    <w:rsid w:val="007A1A2A"/>
    <w:rsid w:val="007A1C80"/>
    <w:rsid w:val="007A1DA3"/>
    <w:rsid w:val="007A1FD9"/>
    <w:rsid w:val="007A21ED"/>
    <w:rsid w:val="007A21F2"/>
    <w:rsid w:val="007A222C"/>
    <w:rsid w:val="007A23A2"/>
    <w:rsid w:val="007A248D"/>
    <w:rsid w:val="007A2704"/>
    <w:rsid w:val="007A2726"/>
    <w:rsid w:val="007A2BCC"/>
    <w:rsid w:val="007A2C3E"/>
    <w:rsid w:val="007A2EE1"/>
    <w:rsid w:val="007A3035"/>
    <w:rsid w:val="007A3080"/>
    <w:rsid w:val="007A3085"/>
    <w:rsid w:val="007A31DD"/>
    <w:rsid w:val="007A336E"/>
    <w:rsid w:val="007A3373"/>
    <w:rsid w:val="007A3668"/>
    <w:rsid w:val="007A36EA"/>
    <w:rsid w:val="007A37F5"/>
    <w:rsid w:val="007A393D"/>
    <w:rsid w:val="007A3C0E"/>
    <w:rsid w:val="007A3F8F"/>
    <w:rsid w:val="007A41CE"/>
    <w:rsid w:val="007A4224"/>
    <w:rsid w:val="007A4254"/>
    <w:rsid w:val="007A431A"/>
    <w:rsid w:val="007A46F4"/>
    <w:rsid w:val="007A4725"/>
    <w:rsid w:val="007A482D"/>
    <w:rsid w:val="007A498C"/>
    <w:rsid w:val="007A4B6A"/>
    <w:rsid w:val="007A4EA9"/>
    <w:rsid w:val="007A5069"/>
    <w:rsid w:val="007A5173"/>
    <w:rsid w:val="007A5390"/>
    <w:rsid w:val="007A53DB"/>
    <w:rsid w:val="007A5480"/>
    <w:rsid w:val="007A548A"/>
    <w:rsid w:val="007A58D4"/>
    <w:rsid w:val="007A5971"/>
    <w:rsid w:val="007A59E9"/>
    <w:rsid w:val="007A5B6B"/>
    <w:rsid w:val="007A5C0E"/>
    <w:rsid w:val="007A5C94"/>
    <w:rsid w:val="007A5CCA"/>
    <w:rsid w:val="007A5D01"/>
    <w:rsid w:val="007A5D38"/>
    <w:rsid w:val="007A5D74"/>
    <w:rsid w:val="007A5E21"/>
    <w:rsid w:val="007A5F4B"/>
    <w:rsid w:val="007A607E"/>
    <w:rsid w:val="007A6082"/>
    <w:rsid w:val="007A60D0"/>
    <w:rsid w:val="007A6143"/>
    <w:rsid w:val="007A6184"/>
    <w:rsid w:val="007A6255"/>
    <w:rsid w:val="007A6294"/>
    <w:rsid w:val="007A630D"/>
    <w:rsid w:val="007A65E5"/>
    <w:rsid w:val="007A677D"/>
    <w:rsid w:val="007A681A"/>
    <w:rsid w:val="007A69F7"/>
    <w:rsid w:val="007A6B8D"/>
    <w:rsid w:val="007A72B8"/>
    <w:rsid w:val="007A757B"/>
    <w:rsid w:val="007A7788"/>
    <w:rsid w:val="007A7867"/>
    <w:rsid w:val="007A78DA"/>
    <w:rsid w:val="007A7AD3"/>
    <w:rsid w:val="007A7DC5"/>
    <w:rsid w:val="007B009B"/>
    <w:rsid w:val="007B03A6"/>
    <w:rsid w:val="007B04BD"/>
    <w:rsid w:val="007B06F6"/>
    <w:rsid w:val="007B0AE1"/>
    <w:rsid w:val="007B0E34"/>
    <w:rsid w:val="007B109D"/>
    <w:rsid w:val="007B11E0"/>
    <w:rsid w:val="007B1227"/>
    <w:rsid w:val="007B12BE"/>
    <w:rsid w:val="007B13AB"/>
    <w:rsid w:val="007B1468"/>
    <w:rsid w:val="007B191A"/>
    <w:rsid w:val="007B1C2C"/>
    <w:rsid w:val="007B2002"/>
    <w:rsid w:val="007B214F"/>
    <w:rsid w:val="007B2598"/>
    <w:rsid w:val="007B2B19"/>
    <w:rsid w:val="007B2B71"/>
    <w:rsid w:val="007B2D68"/>
    <w:rsid w:val="007B2EA8"/>
    <w:rsid w:val="007B304F"/>
    <w:rsid w:val="007B30FB"/>
    <w:rsid w:val="007B310B"/>
    <w:rsid w:val="007B341A"/>
    <w:rsid w:val="007B356E"/>
    <w:rsid w:val="007B35DF"/>
    <w:rsid w:val="007B38F4"/>
    <w:rsid w:val="007B3A50"/>
    <w:rsid w:val="007B3AD8"/>
    <w:rsid w:val="007B3AF4"/>
    <w:rsid w:val="007B3C6E"/>
    <w:rsid w:val="007B3CDE"/>
    <w:rsid w:val="007B3E10"/>
    <w:rsid w:val="007B3E3D"/>
    <w:rsid w:val="007B3EC1"/>
    <w:rsid w:val="007B3F3A"/>
    <w:rsid w:val="007B4237"/>
    <w:rsid w:val="007B4259"/>
    <w:rsid w:val="007B42D7"/>
    <w:rsid w:val="007B4414"/>
    <w:rsid w:val="007B4635"/>
    <w:rsid w:val="007B46A1"/>
    <w:rsid w:val="007B4837"/>
    <w:rsid w:val="007B497A"/>
    <w:rsid w:val="007B4C55"/>
    <w:rsid w:val="007B5124"/>
    <w:rsid w:val="007B5197"/>
    <w:rsid w:val="007B53FC"/>
    <w:rsid w:val="007B540A"/>
    <w:rsid w:val="007B548D"/>
    <w:rsid w:val="007B54ED"/>
    <w:rsid w:val="007B5747"/>
    <w:rsid w:val="007B5835"/>
    <w:rsid w:val="007B58C6"/>
    <w:rsid w:val="007B5C72"/>
    <w:rsid w:val="007B5D46"/>
    <w:rsid w:val="007B5DC6"/>
    <w:rsid w:val="007B5FA9"/>
    <w:rsid w:val="007B6087"/>
    <w:rsid w:val="007B6096"/>
    <w:rsid w:val="007B613D"/>
    <w:rsid w:val="007B64DC"/>
    <w:rsid w:val="007B652D"/>
    <w:rsid w:val="007B6644"/>
    <w:rsid w:val="007B67E3"/>
    <w:rsid w:val="007B6B34"/>
    <w:rsid w:val="007B6CEA"/>
    <w:rsid w:val="007B6FC7"/>
    <w:rsid w:val="007B710E"/>
    <w:rsid w:val="007B73B2"/>
    <w:rsid w:val="007B7469"/>
    <w:rsid w:val="007B775A"/>
    <w:rsid w:val="007B7923"/>
    <w:rsid w:val="007B7AE3"/>
    <w:rsid w:val="007B7B61"/>
    <w:rsid w:val="007B7F13"/>
    <w:rsid w:val="007C004E"/>
    <w:rsid w:val="007C0699"/>
    <w:rsid w:val="007C071D"/>
    <w:rsid w:val="007C090C"/>
    <w:rsid w:val="007C0DBC"/>
    <w:rsid w:val="007C10A7"/>
    <w:rsid w:val="007C12CB"/>
    <w:rsid w:val="007C132E"/>
    <w:rsid w:val="007C138D"/>
    <w:rsid w:val="007C1444"/>
    <w:rsid w:val="007C1582"/>
    <w:rsid w:val="007C15D3"/>
    <w:rsid w:val="007C180E"/>
    <w:rsid w:val="007C1AF7"/>
    <w:rsid w:val="007C1BFF"/>
    <w:rsid w:val="007C1C6C"/>
    <w:rsid w:val="007C1C9C"/>
    <w:rsid w:val="007C1FD0"/>
    <w:rsid w:val="007C212D"/>
    <w:rsid w:val="007C213D"/>
    <w:rsid w:val="007C21A7"/>
    <w:rsid w:val="007C263C"/>
    <w:rsid w:val="007C2710"/>
    <w:rsid w:val="007C2812"/>
    <w:rsid w:val="007C2968"/>
    <w:rsid w:val="007C29E8"/>
    <w:rsid w:val="007C2BDA"/>
    <w:rsid w:val="007C2BF9"/>
    <w:rsid w:val="007C2E1C"/>
    <w:rsid w:val="007C2F3E"/>
    <w:rsid w:val="007C3143"/>
    <w:rsid w:val="007C31E3"/>
    <w:rsid w:val="007C323A"/>
    <w:rsid w:val="007C32E9"/>
    <w:rsid w:val="007C347A"/>
    <w:rsid w:val="007C37F4"/>
    <w:rsid w:val="007C3A73"/>
    <w:rsid w:val="007C3E89"/>
    <w:rsid w:val="007C3F9B"/>
    <w:rsid w:val="007C4207"/>
    <w:rsid w:val="007C44B3"/>
    <w:rsid w:val="007C456B"/>
    <w:rsid w:val="007C4596"/>
    <w:rsid w:val="007C4966"/>
    <w:rsid w:val="007C4A55"/>
    <w:rsid w:val="007C4E60"/>
    <w:rsid w:val="007C4F63"/>
    <w:rsid w:val="007C50FD"/>
    <w:rsid w:val="007C51E8"/>
    <w:rsid w:val="007C53E0"/>
    <w:rsid w:val="007C5412"/>
    <w:rsid w:val="007C5536"/>
    <w:rsid w:val="007C55FB"/>
    <w:rsid w:val="007C58F5"/>
    <w:rsid w:val="007C5F74"/>
    <w:rsid w:val="007C603A"/>
    <w:rsid w:val="007C6083"/>
    <w:rsid w:val="007C60CA"/>
    <w:rsid w:val="007C61F1"/>
    <w:rsid w:val="007C6388"/>
    <w:rsid w:val="007C638A"/>
    <w:rsid w:val="007C666E"/>
    <w:rsid w:val="007C68B2"/>
    <w:rsid w:val="007C6962"/>
    <w:rsid w:val="007C69B5"/>
    <w:rsid w:val="007C6A4A"/>
    <w:rsid w:val="007C6B2A"/>
    <w:rsid w:val="007C6E55"/>
    <w:rsid w:val="007C6F71"/>
    <w:rsid w:val="007C723D"/>
    <w:rsid w:val="007C7620"/>
    <w:rsid w:val="007C76D2"/>
    <w:rsid w:val="007C76EC"/>
    <w:rsid w:val="007C7757"/>
    <w:rsid w:val="007C7779"/>
    <w:rsid w:val="007C77C8"/>
    <w:rsid w:val="007C79B6"/>
    <w:rsid w:val="007C7A0A"/>
    <w:rsid w:val="007C7A8D"/>
    <w:rsid w:val="007C7A95"/>
    <w:rsid w:val="007C7BF1"/>
    <w:rsid w:val="007C7CE1"/>
    <w:rsid w:val="007C7DD3"/>
    <w:rsid w:val="007C7E33"/>
    <w:rsid w:val="007D03C5"/>
    <w:rsid w:val="007D047E"/>
    <w:rsid w:val="007D04E9"/>
    <w:rsid w:val="007D0512"/>
    <w:rsid w:val="007D06A7"/>
    <w:rsid w:val="007D09B7"/>
    <w:rsid w:val="007D09DE"/>
    <w:rsid w:val="007D0A23"/>
    <w:rsid w:val="007D0BAF"/>
    <w:rsid w:val="007D0F30"/>
    <w:rsid w:val="007D0F42"/>
    <w:rsid w:val="007D0F98"/>
    <w:rsid w:val="007D125A"/>
    <w:rsid w:val="007D12C6"/>
    <w:rsid w:val="007D13B3"/>
    <w:rsid w:val="007D160D"/>
    <w:rsid w:val="007D163E"/>
    <w:rsid w:val="007D1A54"/>
    <w:rsid w:val="007D1B40"/>
    <w:rsid w:val="007D1F96"/>
    <w:rsid w:val="007D212F"/>
    <w:rsid w:val="007D2856"/>
    <w:rsid w:val="007D2B8A"/>
    <w:rsid w:val="007D2C73"/>
    <w:rsid w:val="007D2E2D"/>
    <w:rsid w:val="007D301E"/>
    <w:rsid w:val="007D3180"/>
    <w:rsid w:val="007D35A3"/>
    <w:rsid w:val="007D3A29"/>
    <w:rsid w:val="007D3A96"/>
    <w:rsid w:val="007D3C34"/>
    <w:rsid w:val="007D3E09"/>
    <w:rsid w:val="007D3FDE"/>
    <w:rsid w:val="007D40F5"/>
    <w:rsid w:val="007D436C"/>
    <w:rsid w:val="007D43DE"/>
    <w:rsid w:val="007D4498"/>
    <w:rsid w:val="007D4577"/>
    <w:rsid w:val="007D4692"/>
    <w:rsid w:val="007D46C8"/>
    <w:rsid w:val="007D4712"/>
    <w:rsid w:val="007D48D7"/>
    <w:rsid w:val="007D4A46"/>
    <w:rsid w:val="007D4AAF"/>
    <w:rsid w:val="007D56D2"/>
    <w:rsid w:val="007D5884"/>
    <w:rsid w:val="007D594A"/>
    <w:rsid w:val="007D596A"/>
    <w:rsid w:val="007D5E24"/>
    <w:rsid w:val="007D5FC5"/>
    <w:rsid w:val="007D61FC"/>
    <w:rsid w:val="007D6257"/>
    <w:rsid w:val="007D6451"/>
    <w:rsid w:val="007D66CC"/>
    <w:rsid w:val="007D684B"/>
    <w:rsid w:val="007D6A99"/>
    <w:rsid w:val="007D6B2E"/>
    <w:rsid w:val="007D6BF8"/>
    <w:rsid w:val="007D6D36"/>
    <w:rsid w:val="007D701D"/>
    <w:rsid w:val="007D70F8"/>
    <w:rsid w:val="007D713F"/>
    <w:rsid w:val="007D7162"/>
    <w:rsid w:val="007D7174"/>
    <w:rsid w:val="007D71CA"/>
    <w:rsid w:val="007D7261"/>
    <w:rsid w:val="007D72AA"/>
    <w:rsid w:val="007D7830"/>
    <w:rsid w:val="007D78A1"/>
    <w:rsid w:val="007D793B"/>
    <w:rsid w:val="007D7BDC"/>
    <w:rsid w:val="007D7EDF"/>
    <w:rsid w:val="007E0021"/>
    <w:rsid w:val="007E031F"/>
    <w:rsid w:val="007E051C"/>
    <w:rsid w:val="007E076D"/>
    <w:rsid w:val="007E0C77"/>
    <w:rsid w:val="007E0DE1"/>
    <w:rsid w:val="007E0E36"/>
    <w:rsid w:val="007E0EC7"/>
    <w:rsid w:val="007E0F32"/>
    <w:rsid w:val="007E0F59"/>
    <w:rsid w:val="007E1103"/>
    <w:rsid w:val="007E117E"/>
    <w:rsid w:val="007E1216"/>
    <w:rsid w:val="007E1282"/>
    <w:rsid w:val="007E1553"/>
    <w:rsid w:val="007E16C4"/>
    <w:rsid w:val="007E1924"/>
    <w:rsid w:val="007E1A95"/>
    <w:rsid w:val="007E1B8B"/>
    <w:rsid w:val="007E1C74"/>
    <w:rsid w:val="007E1DB5"/>
    <w:rsid w:val="007E1DBE"/>
    <w:rsid w:val="007E1E8F"/>
    <w:rsid w:val="007E1EEA"/>
    <w:rsid w:val="007E20DA"/>
    <w:rsid w:val="007E21CE"/>
    <w:rsid w:val="007E251F"/>
    <w:rsid w:val="007E26BC"/>
    <w:rsid w:val="007E2703"/>
    <w:rsid w:val="007E276F"/>
    <w:rsid w:val="007E2928"/>
    <w:rsid w:val="007E2956"/>
    <w:rsid w:val="007E29E4"/>
    <w:rsid w:val="007E2AF3"/>
    <w:rsid w:val="007E2BBE"/>
    <w:rsid w:val="007E2BD9"/>
    <w:rsid w:val="007E2C07"/>
    <w:rsid w:val="007E2DFD"/>
    <w:rsid w:val="007E2E42"/>
    <w:rsid w:val="007E3277"/>
    <w:rsid w:val="007E3348"/>
    <w:rsid w:val="007E3395"/>
    <w:rsid w:val="007E36F1"/>
    <w:rsid w:val="007E3801"/>
    <w:rsid w:val="007E3892"/>
    <w:rsid w:val="007E3927"/>
    <w:rsid w:val="007E3B99"/>
    <w:rsid w:val="007E3CD1"/>
    <w:rsid w:val="007E41D6"/>
    <w:rsid w:val="007E4409"/>
    <w:rsid w:val="007E456A"/>
    <w:rsid w:val="007E45F0"/>
    <w:rsid w:val="007E4650"/>
    <w:rsid w:val="007E46D1"/>
    <w:rsid w:val="007E489D"/>
    <w:rsid w:val="007E49D8"/>
    <w:rsid w:val="007E49E1"/>
    <w:rsid w:val="007E4B94"/>
    <w:rsid w:val="007E4E88"/>
    <w:rsid w:val="007E4E8C"/>
    <w:rsid w:val="007E4F52"/>
    <w:rsid w:val="007E4F96"/>
    <w:rsid w:val="007E4FBF"/>
    <w:rsid w:val="007E5044"/>
    <w:rsid w:val="007E50AB"/>
    <w:rsid w:val="007E5398"/>
    <w:rsid w:val="007E5471"/>
    <w:rsid w:val="007E568D"/>
    <w:rsid w:val="007E584F"/>
    <w:rsid w:val="007E593C"/>
    <w:rsid w:val="007E59E4"/>
    <w:rsid w:val="007E5C06"/>
    <w:rsid w:val="007E5F3D"/>
    <w:rsid w:val="007E623C"/>
    <w:rsid w:val="007E637B"/>
    <w:rsid w:val="007E6740"/>
    <w:rsid w:val="007E6772"/>
    <w:rsid w:val="007E6810"/>
    <w:rsid w:val="007E69F0"/>
    <w:rsid w:val="007E6B5E"/>
    <w:rsid w:val="007E6B94"/>
    <w:rsid w:val="007E6FA5"/>
    <w:rsid w:val="007E709B"/>
    <w:rsid w:val="007E7571"/>
    <w:rsid w:val="007E75A9"/>
    <w:rsid w:val="007E75B8"/>
    <w:rsid w:val="007E79D3"/>
    <w:rsid w:val="007E7D3B"/>
    <w:rsid w:val="007E7E02"/>
    <w:rsid w:val="007F05E1"/>
    <w:rsid w:val="007F0693"/>
    <w:rsid w:val="007F0777"/>
    <w:rsid w:val="007F08D4"/>
    <w:rsid w:val="007F09BB"/>
    <w:rsid w:val="007F0CE5"/>
    <w:rsid w:val="007F0D08"/>
    <w:rsid w:val="007F0EC6"/>
    <w:rsid w:val="007F0EF4"/>
    <w:rsid w:val="007F0F18"/>
    <w:rsid w:val="007F1115"/>
    <w:rsid w:val="007F12E2"/>
    <w:rsid w:val="007F12EA"/>
    <w:rsid w:val="007F1586"/>
    <w:rsid w:val="007F1618"/>
    <w:rsid w:val="007F1797"/>
    <w:rsid w:val="007F199B"/>
    <w:rsid w:val="007F1A68"/>
    <w:rsid w:val="007F1DDA"/>
    <w:rsid w:val="007F1E56"/>
    <w:rsid w:val="007F1FC2"/>
    <w:rsid w:val="007F2007"/>
    <w:rsid w:val="007F211E"/>
    <w:rsid w:val="007F2205"/>
    <w:rsid w:val="007F2764"/>
    <w:rsid w:val="007F286F"/>
    <w:rsid w:val="007F2B45"/>
    <w:rsid w:val="007F2B63"/>
    <w:rsid w:val="007F2D23"/>
    <w:rsid w:val="007F2EB6"/>
    <w:rsid w:val="007F3114"/>
    <w:rsid w:val="007F333B"/>
    <w:rsid w:val="007F34D0"/>
    <w:rsid w:val="007F364E"/>
    <w:rsid w:val="007F39C2"/>
    <w:rsid w:val="007F3A7A"/>
    <w:rsid w:val="007F3A96"/>
    <w:rsid w:val="007F3FC9"/>
    <w:rsid w:val="007F4086"/>
    <w:rsid w:val="007F4266"/>
    <w:rsid w:val="007F42E4"/>
    <w:rsid w:val="007F4571"/>
    <w:rsid w:val="007F4A32"/>
    <w:rsid w:val="007F4BE4"/>
    <w:rsid w:val="007F4C65"/>
    <w:rsid w:val="007F4D29"/>
    <w:rsid w:val="007F5165"/>
    <w:rsid w:val="007F51AB"/>
    <w:rsid w:val="007F51B5"/>
    <w:rsid w:val="007F53AA"/>
    <w:rsid w:val="007F559F"/>
    <w:rsid w:val="007F58FF"/>
    <w:rsid w:val="007F5B26"/>
    <w:rsid w:val="007F5E2A"/>
    <w:rsid w:val="007F5E86"/>
    <w:rsid w:val="007F5EB5"/>
    <w:rsid w:val="007F622D"/>
    <w:rsid w:val="007F624F"/>
    <w:rsid w:val="007F63A8"/>
    <w:rsid w:val="007F6834"/>
    <w:rsid w:val="007F68A1"/>
    <w:rsid w:val="007F6906"/>
    <w:rsid w:val="007F6B25"/>
    <w:rsid w:val="007F6D71"/>
    <w:rsid w:val="007F6E68"/>
    <w:rsid w:val="007F6F57"/>
    <w:rsid w:val="007F6FF9"/>
    <w:rsid w:val="007F702A"/>
    <w:rsid w:val="007F71AF"/>
    <w:rsid w:val="007F7237"/>
    <w:rsid w:val="007F7266"/>
    <w:rsid w:val="007F72BA"/>
    <w:rsid w:val="007F72D8"/>
    <w:rsid w:val="007F736C"/>
    <w:rsid w:val="007F739B"/>
    <w:rsid w:val="007F74AF"/>
    <w:rsid w:val="007F76EA"/>
    <w:rsid w:val="007F783B"/>
    <w:rsid w:val="007F7B59"/>
    <w:rsid w:val="007F7E40"/>
    <w:rsid w:val="0080020F"/>
    <w:rsid w:val="0080026E"/>
    <w:rsid w:val="0080055C"/>
    <w:rsid w:val="008006E3"/>
    <w:rsid w:val="00800DB9"/>
    <w:rsid w:val="00800FB8"/>
    <w:rsid w:val="00801080"/>
    <w:rsid w:val="008013E7"/>
    <w:rsid w:val="00801454"/>
    <w:rsid w:val="008016BB"/>
    <w:rsid w:val="00801AE3"/>
    <w:rsid w:val="00801BED"/>
    <w:rsid w:val="00801E44"/>
    <w:rsid w:val="008022FA"/>
    <w:rsid w:val="0080296D"/>
    <w:rsid w:val="00802ACD"/>
    <w:rsid w:val="00802B25"/>
    <w:rsid w:val="00802C1D"/>
    <w:rsid w:val="00802DCB"/>
    <w:rsid w:val="00802EDE"/>
    <w:rsid w:val="00803014"/>
    <w:rsid w:val="00803027"/>
    <w:rsid w:val="008030D1"/>
    <w:rsid w:val="0080310D"/>
    <w:rsid w:val="0080355B"/>
    <w:rsid w:val="008035CC"/>
    <w:rsid w:val="008036C0"/>
    <w:rsid w:val="0080376F"/>
    <w:rsid w:val="008037B6"/>
    <w:rsid w:val="008038E0"/>
    <w:rsid w:val="00803CFE"/>
    <w:rsid w:val="00803EA0"/>
    <w:rsid w:val="00804069"/>
    <w:rsid w:val="008041FB"/>
    <w:rsid w:val="00804381"/>
    <w:rsid w:val="008044FA"/>
    <w:rsid w:val="00804743"/>
    <w:rsid w:val="00804959"/>
    <w:rsid w:val="00804C76"/>
    <w:rsid w:val="00804CE9"/>
    <w:rsid w:val="00804F08"/>
    <w:rsid w:val="0080529A"/>
    <w:rsid w:val="008058C4"/>
    <w:rsid w:val="008058FC"/>
    <w:rsid w:val="00805A44"/>
    <w:rsid w:val="00805B7C"/>
    <w:rsid w:val="00805B93"/>
    <w:rsid w:val="00805C5A"/>
    <w:rsid w:val="00805C60"/>
    <w:rsid w:val="00806190"/>
    <w:rsid w:val="00806323"/>
    <w:rsid w:val="00806384"/>
    <w:rsid w:val="00806486"/>
    <w:rsid w:val="00806495"/>
    <w:rsid w:val="00806499"/>
    <w:rsid w:val="00806512"/>
    <w:rsid w:val="0080663A"/>
    <w:rsid w:val="00806890"/>
    <w:rsid w:val="00806A3B"/>
    <w:rsid w:val="00806AE7"/>
    <w:rsid w:val="00806C3B"/>
    <w:rsid w:val="00806C6D"/>
    <w:rsid w:val="00806E8C"/>
    <w:rsid w:val="0080745A"/>
    <w:rsid w:val="008074C4"/>
    <w:rsid w:val="00807562"/>
    <w:rsid w:val="00807647"/>
    <w:rsid w:val="0080780F"/>
    <w:rsid w:val="00807B5C"/>
    <w:rsid w:val="00807B91"/>
    <w:rsid w:val="00807CBB"/>
    <w:rsid w:val="00807DC6"/>
    <w:rsid w:val="00807E03"/>
    <w:rsid w:val="0081014D"/>
    <w:rsid w:val="0081018B"/>
    <w:rsid w:val="008103AA"/>
    <w:rsid w:val="00810419"/>
    <w:rsid w:val="0081051A"/>
    <w:rsid w:val="00810696"/>
    <w:rsid w:val="0081084F"/>
    <w:rsid w:val="0081087A"/>
    <w:rsid w:val="008108AC"/>
    <w:rsid w:val="00810EF4"/>
    <w:rsid w:val="00810F35"/>
    <w:rsid w:val="0081117C"/>
    <w:rsid w:val="008111AB"/>
    <w:rsid w:val="008111CF"/>
    <w:rsid w:val="00811211"/>
    <w:rsid w:val="008112DB"/>
    <w:rsid w:val="0081137D"/>
    <w:rsid w:val="008114CD"/>
    <w:rsid w:val="008114EE"/>
    <w:rsid w:val="00811511"/>
    <w:rsid w:val="0081167C"/>
    <w:rsid w:val="0081185F"/>
    <w:rsid w:val="00811907"/>
    <w:rsid w:val="00811AD7"/>
    <w:rsid w:val="00811BEF"/>
    <w:rsid w:val="00811C30"/>
    <w:rsid w:val="00811C41"/>
    <w:rsid w:val="00811C85"/>
    <w:rsid w:val="00811CB0"/>
    <w:rsid w:val="0081203F"/>
    <w:rsid w:val="00812096"/>
    <w:rsid w:val="00812306"/>
    <w:rsid w:val="0081253A"/>
    <w:rsid w:val="00812620"/>
    <w:rsid w:val="008126B4"/>
    <w:rsid w:val="008127AA"/>
    <w:rsid w:val="008127B4"/>
    <w:rsid w:val="00812951"/>
    <w:rsid w:val="00812D4F"/>
    <w:rsid w:val="00812DF3"/>
    <w:rsid w:val="0081339F"/>
    <w:rsid w:val="008135B9"/>
    <w:rsid w:val="00813DE6"/>
    <w:rsid w:val="00813EB5"/>
    <w:rsid w:val="00813FDD"/>
    <w:rsid w:val="0081425B"/>
    <w:rsid w:val="008142A7"/>
    <w:rsid w:val="008142FF"/>
    <w:rsid w:val="0081437C"/>
    <w:rsid w:val="008147DC"/>
    <w:rsid w:val="008147F2"/>
    <w:rsid w:val="00814AD3"/>
    <w:rsid w:val="00814B11"/>
    <w:rsid w:val="00814B57"/>
    <w:rsid w:val="00814C69"/>
    <w:rsid w:val="00814CE8"/>
    <w:rsid w:val="00814D10"/>
    <w:rsid w:val="00814F2D"/>
    <w:rsid w:val="00814F59"/>
    <w:rsid w:val="00814F9F"/>
    <w:rsid w:val="008151AA"/>
    <w:rsid w:val="00815474"/>
    <w:rsid w:val="00815663"/>
    <w:rsid w:val="00815792"/>
    <w:rsid w:val="0081583E"/>
    <w:rsid w:val="008158E2"/>
    <w:rsid w:val="008158EE"/>
    <w:rsid w:val="00815912"/>
    <w:rsid w:val="00815D01"/>
    <w:rsid w:val="00815E3E"/>
    <w:rsid w:val="00815E44"/>
    <w:rsid w:val="00816201"/>
    <w:rsid w:val="00816B36"/>
    <w:rsid w:val="00816E21"/>
    <w:rsid w:val="00816F07"/>
    <w:rsid w:val="00816F63"/>
    <w:rsid w:val="0081727F"/>
    <w:rsid w:val="00817733"/>
    <w:rsid w:val="00817A96"/>
    <w:rsid w:val="00817B1D"/>
    <w:rsid w:val="00817BF2"/>
    <w:rsid w:val="00820035"/>
    <w:rsid w:val="0082012D"/>
    <w:rsid w:val="0082016B"/>
    <w:rsid w:val="008202B0"/>
    <w:rsid w:val="008202DD"/>
    <w:rsid w:val="008202DE"/>
    <w:rsid w:val="008205DB"/>
    <w:rsid w:val="008206C0"/>
    <w:rsid w:val="00820707"/>
    <w:rsid w:val="00820B66"/>
    <w:rsid w:val="00820C18"/>
    <w:rsid w:val="00820C99"/>
    <w:rsid w:val="00820CA0"/>
    <w:rsid w:val="00820F09"/>
    <w:rsid w:val="00820FBF"/>
    <w:rsid w:val="008210C7"/>
    <w:rsid w:val="0082113C"/>
    <w:rsid w:val="00821261"/>
    <w:rsid w:val="008212F8"/>
    <w:rsid w:val="00821497"/>
    <w:rsid w:val="008215A8"/>
    <w:rsid w:val="008215F5"/>
    <w:rsid w:val="00821709"/>
    <w:rsid w:val="008218D2"/>
    <w:rsid w:val="00821B1E"/>
    <w:rsid w:val="00821B75"/>
    <w:rsid w:val="00821CD2"/>
    <w:rsid w:val="00821D9C"/>
    <w:rsid w:val="0082212A"/>
    <w:rsid w:val="008222FA"/>
    <w:rsid w:val="008224BC"/>
    <w:rsid w:val="008224C5"/>
    <w:rsid w:val="008224E4"/>
    <w:rsid w:val="0082269A"/>
    <w:rsid w:val="008226A7"/>
    <w:rsid w:val="008226F8"/>
    <w:rsid w:val="0082273B"/>
    <w:rsid w:val="0082275C"/>
    <w:rsid w:val="008227A2"/>
    <w:rsid w:val="008229A8"/>
    <w:rsid w:val="008229CD"/>
    <w:rsid w:val="00822BE4"/>
    <w:rsid w:val="00822D10"/>
    <w:rsid w:val="00823222"/>
    <w:rsid w:val="0082370A"/>
    <w:rsid w:val="0082372E"/>
    <w:rsid w:val="008237DD"/>
    <w:rsid w:val="00823CC1"/>
    <w:rsid w:val="00823F05"/>
    <w:rsid w:val="0082436B"/>
    <w:rsid w:val="00824691"/>
    <w:rsid w:val="008247FA"/>
    <w:rsid w:val="00824828"/>
    <w:rsid w:val="008249DB"/>
    <w:rsid w:val="0082518F"/>
    <w:rsid w:val="00825198"/>
    <w:rsid w:val="008253A0"/>
    <w:rsid w:val="008254FD"/>
    <w:rsid w:val="008256BB"/>
    <w:rsid w:val="00825760"/>
    <w:rsid w:val="00825AF8"/>
    <w:rsid w:val="0082638D"/>
    <w:rsid w:val="00826391"/>
    <w:rsid w:val="0082642E"/>
    <w:rsid w:val="0082642F"/>
    <w:rsid w:val="008265BC"/>
    <w:rsid w:val="0082673D"/>
    <w:rsid w:val="008268B2"/>
    <w:rsid w:val="0082697E"/>
    <w:rsid w:val="00826A6F"/>
    <w:rsid w:val="00826D00"/>
    <w:rsid w:val="00827170"/>
    <w:rsid w:val="008271D0"/>
    <w:rsid w:val="00827239"/>
    <w:rsid w:val="00827442"/>
    <w:rsid w:val="0082753F"/>
    <w:rsid w:val="00827648"/>
    <w:rsid w:val="0082786F"/>
    <w:rsid w:val="00827F24"/>
    <w:rsid w:val="00830072"/>
    <w:rsid w:val="00830137"/>
    <w:rsid w:val="00830565"/>
    <w:rsid w:val="008305CD"/>
    <w:rsid w:val="008307E2"/>
    <w:rsid w:val="008308CF"/>
    <w:rsid w:val="00830994"/>
    <w:rsid w:val="008309B8"/>
    <w:rsid w:val="008309DB"/>
    <w:rsid w:val="008309F6"/>
    <w:rsid w:val="00830B36"/>
    <w:rsid w:val="00830C7D"/>
    <w:rsid w:val="00830DD8"/>
    <w:rsid w:val="00830FBD"/>
    <w:rsid w:val="008310FD"/>
    <w:rsid w:val="008313E9"/>
    <w:rsid w:val="0083183E"/>
    <w:rsid w:val="0083187F"/>
    <w:rsid w:val="00831B1A"/>
    <w:rsid w:val="00831BD4"/>
    <w:rsid w:val="00831FA0"/>
    <w:rsid w:val="00831FD5"/>
    <w:rsid w:val="0083214B"/>
    <w:rsid w:val="0083228A"/>
    <w:rsid w:val="008323DD"/>
    <w:rsid w:val="008323E4"/>
    <w:rsid w:val="0083243B"/>
    <w:rsid w:val="00832682"/>
    <w:rsid w:val="008326C2"/>
    <w:rsid w:val="0083271A"/>
    <w:rsid w:val="00832A43"/>
    <w:rsid w:val="00832AAF"/>
    <w:rsid w:val="00832CB2"/>
    <w:rsid w:val="00832D43"/>
    <w:rsid w:val="00832E07"/>
    <w:rsid w:val="00832E74"/>
    <w:rsid w:val="00833049"/>
    <w:rsid w:val="00833349"/>
    <w:rsid w:val="008333C2"/>
    <w:rsid w:val="008333E6"/>
    <w:rsid w:val="0083386C"/>
    <w:rsid w:val="0083388C"/>
    <w:rsid w:val="008338F4"/>
    <w:rsid w:val="0083394E"/>
    <w:rsid w:val="00833D72"/>
    <w:rsid w:val="00833E3D"/>
    <w:rsid w:val="00833EFF"/>
    <w:rsid w:val="00834C05"/>
    <w:rsid w:val="00834DAC"/>
    <w:rsid w:val="00834E6F"/>
    <w:rsid w:val="00834FF2"/>
    <w:rsid w:val="00835173"/>
    <w:rsid w:val="00835314"/>
    <w:rsid w:val="0083533D"/>
    <w:rsid w:val="008354F5"/>
    <w:rsid w:val="00835544"/>
    <w:rsid w:val="008355F5"/>
    <w:rsid w:val="00835907"/>
    <w:rsid w:val="008359A4"/>
    <w:rsid w:val="00835CAC"/>
    <w:rsid w:val="00835D46"/>
    <w:rsid w:val="00835DC7"/>
    <w:rsid w:val="00835F57"/>
    <w:rsid w:val="00835F7B"/>
    <w:rsid w:val="00835FE6"/>
    <w:rsid w:val="00836381"/>
    <w:rsid w:val="008364FB"/>
    <w:rsid w:val="0083666B"/>
    <w:rsid w:val="00836921"/>
    <w:rsid w:val="00836949"/>
    <w:rsid w:val="008369BA"/>
    <w:rsid w:val="00836C17"/>
    <w:rsid w:val="00836D12"/>
    <w:rsid w:val="00837050"/>
    <w:rsid w:val="00837067"/>
    <w:rsid w:val="0083736E"/>
    <w:rsid w:val="00837387"/>
    <w:rsid w:val="008374A0"/>
    <w:rsid w:val="008376DB"/>
    <w:rsid w:val="008377EE"/>
    <w:rsid w:val="00837C0E"/>
    <w:rsid w:val="00837C96"/>
    <w:rsid w:val="00837CE7"/>
    <w:rsid w:val="00837FB6"/>
    <w:rsid w:val="0084025A"/>
    <w:rsid w:val="0084058A"/>
    <w:rsid w:val="00840836"/>
    <w:rsid w:val="00840AF9"/>
    <w:rsid w:val="00840B0F"/>
    <w:rsid w:val="00841183"/>
    <w:rsid w:val="0084183A"/>
    <w:rsid w:val="008419DE"/>
    <w:rsid w:val="00841A27"/>
    <w:rsid w:val="00841B35"/>
    <w:rsid w:val="00841F30"/>
    <w:rsid w:val="0084237A"/>
    <w:rsid w:val="008428E7"/>
    <w:rsid w:val="00842DE6"/>
    <w:rsid w:val="00842F6D"/>
    <w:rsid w:val="00843057"/>
    <w:rsid w:val="0084309F"/>
    <w:rsid w:val="008433A4"/>
    <w:rsid w:val="0084341C"/>
    <w:rsid w:val="00843444"/>
    <w:rsid w:val="00843588"/>
    <w:rsid w:val="008437C1"/>
    <w:rsid w:val="008437C3"/>
    <w:rsid w:val="008438FF"/>
    <w:rsid w:val="00843922"/>
    <w:rsid w:val="008439CB"/>
    <w:rsid w:val="00843B53"/>
    <w:rsid w:val="00843B94"/>
    <w:rsid w:val="00843D00"/>
    <w:rsid w:val="0084436D"/>
    <w:rsid w:val="008444E3"/>
    <w:rsid w:val="008444FB"/>
    <w:rsid w:val="00844500"/>
    <w:rsid w:val="00844542"/>
    <w:rsid w:val="0084466C"/>
    <w:rsid w:val="008447C0"/>
    <w:rsid w:val="00844834"/>
    <w:rsid w:val="00844A58"/>
    <w:rsid w:val="00844D6D"/>
    <w:rsid w:val="00844E33"/>
    <w:rsid w:val="00844EFF"/>
    <w:rsid w:val="00844F47"/>
    <w:rsid w:val="0084503A"/>
    <w:rsid w:val="0084516B"/>
    <w:rsid w:val="0084522A"/>
    <w:rsid w:val="008458DB"/>
    <w:rsid w:val="008458E3"/>
    <w:rsid w:val="008459C2"/>
    <w:rsid w:val="00845BC2"/>
    <w:rsid w:val="00845C67"/>
    <w:rsid w:val="00845C8F"/>
    <w:rsid w:val="00845DAA"/>
    <w:rsid w:val="00845E7F"/>
    <w:rsid w:val="00845E89"/>
    <w:rsid w:val="00845FEB"/>
    <w:rsid w:val="00846053"/>
    <w:rsid w:val="00846186"/>
    <w:rsid w:val="0084638B"/>
    <w:rsid w:val="00846419"/>
    <w:rsid w:val="00846513"/>
    <w:rsid w:val="008465E4"/>
    <w:rsid w:val="00846676"/>
    <w:rsid w:val="008466AA"/>
    <w:rsid w:val="008466BA"/>
    <w:rsid w:val="0084685A"/>
    <w:rsid w:val="00846B63"/>
    <w:rsid w:val="00846CDD"/>
    <w:rsid w:val="00846E81"/>
    <w:rsid w:val="00846FC6"/>
    <w:rsid w:val="00847105"/>
    <w:rsid w:val="008472F1"/>
    <w:rsid w:val="0084734A"/>
    <w:rsid w:val="00847387"/>
    <w:rsid w:val="0084753D"/>
    <w:rsid w:val="008477BA"/>
    <w:rsid w:val="00847904"/>
    <w:rsid w:val="00847B9C"/>
    <w:rsid w:val="00847E79"/>
    <w:rsid w:val="00847EFF"/>
    <w:rsid w:val="00847F69"/>
    <w:rsid w:val="00850182"/>
    <w:rsid w:val="00850244"/>
    <w:rsid w:val="008503D3"/>
    <w:rsid w:val="008504EC"/>
    <w:rsid w:val="00850846"/>
    <w:rsid w:val="00850995"/>
    <w:rsid w:val="00850B3F"/>
    <w:rsid w:val="00850D73"/>
    <w:rsid w:val="00851109"/>
    <w:rsid w:val="008513F7"/>
    <w:rsid w:val="008516E5"/>
    <w:rsid w:val="00851CDF"/>
    <w:rsid w:val="00851EF7"/>
    <w:rsid w:val="00851FBC"/>
    <w:rsid w:val="0085217E"/>
    <w:rsid w:val="008521CC"/>
    <w:rsid w:val="008523D7"/>
    <w:rsid w:val="0085242B"/>
    <w:rsid w:val="00852754"/>
    <w:rsid w:val="00852789"/>
    <w:rsid w:val="00852970"/>
    <w:rsid w:val="00852A1F"/>
    <w:rsid w:val="00852AE9"/>
    <w:rsid w:val="00852AF5"/>
    <w:rsid w:val="00852BE7"/>
    <w:rsid w:val="00852C89"/>
    <w:rsid w:val="00852CFE"/>
    <w:rsid w:val="00852EA1"/>
    <w:rsid w:val="00852EAE"/>
    <w:rsid w:val="00853046"/>
    <w:rsid w:val="008531AB"/>
    <w:rsid w:val="00853217"/>
    <w:rsid w:val="008532FF"/>
    <w:rsid w:val="00853383"/>
    <w:rsid w:val="00853465"/>
    <w:rsid w:val="00853535"/>
    <w:rsid w:val="00853B9A"/>
    <w:rsid w:val="00853E3A"/>
    <w:rsid w:val="0085403E"/>
    <w:rsid w:val="00854115"/>
    <w:rsid w:val="008542D3"/>
    <w:rsid w:val="00854339"/>
    <w:rsid w:val="0085473A"/>
    <w:rsid w:val="00854860"/>
    <w:rsid w:val="0085489D"/>
    <w:rsid w:val="00854F37"/>
    <w:rsid w:val="00855148"/>
    <w:rsid w:val="00855177"/>
    <w:rsid w:val="008552FE"/>
    <w:rsid w:val="0085537A"/>
    <w:rsid w:val="0085538C"/>
    <w:rsid w:val="008554FE"/>
    <w:rsid w:val="0085553F"/>
    <w:rsid w:val="008555BD"/>
    <w:rsid w:val="00855681"/>
    <w:rsid w:val="0085598C"/>
    <w:rsid w:val="00855C72"/>
    <w:rsid w:val="00855CC7"/>
    <w:rsid w:val="00856117"/>
    <w:rsid w:val="008565C9"/>
    <w:rsid w:val="008567E8"/>
    <w:rsid w:val="00856843"/>
    <w:rsid w:val="00856A1C"/>
    <w:rsid w:val="00856D6F"/>
    <w:rsid w:val="008570FE"/>
    <w:rsid w:val="00857126"/>
    <w:rsid w:val="0085736D"/>
    <w:rsid w:val="008574B3"/>
    <w:rsid w:val="00857A90"/>
    <w:rsid w:val="00857C57"/>
    <w:rsid w:val="00857EF4"/>
    <w:rsid w:val="0086062D"/>
    <w:rsid w:val="00860961"/>
    <w:rsid w:val="00860B0A"/>
    <w:rsid w:val="00860E1C"/>
    <w:rsid w:val="00861177"/>
    <w:rsid w:val="0086119F"/>
    <w:rsid w:val="008611C8"/>
    <w:rsid w:val="00861420"/>
    <w:rsid w:val="0086156C"/>
    <w:rsid w:val="00861813"/>
    <w:rsid w:val="00861AC3"/>
    <w:rsid w:val="00861BB2"/>
    <w:rsid w:val="00861CBD"/>
    <w:rsid w:val="00861CCE"/>
    <w:rsid w:val="00861D77"/>
    <w:rsid w:val="00861DE3"/>
    <w:rsid w:val="008620C2"/>
    <w:rsid w:val="008621BF"/>
    <w:rsid w:val="008621EB"/>
    <w:rsid w:val="00862232"/>
    <w:rsid w:val="00862276"/>
    <w:rsid w:val="008622EA"/>
    <w:rsid w:val="008624BA"/>
    <w:rsid w:val="0086255F"/>
    <w:rsid w:val="00862605"/>
    <w:rsid w:val="0086270C"/>
    <w:rsid w:val="008627A9"/>
    <w:rsid w:val="008627D7"/>
    <w:rsid w:val="00862C52"/>
    <w:rsid w:val="00862C91"/>
    <w:rsid w:val="00862F2B"/>
    <w:rsid w:val="00863119"/>
    <w:rsid w:val="008631C3"/>
    <w:rsid w:val="00863320"/>
    <w:rsid w:val="00863323"/>
    <w:rsid w:val="008634D1"/>
    <w:rsid w:val="0086369F"/>
    <w:rsid w:val="008637D6"/>
    <w:rsid w:val="008638CB"/>
    <w:rsid w:val="00863CBD"/>
    <w:rsid w:val="00863D7D"/>
    <w:rsid w:val="00864063"/>
    <w:rsid w:val="008640A1"/>
    <w:rsid w:val="008641CB"/>
    <w:rsid w:val="008647C1"/>
    <w:rsid w:val="008648CC"/>
    <w:rsid w:val="00864949"/>
    <w:rsid w:val="00864D03"/>
    <w:rsid w:val="00864D58"/>
    <w:rsid w:val="00864DF3"/>
    <w:rsid w:val="00864ED7"/>
    <w:rsid w:val="00864FDF"/>
    <w:rsid w:val="00865063"/>
    <w:rsid w:val="008651E7"/>
    <w:rsid w:val="00865229"/>
    <w:rsid w:val="0086527C"/>
    <w:rsid w:val="008653C0"/>
    <w:rsid w:val="0086551D"/>
    <w:rsid w:val="00865846"/>
    <w:rsid w:val="00865950"/>
    <w:rsid w:val="00865A8D"/>
    <w:rsid w:val="00865AA3"/>
    <w:rsid w:val="00865ABF"/>
    <w:rsid w:val="00865CA6"/>
    <w:rsid w:val="00865DF7"/>
    <w:rsid w:val="00865FBB"/>
    <w:rsid w:val="00866130"/>
    <w:rsid w:val="00866450"/>
    <w:rsid w:val="00866601"/>
    <w:rsid w:val="0086663B"/>
    <w:rsid w:val="008666AD"/>
    <w:rsid w:val="0086683A"/>
    <w:rsid w:val="00866996"/>
    <w:rsid w:val="00866B0A"/>
    <w:rsid w:val="00866BDF"/>
    <w:rsid w:val="00866C6C"/>
    <w:rsid w:val="00866E42"/>
    <w:rsid w:val="00866EFB"/>
    <w:rsid w:val="0086704A"/>
    <w:rsid w:val="00867090"/>
    <w:rsid w:val="008670A1"/>
    <w:rsid w:val="00867143"/>
    <w:rsid w:val="008675CA"/>
    <w:rsid w:val="008675DE"/>
    <w:rsid w:val="008678CC"/>
    <w:rsid w:val="00867AC6"/>
    <w:rsid w:val="00867F3A"/>
    <w:rsid w:val="00870273"/>
    <w:rsid w:val="0087033A"/>
    <w:rsid w:val="008703D3"/>
    <w:rsid w:val="0087056A"/>
    <w:rsid w:val="00870803"/>
    <w:rsid w:val="00870977"/>
    <w:rsid w:val="00870A6A"/>
    <w:rsid w:val="00870CA6"/>
    <w:rsid w:val="00870E63"/>
    <w:rsid w:val="00870F90"/>
    <w:rsid w:val="00870FF2"/>
    <w:rsid w:val="008711D0"/>
    <w:rsid w:val="00871348"/>
    <w:rsid w:val="00871423"/>
    <w:rsid w:val="008716E1"/>
    <w:rsid w:val="00871930"/>
    <w:rsid w:val="00871940"/>
    <w:rsid w:val="00871B28"/>
    <w:rsid w:val="00871CA8"/>
    <w:rsid w:val="008722DB"/>
    <w:rsid w:val="0087244A"/>
    <w:rsid w:val="008724E4"/>
    <w:rsid w:val="008725E5"/>
    <w:rsid w:val="0087263A"/>
    <w:rsid w:val="008726A8"/>
    <w:rsid w:val="008728D9"/>
    <w:rsid w:val="00872B81"/>
    <w:rsid w:val="00872E13"/>
    <w:rsid w:val="00872E7B"/>
    <w:rsid w:val="0087308E"/>
    <w:rsid w:val="008733BE"/>
    <w:rsid w:val="008733D9"/>
    <w:rsid w:val="00873495"/>
    <w:rsid w:val="008735FD"/>
    <w:rsid w:val="00873632"/>
    <w:rsid w:val="008736BD"/>
    <w:rsid w:val="0087374C"/>
    <w:rsid w:val="00873763"/>
    <w:rsid w:val="00873851"/>
    <w:rsid w:val="00873C3A"/>
    <w:rsid w:val="00873D3D"/>
    <w:rsid w:val="00873F5E"/>
    <w:rsid w:val="00874166"/>
    <w:rsid w:val="00874394"/>
    <w:rsid w:val="00874477"/>
    <w:rsid w:val="008744E7"/>
    <w:rsid w:val="00874719"/>
    <w:rsid w:val="00874B45"/>
    <w:rsid w:val="00874B60"/>
    <w:rsid w:val="00874E65"/>
    <w:rsid w:val="00874ED7"/>
    <w:rsid w:val="00874EFA"/>
    <w:rsid w:val="00874F13"/>
    <w:rsid w:val="008752A4"/>
    <w:rsid w:val="008753D0"/>
    <w:rsid w:val="008755D9"/>
    <w:rsid w:val="008756D1"/>
    <w:rsid w:val="008756DD"/>
    <w:rsid w:val="00875A2A"/>
    <w:rsid w:val="00875A32"/>
    <w:rsid w:val="00875ACB"/>
    <w:rsid w:val="00875F23"/>
    <w:rsid w:val="00876022"/>
    <w:rsid w:val="008763EB"/>
    <w:rsid w:val="00876446"/>
    <w:rsid w:val="0087651D"/>
    <w:rsid w:val="00876618"/>
    <w:rsid w:val="008769D1"/>
    <w:rsid w:val="00876BBD"/>
    <w:rsid w:val="00876CE8"/>
    <w:rsid w:val="00876D61"/>
    <w:rsid w:val="00876F3D"/>
    <w:rsid w:val="00877191"/>
    <w:rsid w:val="008771A2"/>
    <w:rsid w:val="008771C1"/>
    <w:rsid w:val="0087729E"/>
    <w:rsid w:val="008773EB"/>
    <w:rsid w:val="008773F4"/>
    <w:rsid w:val="0087741A"/>
    <w:rsid w:val="00877574"/>
    <w:rsid w:val="00877785"/>
    <w:rsid w:val="00877795"/>
    <w:rsid w:val="008778B3"/>
    <w:rsid w:val="00877BCF"/>
    <w:rsid w:val="00877C96"/>
    <w:rsid w:val="00877D2A"/>
    <w:rsid w:val="00880189"/>
    <w:rsid w:val="008801A3"/>
    <w:rsid w:val="00880286"/>
    <w:rsid w:val="0088045F"/>
    <w:rsid w:val="00880498"/>
    <w:rsid w:val="008805A7"/>
    <w:rsid w:val="008806DD"/>
    <w:rsid w:val="00880879"/>
    <w:rsid w:val="008808D4"/>
    <w:rsid w:val="00880A88"/>
    <w:rsid w:val="00880B6D"/>
    <w:rsid w:val="00880B78"/>
    <w:rsid w:val="00880CA7"/>
    <w:rsid w:val="00880D05"/>
    <w:rsid w:val="00880F4F"/>
    <w:rsid w:val="00880FBD"/>
    <w:rsid w:val="0088105B"/>
    <w:rsid w:val="008811D4"/>
    <w:rsid w:val="008812B3"/>
    <w:rsid w:val="0088142B"/>
    <w:rsid w:val="0088176F"/>
    <w:rsid w:val="00881970"/>
    <w:rsid w:val="00881B16"/>
    <w:rsid w:val="00881C8F"/>
    <w:rsid w:val="00881DCA"/>
    <w:rsid w:val="00881E89"/>
    <w:rsid w:val="00881F41"/>
    <w:rsid w:val="00881FB0"/>
    <w:rsid w:val="0088202E"/>
    <w:rsid w:val="008820B5"/>
    <w:rsid w:val="008822FB"/>
    <w:rsid w:val="0088230E"/>
    <w:rsid w:val="00882614"/>
    <w:rsid w:val="00882732"/>
    <w:rsid w:val="00882942"/>
    <w:rsid w:val="00882996"/>
    <w:rsid w:val="00882A2B"/>
    <w:rsid w:val="00882B54"/>
    <w:rsid w:val="00882C0E"/>
    <w:rsid w:val="00882C32"/>
    <w:rsid w:val="00882D31"/>
    <w:rsid w:val="00882F30"/>
    <w:rsid w:val="0088332E"/>
    <w:rsid w:val="0088341F"/>
    <w:rsid w:val="0088361D"/>
    <w:rsid w:val="008836AE"/>
    <w:rsid w:val="0088395B"/>
    <w:rsid w:val="00883BAA"/>
    <w:rsid w:val="00883E5C"/>
    <w:rsid w:val="00883EC6"/>
    <w:rsid w:val="00883F12"/>
    <w:rsid w:val="00883F3C"/>
    <w:rsid w:val="00884086"/>
    <w:rsid w:val="00884519"/>
    <w:rsid w:val="00884E9A"/>
    <w:rsid w:val="008851E4"/>
    <w:rsid w:val="008852C0"/>
    <w:rsid w:val="00885418"/>
    <w:rsid w:val="00885448"/>
    <w:rsid w:val="00885482"/>
    <w:rsid w:val="0088555A"/>
    <w:rsid w:val="0088559D"/>
    <w:rsid w:val="008855AE"/>
    <w:rsid w:val="00885B09"/>
    <w:rsid w:val="00885C92"/>
    <w:rsid w:val="00885DE6"/>
    <w:rsid w:val="00885F0D"/>
    <w:rsid w:val="00886045"/>
    <w:rsid w:val="008861F2"/>
    <w:rsid w:val="00886351"/>
    <w:rsid w:val="008864CE"/>
    <w:rsid w:val="0088662F"/>
    <w:rsid w:val="008868B6"/>
    <w:rsid w:val="00886A67"/>
    <w:rsid w:val="00886B70"/>
    <w:rsid w:val="00886BD1"/>
    <w:rsid w:val="00886C5B"/>
    <w:rsid w:val="00886CAD"/>
    <w:rsid w:val="00886CE4"/>
    <w:rsid w:val="00886D1B"/>
    <w:rsid w:val="00886D26"/>
    <w:rsid w:val="00886E3F"/>
    <w:rsid w:val="00886F2F"/>
    <w:rsid w:val="0088730D"/>
    <w:rsid w:val="00887330"/>
    <w:rsid w:val="008873F1"/>
    <w:rsid w:val="00887519"/>
    <w:rsid w:val="00887543"/>
    <w:rsid w:val="008876E4"/>
    <w:rsid w:val="008876F7"/>
    <w:rsid w:val="00887A10"/>
    <w:rsid w:val="00887A88"/>
    <w:rsid w:val="00887D8D"/>
    <w:rsid w:val="00887EF1"/>
    <w:rsid w:val="00887EFB"/>
    <w:rsid w:val="0089018A"/>
    <w:rsid w:val="008901DD"/>
    <w:rsid w:val="008902A6"/>
    <w:rsid w:val="008904A5"/>
    <w:rsid w:val="008906DE"/>
    <w:rsid w:val="0089085E"/>
    <w:rsid w:val="00890949"/>
    <w:rsid w:val="00890A2E"/>
    <w:rsid w:val="00890B1E"/>
    <w:rsid w:val="00890B47"/>
    <w:rsid w:val="00890BC6"/>
    <w:rsid w:val="00890E20"/>
    <w:rsid w:val="00890E70"/>
    <w:rsid w:val="00890ECC"/>
    <w:rsid w:val="00890F06"/>
    <w:rsid w:val="00890F1E"/>
    <w:rsid w:val="00891113"/>
    <w:rsid w:val="0089115D"/>
    <w:rsid w:val="00891164"/>
    <w:rsid w:val="008911BF"/>
    <w:rsid w:val="00891288"/>
    <w:rsid w:val="00891294"/>
    <w:rsid w:val="008913FD"/>
    <w:rsid w:val="00891441"/>
    <w:rsid w:val="00891462"/>
    <w:rsid w:val="00891475"/>
    <w:rsid w:val="008914A9"/>
    <w:rsid w:val="00891655"/>
    <w:rsid w:val="008916EB"/>
    <w:rsid w:val="0089181F"/>
    <w:rsid w:val="0089192B"/>
    <w:rsid w:val="00891933"/>
    <w:rsid w:val="00891A6E"/>
    <w:rsid w:val="00891BBB"/>
    <w:rsid w:val="00891C2E"/>
    <w:rsid w:val="00891CE5"/>
    <w:rsid w:val="00891ED3"/>
    <w:rsid w:val="008920DA"/>
    <w:rsid w:val="0089294E"/>
    <w:rsid w:val="00892A42"/>
    <w:rsid w:val="00892AAB"/>
    <w:rsid w:val="00892B8C"/>
    <w:rsid w:val="00892CB5"/>
    <w:rsid w:val="00892CFD"/>
    <w:rsid w:val="00893021"/>
    <w:rsid w:val="0089316B"/>
    <w:rsid w:val="008931A2"/>
    <w:rsid w:val="008934B3"/>
    <w:rsid w:val="008934BF"/>
    <w:rsid w:val="00893838"/>
    <w:rsid w:val="008938AA"/>
    <w:rsid w:val="008938D7"/>
    <w:rsid w:val="00893B61"/>
    <w:rsid w:val="00893EE4"/>
    <w:rsid w:val="00894261"/>
    <w:rsid w:val="0089458F"/>
    <w:rsid w:val="008945B5"/>
    <w:rsid w:val="008946A1"/>
    <w:rsid w:val="008947B0"/>
    <w:rsid w:val="00894931"/>
    <w:rsid w:val="00894C5C"/>
    <w:rsid w:val="00894C62"/>
    <w:rsid w:val="00894E74"/>
    <w:rsid w:val="00894EDC"/>
    <w:rsid w:val="00894EEC"/>
    <w:rsid w:val="00894F8E"/>
    <w:rsid w:val="00895125"/>
    <w:rsid w:val="00895221"/>
    <w:rsid w:val="00895420"/>
    <w:rsid w:val="0089548F"/>
    <w:rsid w:val="00895620"/>
    <w:rsid w:val="008956E1"/>
    <w:rsid w:val="0089576D"/>
    <w:rsid w:val="00895A11"/>
    <w:rsid w:val="00895ABE"/>
    <w:rsid w:val="00895D44"/>
    <w:rsid w:val="00895D7A"/>
    <w:rsid w:val="0089601E"/>
    <w:rsid w:val="008963AF"/>
    <w:rsid w:val="008963D3"/>
    <w:rsid w:val="00896534"/>
    <w:rsid w:val="00896A52"/>
    <w:rsid w:val="00896D4E"/>
    <w:rsid w:val="00896F04"/>
    <w:rsid w:val="008975BA"/>
    <w:rsid w:val="0089762C"/>
    <w:rsid w:val="00897678"/>
    <w:rsid w:val="0089790B"/>
    <w:rsid w:val="008979F3"/>
    <w:rsid w:val="00897A6F"/>
    <w:rsid w:val="00897AB8"/>
    <w:rsid w:val="00897CF9"/>
    <w:rsid w:val="00897DD9"/>
    <w:rsid w:val="00897E77"/>
    <w:rsid w:val="00897E85"/>
    <w:rsid w:val="008A002A"/>
    <w:rsid w:val="008A00D6"/>
    <w:rsid w:val="008A0228"/>
    <w:rsid w:val="008A056E"/>
    <w:rsid w:val="008A0714"/>
    <w:rsid w:val="008A0956"/>
    <w:rsid w:val="008A0E4D"/>
    <w:rsid w:val="008A0EE9"/>
    <w:rsid w:val="008A10C2"/>
    <w:rsid w:val="008A119B"/>
    <w:rsid w:val="008A1349"/>
    <w:rsid w:val="008A1412"/>
    <w:rsid w:val="008A151F"/>
    <w:rsid w:val="008A1668"/>
    <w:rsid w:val="008A16C7"/>
    <w:rsid w:val="008A1C35"/>
    <w:rsid w:val="008A1DC4"/>
    <w:rsid w:val="008A1E6B"/>
    <w:rsid w:val="008A1FE0"/>
    <w:rsid w:val="008A2083"/>
    <w:rsid w:val="008A250A"/>
    <w:rsid w:val="008A2681"/>
    <w:rsid w:val="008A26F3"/>
    <w:rsid w:val="008A2930"/>
    <w:rsid w:val="008A2A6E"/>
    <w:rsid w:val="008A2BF3"/>
    <w:rsid w:val="008A2C0A"/>
    <w:rsid w:val="008A2CFB"/>
    <w:rsid w:val="008A2EB2"/>
    <w:rsid w:val="008A2F3A"/>
    <w:rsid w:val="008A3016"/>
    <w:rsid w:val="008A31BE"/>
    <w:rsid w:val="008A3634"/>
    <w:rsid w:val="008A3635"/>
    <w:rsid w:val="008A37F6"/>
    <w:rsid w:val="008A3B37"/>
    <w:rsid w:val="008A3B5A"/>
    <w:rsid w:val="008A3C2A"/>
    <w:rsid w:val="008A3D79"/>
    <w:rsid w:val="008A4061"/>
    <w:rsid w:val="008A4197"/>
    <w:rsid w:val="008A4205"/>
    <w:rsid w:val="008A43A7"/>
    <w:rsid w:val="008A465B"/>
    <w:rsid w:val="008A46DF"/>
    <w:rsid w:val="008A4713"/>
    <w:rsid w:val="008A477E"/>
    <w:rsid w:val="008A4C28"/>
    <w:rsid w:val="008A526D"/>
    <w:rsid w:val="008A52B7"/>
    <w:rsid w:val="008A5393"/>
    <w:rsid w:val="008A5597"/>
    <w:rsid w:val="008A5613"/>
    <w:rsid w:val="008A5629"/>
    <w:rsid w:val="008A579D"/>
    <w:rsid w:val="008A594A"/>
    <w:rsid w:val="008A5A37"/>
    <w:rsid w:val="008A5B70"/>
    <w:rsid w:val="008A5C81"/>
    <w:rsid w:val="008A5CA0"/>
    <w:rsid w:val="008A5CAC"/>
    <w:rsid w:val="008A5F19"/>
    <w:rsid w:val="008A6014"/>
    <w:rsid w:val="008A60D1"/>
    <w:rsid w:val="008A61F7"/>
    <w:rsid w:val="008A63AE"/>
    <w:rsid w:val="008A63EC"/>
    <w:rsid w:val="008A6543"/>
    <w:rsid w:val="008A6582"/>
    <w:rsid w:val="008A6604"/>
    <w:rsid w:val="008A69C0"/>
    <w:rsid w:val="008A6B26"/>
    <w:rsid w:val="008A6C01"/>
    <w:rsid w:val="008A6C0A"/>
    <w:rsid w:val="008A6D07"/>
    <w:rsid w:val="008A6DCE"/>
    <w:rsid w:val="008A6DD6"/>
    <w:rsid w:val="008A6F29"/>
    <w:rsid w:val="008A74ED"/>
    <w:rsid w:val="008A7760"/>
    <w:rsid w:val="008A7890"/>
    <w:rsid w:val="008A7A7B"/>
    <w:rsid w:val="008A7B29"/>
    <w:rsid w:val="008A7C24"/>
    <w:rsid w:val="008A7C56"/>
    <w:rsid w:val="008A7CAE"/>
    <w:rsid w:val="008A7F2B"/>
    <w:rsid w:val="008B0170"/>
    <w:rsid w:val="008B018E"/>
    <w:rsid w:val="008B055F"/>
    <w:rsid w:val="008B05EC"/>
    <w:rsid w:val="008B0653"/>
    <w:rsid w:val="008B0677"/>
    <w:rsid w:val="008B0687"/>
    <w:rsid w:val="008B06B0"/>
    <w:rsid w:val="008B0729"/>
    <w:rsid w:val="008B0C28"/>
    <w:rsid w:val="008B0D19"/>
    <w:rsid w:val="008B0D70"/>
    <w:rsid w:val="008B0E7E"/>
    <w:rsid w:val="008B1019"/>
    <w:rsid w:val="008B101D"/>
    <w:rsid w:val="008B1020"/>
    <w:rsid w:val="008B12C9"/>
    <w:rsid w:val="008B14DF"/>
    <w:rsid w:val="008B155A"/>
    <w:rsid w:val="008B16EA"/>
    <w:rsid w:val="008B195F"/>
    <w:rsid w:val="008B1977"/>
    <w:rsid w:val="008B1996"/>
    <w:rsid w:val="008B1B46"/>
    <w:rsid w:val="008B20CA"/>
    <w:rsid w:val="008B20F3"/>
    <w:rsid w:val="008B22BB"/>
    <w:rsid w:val="008B22FE"/>
    <w:rsid w:val="008B24DC"/>
    <w:rsid w:val="008B258C"/>
    <w:rsid w:val="008B262D"/>
    <w:rsid w:val="008B27C6"/>
    <w:rsid w:val="008B295C"/>
    <w:rsid w:val="008B2B41"/>
    <w:rsid w:val="008B2CF1"/>
    <w:rsid w:val="008B2EC3"/>
    <w:rsid w:val="008B3188"/>
    <w:rsid w:val="008B318B"/>
    <w:rsid w:val="008B31C2"/>
    <w:rsid w:val="008B3334"/>
    <w:rsid w:val="008B3392"/>
    <w:rsid w:val="008B3635"/>
    <w:rsid w:val="008B365B"/>
    <w:rsid w:val="008B3667"/>
    <w:rsid w:val="008B369F"/>
    <w:rsid w:val="008B3977"/>
    <w:rsid w:val="008B39EA"/>
    <w:rsid w:val="008B3B1B"/>
    <w:rsid w:val="008B3BE5"/>
    <w:rsid w:val="008B3C6C"/>
    <w:rsid w:val="008B3E2D"/>
    <w:rsid w:val="008B414D"/>
    <w:rsid w:val="008B45D7"/>
    <w:rsid w:val="008B4637"/>
    <w:rsid w:val="008B46B6"/>
    <w:rsid w:val="008B488B"/>
    <w:rsid w:val="008B48E4"/>
    <w:rsid w:val="008B4A92"/>
    <w:rsid w:val="008B4BD0"/>
    <w:rsid w:val="008B5125"/>
    <w:rsid w:val="008B531A"/>
    <w:rsid w:val="008B531E"/>
    <w:rsid w:val="008B540D"/>
    <w:rsid w:val="008B556E"/>
    <w:rsid w:val="008B5580"/>
    <w:rsid w:val="008B58B8"/>
    <w:rsid w:val="008B5983"/>
    <w:rsid w:val="008B599E"/>
    <w:rsid w:val="008B59A9"/>
    <w:rsid w:val="008B5A3D"/>
    <w:rsid w:val="008B5A91"/>
    <w:rsid w:val="008B5CB2"/>
    <w:rsid w:val="008B6530"/>
    <w:rsid w:val="008B6568"/>
    <w:rsid w:val="008B65C6"/>
    <w:rsid w:val="008B6749"/>
    <w:rsid w:val="008B67D7"/>
    <w:rsid w:val="008B69F5"/>
    <w:rsid w:val="008B6A68"/>
    <w:rsid w:val="008B6BB2"/>
    <w:rsid w:val="008B6C32"/>
    <w:rsid w:val="008B6DA5"/>
    <w:rsid w:val="008B6DE0"/>
    <w:rsid w:val="008B6FED"/>
    <w:rsid w:val="008B7148"/>
    <w:rsid w:val="008B76F7"/>
    <w:rsid w:val="008B7834"/>
    <w:rsid w:val="008B789B"/>
    <w:rsid w:val="008B7929"/>
    <w:rsid w:val="008B7C26"/>
    <w:rsid w:val="008B7FB7"/>
    <w:rsid w:val="008C0266"/>
    <w:rsid w:val="008C0320"/>
    <w:rsid w:val="008C0796"/>
    <w:rsid w:val="008C09F8"/>
    <w:rsid w:val="008C09FC"/>
    <w:rsid w:val="008C0EC6"/>
    <w:rsid w:val="008C0F2A"/>
    <w:rsid w:val="008C10F1"/>
    <w:rsid w:val="008C144A"/>
    <w:rsid w:val="008C1561"/>
    <w:rsid w:val="008C163C"/>
    <w:rsid w:val="008C1879"/>
    <w:rsid w:val="008C1983"/>
    <w:rsid w:val="008C1DE1"/>
    <w:rsid w:val="008C1E48"/>
    <w:rsid w:val="008C2027"/>
    <w:rsid w:val="008C202B"/>
    <w:rsid w:val="008C2279"/>
    <w:rsid w:val="008C22D4"/>
    <w:rsid w:val="008C26FD"/>
    <w:rsid w:val="008C27B2"/>
    <w:rsid w:val="008C282D"/>
    <w:rsid w:val="008C28EA"/>
    <w:rsid w:val="008C2A28"/>
    <w:rsid w:val="008C2A6A"/>
    <w:rsid w:val="008C2B14"/>
    <w:rsid w:val="008C2CB4"/>
    <w:rsid w:val="008C2CF0"/>
    <w:rsid w:val="008C3021"/>
    <w:rsid w:val="008C375E"/>
    <w:rsid w:val="008C3810"/>
    <w:rsid w:val="008C3AAF"/>
    <w:rsid w:val="008C404C"/>
    <w:rsid w:val="008C413F"/>
    <w:rsid w:val="008C431C"/>
    <w:rsid w:val="008C435D"/>
    <w:rsid w:val="008C48DF"/>
    <w:rsid w:val="008C49AB"/>
    <w:rsid w:val="008C4B73"/>
    <w:rsid w:val="008C4CEB"/>
    <w:rsid w:val="008C56D9"/>
    <w:rsid w:val="008C56DE"/>
    <w:rsid w:val="008C57CF"/>
    <w:rsid w:val="008C592D"/>
    <w:rsid w:val="008C59D9"/>
    <w:rsid w:val="008C5D44"/>
    <w:rsid w:val="008C5E13"/>
    <w:rsid w:val="008C5F65"/>
    <w:rsid w:val="008C5F92"/>
    <w:rsid w:val="008C5F94"/>
    <w:rsid w:val="008C5FC9"/>
    <w:rsid w:val="008C60DD"/>
    <w:rsid w:val="008C61CB"/>
    <w:rsid w:val="008C622D"/>
    <w:rsid w:val="008C624A"/>
    <w:rsid w:val="008C6647"/>
    <w:rsid w:val="008C6844"/>
    <w:rsid w:val="008C68D6"/>
    <w:rsid w:val="008C698E"/>
    <w:rsid w:val="008C6A20"/>
    <w:rsid w:val="008C6A97"/>
    <w:rsid w:val="008C6CEE"/>
    <w:rsid w:val="008C705C"/>
    <w:rsid w:val="008C713C"/>
    <w:rsid w:val="008C72E9"/>
    <w:rsid w:val="008C7442"/>
    <w:rsid w:val="008C746E"/>
    <w:rsid w:val="008C7649"/>
    <w:rsid w:val="008C79B9"/>
    <w:rsid w:val="008C7BA9"/>
    <w:rsid w:val="008C7C9C"/>
    <w:rsid w:val="008C7D74"/>
    <w:rsid w:val="008D03B0"/>
    <w:rsid w:val="008D03B3"/>
    <w:rsid w:val="008D04DD"/>
    <w:rsid w:val="008D04ED"/>
    <w:rsid w:val="008D0545"/>
    <w:rsid w:val="008D05B5"/>
    <w:rsid w:val="008D084F"/>
    <w:rsid w:val="008D0A0E"/>
    <w:rsid w:val="008D0AE1"/>
    <w:rsid w:val="008D0FA4"/>
    <w:rsid w:val="008D1099"/>
    <w:rsid w:val="008D10C9"/>
    <w:rsid w:val="008D1447"/>
    <w:rsid w:val="008D1630"/>
    <w:rsid w:val="008D1717"/>
    <w:rsid w:val="008D1860"/>
    <w:rsid w:val="008D1D90"/>
    <w:rsid w:val="008D2081"/>
    <w:rsid w:val="008D20D0"/>
    <w:rsid w:val="008D20E0"/>
    <w:rsid w:val="008D2259"/>
    <w:rsid w:val="008D232F"/>
    <w:rsid w:val="008D236F"/>
    <w:rsid w:val="008D238E"/>
    <w:rsid w:val="008D24C2"/>
    <w:rsid w:val="008D271D"/>
    <w:rsid w:val="008D274F"/>
    <w:rsid w:val="008D285C"/>
    <w:rsid w:val="008D2906"/>
    <w:rsid w:val="008D2A1F"/>
    <w:rsid w:val="008D2CFD"/>
    <w:rsid w:val="008D2D94"/>
    <w:rsid w:val="008D2E51"/>
    <w:rsid w:val="008D3190"/>
    <w:rsid w:val="008D3388"/>
    <w:rsid w:val="008D33EF"/>
    <w:rsid w:val="008D33F5"/>
    <w:rsid w:val="008D355C"/>
    <w:rsid w:val="008D3728"/>
    <w:rsid w:val="008D3878"/>
    <w:rsid w:val="008D3932"/>
    <w:rsid w:val="008D3C08"/>
    <w:rsid w:val="008D3D49"/>
    <w:rsid w:val="008D3E6A"/>
    <w:rsid w:val="008D3EAF"/>
    <w:rsid w:val="008D426E"/>
    <w:rsid w:val="008D42A2"/>
    <w:rsid w:val="008D42FB"/>
    <w:rsid w:val="008D43EA"/>
    <w:rsid w:val="008D450C"/>
    <w:rsid w:val="008D4582"/>
    <w:rsid w:val="008D4673"/>
    <w:rsid w:val="008D4844"/>
    <w:rsid w:val="008D48A1"/>
    <w:rsid w:val="008D4948"/>
    <w:rsid w:val="008D498B"/>
    <w:rsid w:val="008D4B74"/>
    <w:rsid w:val="008D4B98"/>
    <w:rsid w:val="008D4C7A"/>
    <w:rsid w:val="008D4D02"/>
    <w:rsid w:val="008D4E55"/>
    <w:rsid w:val="008D5019"/>
    <w:rsid w:val="008D51F1"/>
    <w:rsid w:val="008D5588"/>
    <w:rsid w:val="008D5891"/>
    <w:rsid w:val="008D589E"/>
    <w:rsid w:val="008D59A9"/>
    <w:rsid w:val="008D5B15"/>
    <w:rsid w:val="008D5F2C"/>
    <w:rsid w:val="008D607F"/>
    <w:rsid w:val="008D6191"/>
    <w:rsid w:val="008D6306"/>
    <w:rsid w:val="008D6327"/>
    <w:rsid w:val="008D653B"/>
    <w:rsid w:val="008D6746"/>
    <w:rsid w:val="008D68F4"/>
    <w:rsid w:val="008D6980"/>
    <w:rsid w:val="008D6BFD"/>
    <w:rsid w:val="008D70BC"/>
    <w:rsid w:val="008D724E"/>
    <w:rsid w:val="008D727E"/>
    <w:rsid w:val="008D72F4"/>
    <w:rsid w:val="008D748D"/>
    <w:rsid w:val="008D74A4"/>
    <w:rsid w:val="008D75A5"/>
    <w:rsid w:val="008D7677"/>
    <w:rsid w:val="008D7690"/>
    <w:rsid w:val="008D76F1"/>
    <w:rsid w:val="008D78DA"/>
    <w:rsid w:val="008D792D"/>
    <w:rsid w:val="008D7BFE"/>
    <w:rsid w:val="008D7D2C"/>
    <w:rsid w:val="008D7E2D"/>
    <w:rsid w:val="008D7E7E"/>
    <w:rsid w:val="008D7F07"/>
    <w:rsid w:val="008E0008"/>
    <w:rsid w:val="008E0122"/>
    <w:rsid w:val="008E01E2"/>
    <w:rsid w:val="008E02FA"/>
    <w:rsid w:val="008E05B3"/>
    <w:rsid w:val="008E0A7F"/>
    <w:rsid w:val="008E0B96"/>
    <w:rsid w:val="008E0E2C"/>
    <w:rsid w:val="008E0EF9"/>
    <w:rsid w:val="008E10E4"/>
    <w:rsid w:val="008E12DC"/>
    <w:rsid w:val="008E1395"/>
    <w:rsid w:val="008E1453"/>
    <w:rsid w:val="008E19B3"/>
    <w:rsid w:val="008E1D6C"/>
    <w:rsid w:val="008E1F27"/>
    <w:rsid w:val="008E1F41"/>
    <w:rsid w:val="008E1F9D"/>
    <w:rsid w:val="008E20BE"/>
    <w:rsid w:val="008E23C3"/>
    <w:rsid w:val="008E2432"/>
    <w:rsid w:val="008E2492"/>
    <w:rsid w:val="008E2551"/>
    <w:rsid w:val="008E25C4"/>
    <w:rsid w:val="008E263F"/>
    <w:rsid w:val="008E265D"/>
    <w:rsid w:val="008E266C"/>
    <w:rsid w:val="008E266E"/>
    <w:rsid w:val="008E277F"/>
    <w:rsid w:val="008E2821"/>
    <w:rsid w:val="008E28E9"/>
    <w:rsid w:val="008E2B1C"/>
    <w:rsid w:val="008E2BF1"/>
    <w:rsid w:val="008E2F78"/>
    <w:rsid w:val="008E2FE6"/>
    <w:rsid w:val="008E30C5"/>
    <w:rsid w:val="008E32CC"/>
    <w:rsid w:val="008E333B"/>
    <w:rsid w:val="008E349B"/>
    <w:rsid w:val="008E3623"/>
    <w:rsid w:val="008E399E"/>
    <w:rsid w:val="008E3B1E"/>
    <w:rsid w:val="008E3BBB"/>
    <w:rsid w:val="008E3BEC"/>
    <w:rsid w:val="008E4010"/>
    <w:rsid w:val="008E404F"/>
    <w:rsid w:val="008E4234"/>
    <w:rsid w:val="008E4510"/>
    <w:rsid w:val="008E4733"/>
    <w:rsid w:val="008E4ACF"/>
    <w:rsid w:val="008E4BCA"/>
    <w:rsid w:val="008E4C29"/>
    <w:rsid w:val="008E4D50"/>
    <w:rsid w:val="008E5048"/>
    <w:rsid w:val="008E50DF"/>
    <w:rsid w:val="008E511B"/>
    <w:rsid w:val="008E5233"/>
    <w:rsid w:val="008E52DC"/>
    <w:rsid w:val="008E5570"/>
    <w:rsid w:val="008E598C"/>
    <w:rsid w:val="008E5B22"/>
    <w:rsid w:val="008E5B7C"/>
    <w:rsid w:val="008E5BA0"/>
    <w:rsid w:val="008E5F95"/>
    <w:rsid w:val="008E5FBC"/>
    <w:rsid w:val="008E614E"/>
    <w:rsid w:val="008E61B3"/>
    <w:rsid w:val="008E6292"/>
    <w:rsid w:val="008E62DF"/>
    <w:rsid w:val="008E62ED"/>
    <w:rsid w:val="008E6513"/>
    <w:rsid w:val="008E670E"/>
    <w:rsid w:val="008E6958"/>
    <w:rsid w:val="008E6ABB"/>
    <w:rsid w:val="008E6C1B"/>
    <w:rsid w:val="008E6CAF"/>
    <w:rsid w:val="008E6D4C"/>
    <w:rsid w:val="008E6DDF"/>
    <w:rsid w:val="008E70E0"/>
    <w:rsid w:val="008E7123"/>
    <w:rsid w:val="008E714A"/>
    <w:rsid w:val="008E730A"/>
    <w:rsid w:val="008E7311"/>
    <w:rsid w:val="008E7367"/>
    <w:rsid w:val="008E79D4"/>
    <w:rsid w:val="008E7A08"/>
    <w:rsid w:val="008E7A55"/>
    <w:rsid w:val="008E7F2B"/>
    <w:rsid w:val="008F0284"/>
    <w:rsid w:val="008F04AC"/>
    <w:rsid w:val="008F0527"/>
    <w:rsid w:val="008F05BF"/>
    <w:rsid w:val="008F061A"/>
    <w:rsid w:val="008F06A5"/>
    <w:rsid w:val="008F06C1"/>
    <w:rsid w:val="008F090F"/>
    <w:rsid w:val="008F098B"/>
    <w:rsid w:val="008F0A46"/>
    <w:rsid w:val="008F0DBD"/>
    <w:rsid w:val="008F10B9"/>
    <w:rsid w:val="008F1139"/>
    <w:rsid w:val="008F12A6"/>
    <w:rsid w:val="008F13AD"/>
    <w:rsid w:val="008F147A"/>
    <w:rsid w:val="008F14D2"/>
    <w:rsid w:val="008F189A"/>
    <w:rsid w:val="008F1C3F"/>
    <w:rsid w:val="008F2237"/>
    <w:rsid w:val="008F226E"/>
    <w:rsid w:val="008F22A5"/>
    <w:rsid w:val="008F2462"/>
    <w:rsid w:val="008F27FC"/>
    <w:rsid w:val="008F2926"/>
    <w:rsid w:val="008F2C59"/>
    <w:rsid w:val="008F2EF5"/>
    <w:rsid w:val="008F2F2F"/>
    <w:rsid w:val="008F2F30"/>
    <w:rsid w:val="008F3027"/>
    <w:rsid w:val="008F3062"/>
    <w:rsid w:val="008F30F8"/>
    <w:rsid w:val="008F312E"/>
    <w:rsid w:val="008F33DD"/>
    <w:rsid w:val="008F346E"/>
    <w:rsid w:val="008F3512"/>
    <w:rsid w:val="008F35A4"/>
    <w:rsid w:val="008F380F"/>
    <w:rsid w:val="008F383B"/>
    <w:rsid w:val="008F3AA7"/>
    <w:rsid w:val="008F3B4C"/>
    <w:rsid w:val="008F3D77"/>
    <w:rsid w:val="008F3F8C"/>
    <w:rsid w:val="008F4321"/>
    <w:rsid w:val="008F43FF"/>
    <w:rsid w:val="008F4417"/>
    <w:rsid w:val="008F479E"/>
    <w:rsid w:val="008F4C64"/>
    <w:rsid w:val="008F4E66"/>
    <w:rsid w:val="008F5224"/>
    <w:rsid w:val="008F5348"/>
    <w:rsid w:val="008F5393"/>
    <w:rsid w:val="008F55E7"/>
    <w:rsid w:val="008F55EC"/>
    <w:rsid w:val="008F5AFE"/>
    <w:rsid w:val="008F5CB6"/>
    <w:rsid w:val="008F5E2D"/>
    <w:rsid w:val="008F5FFA"/>
    <w:rsid w:val="008F61DB"/>
    <w:rsid w:val="008F6225"/>
    <w:rsid w:val="008F6750"/>
    <w:rsid w:val="008F681F"/>
    <w:rsid w:val="008F696E"/>
    <w:rsid w:val="008F6CB4"/>
    <w:rsid w:val="008F6CE2"/>
    <w:rsid w:val="008F6DC3"/>
    <w:rsid w:val="008F6E5F"/>
    <w:rsid w:val="008F6EBB"/>
    <w:rsid w:val="008F6F0E"/>
    <w:rsid w:val="008F70DA"/>
    <w:rsid w:val="008F73D3"/>
    <w:rsid w:val="008F754D"/>
    <w:rsid w:val="008F7583"/>
    <w:rsid w:val="008F7593"/>
    <w:rsid w:val="008F75D1"/>
    <w:rsid w:val="008F7647"/>
    <w:rsid w:val="008F7772"/>
    <w:rsid w:val="008F79B5"/>
    <w:rsid w:val="008F7AD0"/>
    <w:rsid w:val="008F7BE7"/>
    <w:rsid w:val="008F7C74"/>
    <w:rsid w:val="0090028F"/>
    <w:rsid w:val="0090055E"/>
    <w:rsid w:val="009007BE"/>
    <w:rsid w:val="0090080A"/>
    <w:rsid w:val="00900820"/>
    <w:rsid w:val="0090092E"/>
    <w:rsid w:val="00900DCB"/>
    <w:rsid w:val="00900EE7"/>
    <w:rsid w:val="00900F0E"/>
    <w:rsid w:val="009010A0"/>
    <w:rsid w:val="009010B3"/>
    <w:rsid w:val="0090110F"/>
    <w:rsid w:val="0090186D"/>
    <w:rsid w:val="009018A3"/>
    <w:rsid w:val="009019F7"/>
    <w:rsid w:val="00901B52"/>
    <w:rsid w:val="00901E4A"/>
    <w:rsid w:val="00901EF5"/>
    <w:rsid w:val="009021BB"/>
    <w:rsid w:val="009022FE"/>
    <w:rsid w:val="0090236A"/>
    <w:rsid w:val="00902399"/>
    <w:rsid w:val="009024BD"/>
    <w:rsid w:val="009024DD"/>
    <w:rsid w:val="00902521"/>
    <w:rsid w:val="0090274C"/>
    <w:rsid w:val="00902808"/>
    <w:rsid w:val="00902819"/>
    <w:rsid w:val="009028F4"/>
    <w:rsid w:val="00902A61"/>
    <w:rsid w:val="00902C07"/>
    <w:rsid w:val="00902CFF"/>
    <w:rsid w:val="00902DAA"/>
    <w:rsid w:val="00902E40"/>
    <w:rsid w:val="00902F52"/>
    <w:rsid w:val="0090325F"/>
    <w:rsid w:val="00903352"/>
    <w:rsid w:val="00903458"/>
    <w:rsid w:val="009035A4"/>
    <w:rsid w:val="00903BDA"/>
    <w:rsid w:val="00903C47"/>
    <w:rsid w:val="00903C65"/>
    <w:rsid w:val="00903F8D"/>
    <w:rsid w:val="009041C6"/>
    <w:rsid w:val="0090420B"/>
    <w:rsid w:val="00904343"/>
    <w:rsid w:val="009043B5"/>
    <w:rsid w:val="00904601"/>
    <w:rsid w:val="0090462A"/>
    <w:rsid w:val="009046AF"/>
    <w:rsid w:val="0090481E"/>
    <w:rsid w:val="00904829"/>
    <w:rsid w:val="00904ACD"/>
    <w:rsid w:val="00904D9E"/>
    <w:rsid w:val="00904FC8"/>
    <w:rsid w:val="0090501E"/>
    <w:rsid w:val="00905063"/>
    <w:rsid w:val="0090522E"/>
    <w:rsid w:val="009053F8"/>
    <w:rsid w:val="00905457"/>
    <w:rsid w:val="00905546"/>
    <w:rsid w:val="0090555E"/>
    <w:rsid w:val="009056E1"/>
    <w:rsid w:val="00905737"/>
    <w:rsid w:val="009058D0"/>
    <w:rsid w:val="00906030"/>
    <w:rsid w:val="00906663"/>
    <w:rsid w:val="009068CE"/>
    <w:rsid w:val="009069D9"/>
    <w:rsid w:val="00906C64"/>
    <w:rsid w:val="00906D69"/>
    <w:rsid w:val="00907032"/>
    <w:rsid w:val="009072A2"/>
    <w:rsid w:val="009073F5"/>
    <w:rsid w:val="00907526"/>
    <w:rsid w:val="009075F9"/>
    <w:rsid w:val="00907731"/>
    <w:rsid w:val="00907739"/>
    <w:rsid w:val="009077B1"/>
    <w:rsid w:val="00907998"/>
    <w:rsid w:val="00907D95"/>
    <w:rsid w:val="00907E60"/>
    <w:rsid w:val="009100F8"/>
    <w:rsid w:val="009102DB"/>
    <w:rsid w:val="009105B6"/>
    <w:rsid w:val="00910642"/>
    <w:rsid w:val="00910B66"/>
    <w:rsid w:val="00910C90"/>
    <w:rsid w:val="00910DB5"/>
    <w:rsid w:val="0091119D"/>
    <w:rsid w:val="009113CC"/>
    <w:rsid w:val="009116E4"/>
    <w:rsid w:val="0091177F"/>
    <w:rsid w:val="00911A8C"/>
    <w:rsid w:val="00911C82"/>
    <w:rsid w:val="00911D15"/>
    <w:rsid w:val="00911DA8"/>
    <w:rsid w:val="00911DE9"/>
    <w:rsid w:val="00911F03"/>
    <w:rsid w:val="009120DE"/>
    <w:rsid w:val="0091225E"/>
    <w:rsid w:val="00912692"/>
    <w:rsid w:val="00912989"/>
    <w:rsid w:val="009129C7"/>
    <w:rsid w:val="00913419"/>
    <w:rsid w:val="0091359B"/>
    <w:rsid w:val="00913707"/>
    <w:rsid w:val="009137C7"/>
    <w:rsid w:val="00913B24"/>
    <w:rsid w:val="00913B2D"/>
    <w:rsid w:val="00913B77"/>
    <w:rsid w:val="00913EAB"/>
    <w:rsid w:val="00913FA5"/>
    <w:rsid w:val="00913FC8"/>
    <w:rsid w:val="00914345"/>
    <w:rsid w:val="0091439B"/>
    <w:rsid w:val="0091440C"/>
    <w:rsid w:val="009144C9"/>
    <w:rsid w:val="009147B1"/>
    <w:rsid w:val="009148B8"/>
    <w:rsid w:val="00914A36"/>
    <w:rsid w:val="00914CAD"/>
    <w:rsid w:val="00914CE6"/>
    <w:rsid w:val="00914E77"/>
    <w:rsid w:val="00914E7B"/>
    <w:rsid w:val="009155F1"/>
    <w:rsid w:val="00915A0A"/>
    <w:rsid w:val="00915A18"/>
    <w:rsid w:val="00915B39"/>
    <w:rsid w:val="00915B71"/>
    <w:rsid w:val="00915B7D"/>
    <w:rsid w:val="00915C46"/>
    <w:rsid w:val="00916418"/>
    <w:rsid w:val="009164BD"/>
    <w:rsid w:val="00916830"/>
    <w:rsid w:val="0091698C"/>
    <w:rsid w:val="0091699B"/>
    <w:rsid w:val="00916A42"/>
    <w:rsid w:val="00916AD1"/>
    <w:rsid w:val="00916B64"/>
    <w:rsid w:val="00916FD4"/>
    <w:rsid w:val="009171B5"/>
    <w:rsid w:val="009174FA"/>
    <w:rsid w:val="00917524"/>
    <w:rsid w:val="00917CF3"/>
    <w:rsid w:val="00917D13"/>
    <w:rsid w:val="00917DF1"/>
    <w:rsid w:val="00917FBC"/>
    <w:rsid w:val="00920034"/>
    <w:rsid w:val="00920489"/>
    <w:rsid w:val="009204A5"/>
    <w:rsid w:val="009204C9"/>
    <w:rsid w:val="00920607"/>
    <w:rsid w:val="00920657"/>
    <w:rsid w:val="00920884"/>
    <w:rsid w:val="00920980"/>
    <w:rsid w:val="00920AC3"/>
    <w:rsid w:val="00920BAC"/>
    <w:rsid w:val="00920C88"/>
    <w:rsid w:val="00920D36"/>
    <w:rsid w:val="00920D67"/>
    <w:rsid w:val="00920D78"/>
    <w:rsid w:val="00920F0D"/>
    <w:rsid w:val="0092152E"/>
    <w:rsid w:val="009215F0"/>
    <w:rsid w:val="00921676"/>
    <w:rsid w:val="009218E6"/>
    <w:rsid w:val="00921945"/>
    <w:rsid w:val="009219A7"/>
    <w:rsid w:val="00921AA9"/>
    <w:rsid w:val="00921B1E"/>
    <w:rsid w:val="00921C83"/>
    <w:rsid w:val="00921C9A"/>
    <w:rsid w:val="00921CD0"/>
    <w:rsid w:val="0092200B"/>
    <w:rsid w:val="009220BB"/>
    <w:rsid w:val="009227D4"/>
    <w:rsid w:val="00922AD3"/>
    <w:rsid w:val="00922B57"/>
    <w:rsid w:val="00922C37"/>
    <w:rsid w:val="009230A2"/>
    <w:rsid w:val="00923108"/>
    <w:rsid w:val="0092325B"/>
    <w:rsid w:val="0092339B"/>
    <w:rsid w:val="009233A2"/>
    <w:rsid w:val="0092343D"/>
    <w:rsid w:val="00923465"/>
    <w:rsid w:val="00923691"/>
    <w:rsid w:val="009237DC"/>
    <w:rsid w:val="0092386E"/>
    <w:rsid w:val="0092389E"/>
    <w:rsid w:val="0092393D"/>
    <w:rsid w:val="00923970"/>
    <w:rsid w:val="00923AE9"/>
    <w:rsid w:val="00923B7C"/>
    <w:rsid w:val="00923D90"/>
    <w:rsid w:val="00923E20"/>
    <w:rsid w:val="00924126"/>
    <w:rsid w:val="0092415E"/>
    <w:rsid w:val="0092433F"/>
    <w:rsid w:val="0092439B"/>
    <w:rsid w:val="00924753"/>
    <w:rsid w:val="00924D1F"/>
    <w:rsid w:val="00924D95"/>
    <w:rsid w:val="00924EB3"/>
    <w:rsid w:val="009250E3"/>
    <w:rsid w:val="00925327"/>
    <w:rsid w:val="0092536C"/>
    <w:rsid w:val="009253B4"/>
    <w:rsid w:val="009254AB"/>
    <w:rsid w:val="009254DE"/>
    <w:rsid w:val="009255B0"/>
    <w:rsid w:val="00925610"/>
    <w:rsid w:val="0092576B"/>
    <w:rsid w:val="0092577E"/>
    <w:rsid w:val="00925C23"/>
    <w:rsid w:val="00925D67"/>
    <w:rsid w:val="00925F0A"/>
    <w:rsid w:val="009260AC"/>
    <w:rsid w:val="009263C8"/>
    <w:rsid w:val="00926725"/>
    <w:rsid w:val="009267EF"/>
    <w:rsid w:val="00926956"/>
    <w:rsid w:val="00926B6A"/>
    <w:rsid w:val="00926D49"/>
    <w:rsid w:val="00926DDA"/>
    <w:rsid w:val="00926E5E"/>
    <w:rsid w:val="00926E7B"/>
    <w:rsid w:val="00926EC5"/>
    <w:rsid w:val="0092708F"/>
    <w:rsid w:val="00927544"/>
    <w:rsid w:val="00927593"/>
    <w:rsid w:val="009277D5"/>
    <w:rsid w:val="0092797F"/>
    <w:rsid w:val="009279BD"/>
    <w:rsid w:val="009279E7"/>
    <w:rsid w:val="00927BFA"/>
    <w:rsid w:val="00927D4D"/>
    <w:rsid w:val="00927EDA"/>
    <w:rsid w:val="00927EF6"/>
    <w:rsid w:val="00927F87"/>
    <w:rsid w:val="00930213"/>
    <w:rsid w:val="009302A7"/>
    <w:rsid w:val="00930361"/>
    <w:rsid w:val="009307C1"/>
    <w:rsid w:val="009308D6"/>
    <w:rsid w:val="0093096D"/>
    <w:rsid w:val="00930977"/>
    <w:rsid w:val="00930D12"/>
    <w:rsid w:val="00931029"/>
    <w:rsid w:val="00931365"/>
    <w:rsid w:val="00931771"/>
    <w:rsid w:val="009317CF"/>
    <w:rsid w:val="00931874"/>
    <w:rsid w:val="009318E5"/>
    <w:rsid w:val="009318F8"/>
    <w:rsid w:val="00931DDC"/>
    <w:rsid w:val="00931E75"/>
    <w:rsid w:val="00932011"/>
    <w:rsid w:val="00932294"/>
    <w:rsid w:val="00932346"/>
    <w:rsid w:val="00932471"/>
    <w:rsid w:val="00932488"/>
    <w:rsid w:val="0093260C"/>
    <w:rsid w:val="00932AE5"/>
    <w:rsid w:val="00932C08"/>
    <w:rsid w:val="00932E37"/>
    <w:rsid w:val="0093315C"/>
    <w:rsid w:val="00933415"/>
    <w:rsid w:val="0093376E"/>
    <w:rsid w:val="0093381E"/>
    <w:rsid w:val="00933B25"/>
    <w:rsid w:val="00933C5C"/>
    <w:rsid w:val="00933C5F"/>
    <w:rsid w:val="00933C9E"/>
    <w:rsid w:val="00933D08"/>
    <w:rsid w:val="00933EA1"/>
    <w:rsid w:val="00933EF3"/>
    <w:rsid w:val="00933F9B"/>
    <w:rsid w:val="00934100"/>
    <w:rsid w:val="009344EB"/>
    <w:rsid w:val="0093474E"/>
    <w:rsid w:val="00934961"/>
    <w:rsid w:val="009349DB"/>
    <w:rsid w:val="00934A62"/>
    <w:rsid w:val="00934F56"/>
    <w:rsid w:val="00934FA7"/>
    <w:rsid w:val="00934FE0"/>
    <w:rsid w:val="00935367"/>
    <w:rsid w:val="00935420"/>
    <w:rsid w:val="00935472"/>
    <w:rsid w:val="009356BE"/>
    <w:rsid w:val="00935BF5"/>
    <w:rsid w:val="00935C4D"/>
    <w:rsid w:val="00935CFE"/>
    <w:rsid w:val="00935F51"/>
    <w:rsid w:val="009363C8"/>
    <w:rsid w:val="009364AB"/>
    <w:rsid w:val="0093668B"/>
    <w:rsid w:val="009368EF"/>
    <w:rsid w:val="00936AAB"/>
    <w:rsid w:val="00936D3E"/>
    <w:rsid w:val="00936F31"/>
    <w:rsid w:val="00937025"/>
    <w:rsid w:val="00937075"/>
    <w:rsid w:val="0093740C"/>
    <w:rsid w:val="00937506"/>
    <w:rsid w:val="009375CB"/>
    <w:rsid w:val="00937AFA"/>
    <w:rsid w:val="00937C31"/>
    <w:rsid w:val="00937DCC"/>
    <w:rsid w:val="00937F35"/>
    <w:rsid w:val="009400E8"/>
    <w:rsid w:val="009404BA"/>
    <w:rsid w:val="009406CD"/>
    <w:rsid w:val="00940727"/>
    <w:rsid w:val="009407C6"/>
    <w:rsid w:val="009408A5"/>
    <w:rsid w:val="00940B47"/>
    <w:rsid w:val="00940E8C"/>
    <w:rsid w:val="00941122"/>
    <w:rsid w:val="0094118E"/>
    <w:rsid w:val="009417C5"/>
    <w:rsid w:val="009419EE"/>
    <w:rsid w:val="00941BDD"/>
    <w:rsid w:val="00942103"/>
    <w:rsid w:val="00942720"/>
    <w:rsid w:val="009427CA"/>
    <w:rsid w:val="00942AD7"/>
    <w:rsid w:val="00942BD7"/>
    <w:rsid w:val="00942C1E"/>
    <w:rsid w:val="00942C65"/>
    <w:rsid w:val="00942D7B"/>
    <w:rsid w:val="00942F54"/>
    <w:rsid w:val="00942F7E"/>
    <w:rsid w:val="00943248"/>
    <w:rsid w:val="009433D3"/>
    <w:rsid w:val="0094354E"/>
    <w:rsid w:val="0094355A"/>
    <w:rsid w:val="009437B6"/>
    <w:rsid w:val="00943894"/>
    <w:rsid w:val="009438F2"/>
    <w:rsid w:val="00943E8E"/>
    <w:rsid w:val="0094406C"/>
    <w:rsid w:val="009441A3"/>
    <w:rsid w:val="00944250"/>
    <w:rsid w:val="009442E5"/>
    <w:rsid w:val="00944475"/>
    <w:rsid w:val="00944A9C"/>
    <w:rsid w:val="00944BF8"/>
    <w:rsid w:val="00944C64"/>
    <w:rsid w:val="00944D0F"/>
    <w:rsid w:val="00944DC5"/>
    <w:rsid w:val="00944DE0"/>
    <w:rsid w:val="00945001"/>
    <w:rsid w:val="009450AE"/>
    <w:rsid w:val="0094516C"/>
    <w:rsid w:val="00945301"/>
    <w:rsid w:val="00945394"/>
    <w:rsid w:val="009453C3"/>
    <w:rsid w:val="00945411"/>
    <w:rsid w:val="009454FC"/>
    <w:rsid w:val="009454FD"/>
    <w:rsid w:val="00945564"/>
    <w:rsid w:val="009456EF"/>
    <w:rsid w:val="00945737"/>
    <w:rsid w:val="00945861"/>
    <w:rsid w:val="00945A4B"/>
    <w:rsid w:val="00945AE5"/>
    <w:rsid w:val="00945C7E"/>
    <w:rsid w:val="00945DE2"/>
    <w:rsid w:val="0094604B"/>
    <w:rsid w:val="00946140"/>
    <w:rsid w:val="0094641F"/>
    <w:rsid w:val="009464A7"/>
    <w:rsid w:val="00946957"/>
    <w:rsid w:val="00946A65"/>
    <w:rsid w:val="00946A91"/>
    <w:rsid w:val="00946D32"/>
    <w:rsid w:val="00946EB4"/>
    <w:rsid w:val="009470A2"/>
    <w:rsid w:val="009470E3"/>
    <w:rsid w:val="00947130"/>
    <w:rsid w:val="00947279"/>
    <w:rsid w:val="00947386"/>
    <w:rsid w:val="00947427"/>
    <w:rsid w:val="00947459"/>
    <w:rsid w:val="00947541"/>
    <w:rsid w:val="009475BC"/>
    <w:rsid w:val="00947686"/>
    <w:rsid w:val="00947A4E"/>
    <w:rsid w:val="00947AB3"/>
    <w:rsid w:val="00947C96"/>
    <w:rsid w:val="00947DFC"/>
    <w:rsid w:val="009501C0"/>
    <w:rsid w:val="009501D3"/>
    <w:rsid w:val="009504B2"/>
    <w:rsid w:val="009505E9"/>
    <w:rsid w:val="0095067F"/>
    <w:rsid w:val="00950BAE"/>
    <w:rsid w:val="00950C90"/>
    <w:rsid w:val="00950ECA"/>
    <w:rsid w:val="00951006"/>
    <w:rsid w:val="00951072"/>
    <w:rsid w:val="009511CB"/>
    <w:rsid w:val="009511CC"/>
    <w:rsid w:val="009511E1"/>
    <w:rsid w:val="0095127F"/>
    <w:rsid w:val="009512DC"/>
    <w:rsid w:val="0095138B"/>
    <w:rsid w:val="009515BA"/>
    <w:rsid w:val="009515CD"/>
    <w:rsid w:val="009516AD"/>
    <w:rsid w:val="009518C5"/>
    <w:rsid w:val="0095190B"/>
    <w:rsid w:val="00951927"/>
    <w:rsid w:val="0095198F"/>
    <w:rsid w:val="00951A6A"/>
    <w:rsid w:val="00951B54"/>
    <w:rsid w:val="00951BCD"/>
    <w:rsid w:val="00951C3F"/>
    <w:rsid w:val="00951F15"/>
    <w:rsid w:val="009522F1"/>
    <w:rsid w:val="009528B5"/>
    <w:rsid w:val="009528E2"/>
    <w:rsid w:val="00952A5E"/>
    <w:rsid w:val="00952A69"/>
    <w:rsid w:val="00952B07"/>
    <w:rsid w:val="00952B55"/>
    <w:rsid w:val="00952CD6"/>
    <w:rsid w:val="00952E41"/>
    <w:rsid w:val="00953084"/>
    <w:rsid w:val="009530C1"/>
    <w:rsid w:val="00953179"/>
    <w:rsid w:val="0095318E"/>
    <w:rsid w:val="009532D0"/>
    <w:rsid w:val="0095333D"/>
    <w:rsid w:val="009533AD"/>
    <w:rsid w:val="0095357A"/>
    <w:rsid w:val="009535D1"/>
    <w:rsid w:val="00953654"/>
    <w:rsid w:val="00953766"/>
    <w:rsid w:val="0095386F"/>
    <w:rsid w:val="009539FE"/>
    <w:rsid w:val="00953A19"/>
    <w:rsid w:val="00953C0D"/>
    <w:rsid w:val="00953E07"/>
    <w:rsid w:val="00953FB9"/>
    <w:rsid w:val="00954003"/>
    <w:rsid w:val="0095437D"/>
    <w:rsid w:val="00954664"/>
    <w:rsid w:val="009546AC"/>
    <w:rsid w:val="00954899"/>
    <w:rsid w:val="009549C2"/>
    <w:rsid w:val="00954A8D"/>
    <w:rsid w:val="00954D41"/>
    <w:rsid w:val="00954D58"/>
    <w:rsid w:val="0095509F"/>
    <w:rsid w:val="0095522E"/>
    <w:rsid w:val="00955276"/>
    <w:rsid w:val="009555FF"/>
    <w:rsid w:val="00955C31"/>
    <w:rsid w:val="00955C53"/>
    <w:rsid w:val="00955D39"/>
    <w:rsid w:val="00955DF4"/>
    <w:rsid w:val="009567E6"/>
    <w:rsid w:val="00956930"/>
    <w:rsid w:val="00956A0E"/>
    <w:rsid w:val="00956CBB"/>
    <w:rsid w:val="00956F1E"/>
    <w:rsid w:val="00957018"/>
    <w:rsid w:val="0095737F"/>
    <w:rsid w:val="0095748C"/>
    <w:rsid w:val="00957844"/>
    <w:rsid w:val="009578CA"/>
    <w:rsid w:val="0095792B"/>
    <w:rsid w:val="00957994"/>
    <w:rsid w:val="00957BC9"/>
    <w:rsid w:val="00957E94"/>
    <w:rsid w:val="00957F48"/>
    <w:rsid w:val="00960150"/>
    <w:rsid w:val="0096022F"/>
    <w:rsid w:val="009604C1"/>
    <w:rsid w:val="0096055D"/>
    <w:rsid w:val="009606A8"/>
    <w:rsid w:val="00960884"/>
    <w:rsid w:val="009608FB"/>
    <w:rsid w:val="009609AF"/>
    <w:rsid w:val="00960D22"/>
    <w:rsid w:val="00960E6C"/>
    <w:rsid w:val="00960F26"/>
    <w:rsid w:val="009610BA"/>
    <w:rsid w:val="009612C1"/>
    <w:rsid w:val="009613E0"/>
    <w:rsid w:val="0096167E"/>
    <w:rsid w:val="0096173B"/>
    <w:rsid w:val="009619B5"/>
    <w:rsid w:val="00961A87"/>
    <w:rsid w:val="00961C66"/>
    <w:rsid w:val="00961DC2"/>
    <w:rsid w:val="00961FF2"/>
    <w:rsid w:val="009623E8"/>
    <w:rsid w:val="00962658"/>
    <w:rsid w:val="009626AC"/>
    <w:rsid w:val="00962908"/>
    <w:rsid w:val="00962959"/>
    <w:rsid w:val="00962A05"/>
    <w:rsid w:val="00962A48"/>
    <w:rsid w:val="00962FB4"/>
    <w:rsid w:val="00963070"/>
    <w:rsid w:val="009630B5"/>
    <w:rsid w:val="009631C8"/>
    <w:rsid w:val="0096334E"/>
    <w:rsid w:val="009633C6"/>
    <w:rsid w:val="00963573"/>
    <w:rsid w:val="00963B8A"/>
    <w:rsid w:val="00963E85"/>
    <w:rsid w:val="00963F86"/>
    <w:rsid w:val="009641E9"/>
    <w:rsid w:val="009642B7"/>
    <w:rsid w:val="00964539"/>
    <w:rsid w:val="00964A4F"/>
    <w:rsid w:val="00964BCC"/>
    <w:rsid w:val="00964C2B"/>
    <w:rsid w:val="00964C85"/>
    <w:rsid w:val="00964C8D"/>
    <w:rsid w:val="00964F2B"/>
    <w:rsid w:val="00964FCA"/>
    <w:rsid w:val="00964FF5"/>
    <w:rsid w:val="009650F5"/>
    <w:rsid w:val="009651B8"/>
    <w:rsid w:val="009654A4"/>
    <w:rsid w:val="0096554B"/>
    <w:rsid w:val="00965607"/>
    <w:rsid w:val="009658E3"/>
    <w:rsid w:val="00965B8A"/>
    <w:rsid w:val="00965C1E"/>
    <w:rsid w:val="00965D35"/>
    <w:rsid w:val="00965D6D"/>
    <w:rsid w:val="00966182"/>
    <w:rsid w:val="00966221"/>
    <w:rsid w:val="00966271"/>
    <w:rsid w:val="00966499"/>
    <w:rsid w:val="0096678B"/>
    <w:rsid w:val="009667AF"/>
    <w:rsid w:val="00966989"/>
    <w:rsid w:val="009669F5"/>
    <w:rsid w:val="00967158"/>
    <w:rsid w:val="00967301"/>
    <w:rsid w:val="00967564"/>
    <w:rsid w:val="0096758C"/>
    <w:rsid w:val="009675A6"/>
    <w:rsid w:val="00967807"/>
    <w:rsid w:val="009678F7"/>
    <w:rsid w:val="00967C5B"/>
    <w:rsid w:val="00967D15"/>
    <w:rsid w:val="00967D9A"/>
    <w:rsid w:val="00967DEF"/>
    <w:rsid w:val="00967EAD"/>
    <w:rsid w:val="009700C3"/>
    <w:rsid w:val="009701D3"/>
    <w:rsid w:val="00970629"/>
    <w:rsid w:val="009707A7"/>
    <w:rsid w:val="00970837"/>
    <w:rsid w:val="00970D73"/>
    <w:rsid w:val="00970DBD"/>
    <w:rsid w:val="00970DD1"/>
    <w:rsid w:val="00970DFC"/>
    <w:rsid w:val="00971098"/>
    <w:rsid w:val="00971194"/>
    <w:rsid w:val="009713A1"/>
    <w:rsid w:val="009713C0"/>
    <w:rsid w:val="009714D7"/>
    <w:rsid w:val="00971844"/>
    <w:rsid w:val="00971BDC"/>
    <w:rsid w:val="00972043"/>
    <w:rsid w:val="009720BC"/>
    <w:rsid w:val="0097266C"/>
    <w:rsid w:val="009728F2"/>
    <w:rsid w:val="00972B48"/>
    <w:rsid w:val="00972B4A"/>
    <w:rsid w:val="00972C78"/>
    <w:rsid w:val="00972D0C"/>
    <w:rsid w:val="00972DE1"/>
    <w:rsid w:val="00972F26"/>
    <w:rsid w:val="00972FBE"/>
    <w:rsid w:val="00973160"/>
    <w:rsid w:val="00973261"/>
    <w:rsid w:val="00973468"/>
    <w:rsid w:val="009734AB"/>
    <w:rsid w:val="009734D5"/>
    <w:rsid w:val="0097378B"/>
    <w:rsid w:val="009737BE"/>
    <w:rsid w:val="009739C4"/>
    <w:rsid w:val="00973C0E"/>
    <w:rsid w:val="00973D9B"/>
    <w:rsid w:val="00973EEF"/>
    <w:rsid w:val="00974241"/>
    <w:rsid w:val="009745D7"/>
    <w:rsid w:val="00974668"/>
    <w:rsid w:val="00974964"/>
    <w:rsid w:val="00974BB0"/>
    <w:rsid w:val="00974C72"/>
    <w:rsid w:val="00974D4C"/>
    <w:rsid w:val="00974DC0"/>
    <w:rsid w:val="00974E1C"/>
    <w:rsid w:val="00974E5D"/>
    <w:rsid w:val="00974ED9"/>
    <w:rsid w:val="009751CB"/>
    <w:rsid w:val="0097522F"/>
    <w:rsid w:val="009754B9"/>
    <w:rsid w:val="009757AF"/>
    <w:rsid w:val="009757DC"/>
    <w:rsid w:val="009757DD"/>
    <w:rsid w:val="00975872"/>
    <w:rsid w:val="00975D5A"/>
    <w:rsid w:val="00975FCE"/>
    <w:rsid w:val="009761E8"/>
    <w:rsid w:val="0097623E"/>
    <w:rsid w:val="00976363"/>
    <w:rsid w:val="00976381"/>
    <w:rsid w:val="00976580"/>
    <w:rsid w:val="00976593"/>
    <w:rsid w:val="009768F1"/>
    <w:rsid w:val="00976B1F"/>
    <w:rsid w:val="00976C4C"/>
    <w:rsid w:val="00976D09"/>
    <w:rsid w:val="00976E3D"/>
    <w:rsid w:val="00976F59"/>
    <w:rsid w:val="0097723C"/>
    <w:rsid w:val="00977573"/>
    <w:rsid w:val="00977789"/>
    <w:rsid w:val="00977883"/>
    <w:rsid w:val="00977972"/>
    <w:rsid w:val="00977A2D"/>
    <w:rsid w:val="00977A34"/>
    <w:rsid w:val="00977A51"/>
    <w:rsid w:val="00977C06"/>
    <w:rsid w:val="00977CF6"/>
    <w:rsid w:val="00977D84"/>
    <w:rsid w:val="00977DD0"/>
    <w:rsid w:val="00977E09"/>
    <w:rsid w:val="00977F15"/>
    <w:rsid w:val="00980037"/>
    <w:rsid w:val="00980189"/>
    <w:rsid w:val="009803A6"/>
    <w:rsid w:val="00980504"/>
    <w:rsid w:val="0098050C"/>
    <w:rsid w:val="009809ED"/>
    <w:rsid w:val="00980BD4"/>
    <w:rsid w:val="00980C82"/>
    <w:rsid w:val="00980DE1"/>
    <w:rsid w:val="00980FAB"/>
    <w:rsid w:val="0098129E"/>
    <w:rsid w:val="0098133D"/>
    <w:rsid w:val="00981374"/>
    <w:rsid w:val="009813E8"/>
    <w:rsid w:val="0098176F"/>
    <w:rsid w:val="00981857"/>
    <w:rsid w:val="009818DF"/>
    <w:rsid w:val="009819DE"/>
    <w:rsid w:val="00981A2C"/>
    <w:rsid w:val="00981C47"/>
    <w:rsid w:val="00981E5D"/>
    <w:rsid w:val="00981F1A"/>
    <w:rsid w:val="009820FE"/>
    <w:rsid w:val="0098211D"/>
    <w:rsid w:val="00982286"/>
    <w:rsid w:val="0098233D"/>
    <w:rsid w:val="009823BD"/>
    <w:rsid w:val="00982523"/>
    <w:rsid w:val="00982563"/>
    <w:rsid w:val="00982B7D"/>
    <w:rsid w:val="00982FAC"/>
    <w:rsid w:val="00983182"/>
    <w:rsid w:val="009833D2"/>
    <w:rsid w:val="00983410"/>
    <w:rsid w:val="0098342A"/>
    <w:rsid w:val="00983490"/>
    <w:rsid w:val="0098376A"/>
    <w:rsid w:val="00983AD5"/>
    <w:rsid w:val="00983B7B"/>
    <w:rsid w:val="00983CCD"/>
    <w:rsid w:val="00983D61"/>
    <w:rsid w:val="0098421A"/>
    <w:rsid w:val="00984239"/>
    <w:rsid w:val="00984520"/>
    <w:rsid w:val="009845D1"/>
    <w:rsid w:val="009848FA"/>
    <w:rsid w:val="00984A91"/>
    <w:rsid w:val="00984EFA"/>
    <w:rsid w:val="00984F05"/>
    <w:rsid w:val="00984FB5"/>
    <w:rsid w:val="00984FD4"/>
    <w:rsid w:val="009850D6"/>
    <w:rsid w:val="009852D2"/>
    <w:rsid w:val="0098533F"/>
    <w:rsid w:val="00985586"/>
    <w:rsid w:val="0098562F"/>
    <w:rsid w:val="009857BF"/>
    <w:rsid w:val="009859E7"/>
    <w:rsid w:val="00985CB6"/>
    <w:rsid w:val="00985D69"/>
    <w:rsid w:val="00986279"/>
    <w:rsid w:val="009863BC"/>
    <w:rsid w:val="0098653D"/>
    <w:rsid w:val="00986544"/>
    <w:rsid w:val="0098656D"/>
    <w:rsid w:val="00986965"/>
    <w:rsid w:val="00986B82"/>
    <w:rsid w:val="00986D8C"/>
    <w:rsid w:val="00987065"/>
    <w:rsid w:val="00987066"/>
    <w:rsid w:val="009870D1"/>
    <w:rsid w:val="0098722E"/>
    <w:rsid w:val="009873C0"/>
    <w:rsid w:val="0098743F"/>
    <w:rsid w:val="009875E4"/>
    <w:rsid w:val="009879C6"/>
    <w:rsid w:val="00987B55"/>
    <w:rsid w:val="00987E22"/>
    <w:rsid w:val="00987F54"/>
    <w:rsid w:val="00987F70"/>
    <w:rsid w:val="00990685"/>
    <w:rsid w:val="009906C7"/>
    <w:rsid w:val="00990825"/>
    <w:rsid w:val="00990C74"/>
    <w:rsid w:val="00990D43"/>
    <w:rsid w:val="00990E07"/>
    <w:rsid w:val="00990E4C"/>
    <w:rsid w:val="00991297"/>
    <w:rsid w:val="00991348"/>
    <w:rsid w:val="00991472"/>
    <w:rsid w:val="009915E1"/>
    <w:rsid w:val="00991752"/>
    <w:rsid w:val="00991A96"/>
    <w:rsid w:val="00991BAD"/>
    <w:rsid w:val="00991E2E"/>
    <w:rsid w:val="00992037"/>
    <w:rsid w:val="00992316"/>
    <w:rsid w:val="009923AB"/>
    <w:rsid w:val="00992A15"/>
    <w:rsid w:val="00992FD1"/>
    <w:rsid w:val="00992FD5"/>
    <w:rsid w:val="0099301E"/>
    <w:rsid w:val="0099306C"/>
    <w:rsid w:val="009931F9"/>
    <w:rsid w:val="0099330C"/>
    <w:rsid w:val="00993582"/>
    <w:rsid w:val="009935CB"/>
    <w:rsid w:val="0099365D"/>
    <w:rsid w:val="00993947"/>
    <w:rsid w:val="009939D6"/>
    <w:rsid w:val="00993A1C"/>
    <w:rsid w:val="00993A1D"/>
    <w:rsid w:val="00993B34"/>
    <w:rsid w:val="00993CF0"/>
    <w:rsid w:val="00993E62"/>
    <w:rsid w:val="00993F8F"/>
    <w:rsid w:val="00993FAF"/>
    <w:rsid w:val="009940AD"/>
    <w:rsid w:val="00994210"/>
    <w:rsid w:val="009942C6"/>
    <w:rsid w:val="009942CB"/>
    <w:rsid w:val="00994458"/>
    <w:rsid w:val="0099451F"/>
    <w:rsid w:val="009945E4"/>
    <w:rsid w:val="00994933"/>
    <w:rsid w:val="00994A43"/>
    <w:rsid w:val="00994B93"/>
    <w:rsid w:val="00994CE3"/>
    <w:rsid w:val="00994E7E"/>
    <w:rsid w:val="00994FB0"/>
    <w:rsid w:val="00995125"/>
    <w:rsid w:val="00995183"/>
    <w:rsid w:val="009952D5"/>
    <w:rsid w:val="00995379"/>
    <w:rsid w:val="00995451"/>
    <w:rsid w:val="009954D5"/>
    <w:rsid w:val="009954F2"/>
    <w:rsid w:val="00995F00"/>
    <w:rsid w:val="00995F61"/>
    <w:rsid w:val="00996204"/>
    <w:rsid w:val="0099628D"/>
    <w:rsid w:val="0099691E"/>
    <w:rsid w:val="00996997"/>
    <w:rsid w:val="009969CF"/>
    <w:rsid w:val="00996B54"/>
    <w:rsid w:val="00996BCB"/>
    <w:rsid w:val="00996C2D"/>
    <w:rsid w:val="00996C97"/>
    <w:rsid w:val="00996D04"/>
    <w:rsid w:val="00996E14"/>
    <w:rsid w:val="009970D2"/>
    <w:rsid w:val="009973B8"/>
    <w:rsid w:val="009973E8"/>
    <w:rsid w:val="009974CF"/>
    <w:rsid w:val="00997551"/>
    <w:rsid w:val="009977B0"/>
    <w:rsid w:val="0099796F"/>
    <w:rsid w:val="00997A6C"/>
    <w:rsid w:val="00997B30"/>
    <w:rsid w:val="00997B3E"/>
    <w:rsid w:val="00997DA0"/>
    <w:rsid w:val="00997ED4"/>
    <w:rsid w:val="00997ED9"/>
    <w:rsid w:val="00997F88"/>
    <w:rsid w:val="00997F9A"/>
    <w:rsid w:val="009A00FD"/>
    <w:rsid w:val="009A0267"/>
    <w:rsid w:val="009A04C4"/>
    <w:rsid w:val="009A04E5"/>
    <w:rsid w:val="009A074C"/>
    <w:rsid w:val="009A07FD"/>
    <w:rsid w:val="009A0AF6"/>
    <w:rsid w:val="009A0F63"/>
    <w:rsid w:val="009A0F9C"/>
    <w:rsid w:val="009A1209"/>
    <w:rsid w:val="009A1331"/>
    <w:rsid w:val="009A13C5"/>
    <w:rsid w:val="009A168E"/>
    <w:rsid w:val="009A16B1"/>
    <w:rsid w:val="009A17B2"/>
    <w:rsid w:val="009A17EE"/>
    <w:rsid w:val="009A1B1D"/>
    <w:rsid w:val="009A1BFC"/>
    <w:rsid w:val="009A1F13"/>
    <w:rsid w:val="009A1F4E"/>
    <w:rsid w:val="009A200C"/>
    <w:rsid w:val="009A2247"/>
    <w:rsid w:val="009A2248"/>
    <w:rsid w:val="009A2508"/>
    <w:rsid w:val="009A25B7"/>
    <w:rsid w:val="009A2989"/>
    <w:rsid w:val="009A2A89"/>
    <w:rsid w:val="009A2D4A"/>
    <w:rsid w:val="009A2E11"/>
    <w:rsid w:val="009A2F62"/>
    <w:rsid w:val="009A316C"/>
    <w:rsid w:val="009A3384"/>
    <w:rsid w:val="009A357C"/>
    <w:rsid w:val="009A38CA"/>
    <w:rsid w:val="009A3C92"/>
    <w:rsid w:val="009A3E74"/>
    <w:rsid w:val="009A3E8F"/>
    <w:rsid w:val="009A40B5"/>
    <w:rsid w:val="009A4416"/>
    <w:rsid w:val="009A45A3"/>
    <w:rsid w:val="009A4887"/>
    <w:rsid w:val="009A48B8"/>
    <w:rsid w:val="009A4A47"/>
    <w:rsid w:val="009A4BC1"/>
    <w:rsid w:val="009A4CA1"/>
    <w:rsid w:val="009A4FF4"/>
    <w:rsid w:val="009A505A"/>
    <w:rsid w:val="009A52CD"/>
    <w:rsid w:val="009A5402"/>
    <w:rsid w:val="009A554A"/>
    <w:rsid w:val="009A5B0C"/>
    <w:rsid w:val="009A5DC7"/>
    <w:rsid w:val="009A5E38"/>
    <w:rsid w:val="009A5F0C"/>
    <w:rsid w:val="009A5F60"/>
    <w:rsid w:val="009A5FC6"/>
    <w:rsid w:val="009A6095"/>
    <w:rsid w:val="009A609F"/>
    <w:rsid w:val="009A60BA"/>
    <w:rsid w:val="009A625B"/>
    <w:rsid w:val="009A62C3"/>
    <w:rsid w:val="009A640F"/>
    <w:rsid w:val="009A6427"/>
    <w:rsid w:val="009A6432"/>
    <w:rsid w:val="009A659C"/>
    <w:rsid w:val="009A65ED"/>
    <w:rsid w:val="009A68B5"/>
    <w:rsid w:val="009A6A2E"/>
    <w:rsid w:val="009A6A53"/>
    <w:rsid w:val="009A6D31"/>
    <w:rsid w:val="009A6F96"/>
    <w:rsid w:val="009A75D1"/>
    <w:rsid w:val="009A797F"/>
    <w:rsid w:val="009A7CB0"/>
    <w:rsid w:val="009A7E67"/>
    <w:rsid w:val="009A7E84"/>
    <w:rsid w:val="009A7FAF"/>
    <w:rsid w:val="009B0215"/>
    <w:rsid w:val="009B07C9"/>
    <w:rsid w:val="009B09A5"/>
    <w:rsid w:val="009B09E0"/>
    <w:rsid w:val="009B0DEE"/>
    <w:rsid w:val="009B0E86"/>
    <w:rsid w:val="009B0EA7"/>
    <w:rsid w:val="009B100D"/>
    <w:rsid w:val="009B10FE"/>
    <w:rsid w:val="009B11FC"/>
    <w:rsid w:val="009B1782"/>
    <w:rsid w:val="009B17A3"/>
    <w:rsid w:val="009B1C2E"/>
    <w:rsid w:val="009B1DBF"/>
    <w:rsid w:val="009B1F53"/>
    <w:rsid w:val="009B2015"/>
    <w:rsid w:val="009B23D4"/>
    <w:rsid w:val="009B23EE"/>
    <w:rsid w:val="009B2655"/>
    <w:rsid w:val="009B28C3"/>
    <w:rsid w:val="009B2AFE"/>
    <w:rsid w:val="009B2D2B"/>
    <w:rsid w:val="009B2F45"/>
    <w:rsid w:val="009B3209"/>
    <w:rsid w:val="009B336C"/>
    <w:rsid w:val="009B33D5"/>
    <w:rsid w:val="009B3537"/>
    <w:rsid w:val="009B3539"/>
    <w:rsid w:val="009B3631"/>
    <w:rsid w:val="009B36CB"/>
    <w:rsid w:val="009B376E"/>
    <w:rsid w:val="009B37E3"/>
    <w:rsid w:val="009B384F"/>
    <w:rsid w:val="009B38C3"/>
    <w:rsid w:val="009B3C29"/>
    <w:rsid w:val="009B3CA0"/>
    <w:rsid w:val="009B3E31"/>
    <w:rsid w:val="009B3EEB"/>
    <w:rsid w:val="009B3EF3"/>
    <w:rsid w:val="009B3F16"/>
    <w:rsid w:val="009B3FF8"/>
    <w:rsid w:val="009B4107"/>
    <w:rsid w:val="009B4A2F"/>
    <w:rsid w:val="009B4D3B"/>
    <w:rsid w:val="009B4F95"/>
    <w:rsid w:val="009B5439"/>
    <w:rsid w:val="009B5703"/>
    <w:rsid w:val="009B571D"/>
    <w:rsid w:val="009B58C5"/>
    <w:rsid w:val="009B5BCF"/>
    <w:rsid w:val="009B5D19"/>
    <w:rsid w:val="009B5D98"/>
    <w:rsid w:val="009B5EF6"/>
    <w:rsid w:val="009B5F2F"/>
    <w:rsid w:val="009B5F83"/>
    <w:rsid w:val="009B6078"/>
    <w:rsid w:val="009B60E9"/>
    <w:rsid w:val="009B63C1"/>
    <w:rsid w:val="009B668E"/>
    <w:rsid w:val="009B6AAB"/>
    <w:rsid w:val="009B6B60"/>
    <w:rsid w:val="009B6C0E"/>
    <w:rsid w:val="009B71D3"/>
    <w:rsid w:val="009B72D9"/>
    <w:rsid w:val="009B7694"/>
    <w:rsid w:val="009B775B"/>
    <w:rsid w:val="009B7A09"/>
    <w:rsid w:val="009B7A53"/>
    <w:rsid w:val="009B7B48"/>
    <w:rsid w:val="009B7C0D"/>
    <w:rsid w:val="009B7D1E"/>
    <w:rsid w:val="009B7DC4"/>
    <w:rsid w:val="009B7FE2"/>
    <w:rsid w:val="009C0130"/>
    <w:rsid w:val="009C0258"/>
    <w:rsid w:val="009C032D"/>
    <w:rsid w:val="009C0909"/>
    <w:rsid w:val="009C0AFC"/>
    <w:rsid w:val="009C0BC9"/>
    <w:rsid w:val="009C0CB0"/>
    <w:rsid w:val="009C0D40"/>
    <w:rsid w:val="009C0F5B"/>
    <w:rsid w:val="009C0FF3"/>
    <w:rsid w:val="009C1090"/>
    <w:rsid w:val="009C11F1"/>
    <w:rsid w:val="009C1278"/>
    <w:rsid w:val="009C1371"/>
    <w:rsid w:val="009C1445"/>
    <w:rsid w:val="009C1617"/>
    <w:rsid w:val="009C1618"/>
    <w:rsid w:val="009C18F4"/>
    <w:rsid w:val="009C1988"/>
    <w:rsid w:val="009C1B73"/>
    <w:rsid w:val="009C1E48"/>
    <w:rsid w:val="009C1F4E"/>
    <w:rsid w:val="009C1F55"/>
    <w:rsid w:val="009C2145"/>
    <w:rsid w:val="009C226F"/>
    <w:rsid w:val="009C2847"/>
    <w:rsid w:val="009C287D"/>
    <w:rsid w:val="009C2D29"/>
    <w:rsid w:val="009C2D57"/>
    <w:rsid w:val="009C2D81"/>
    <w:rsid w:val="009C2DD9"/>
    <w:rsid w:val="009C2E23"/>
    <w:rsid w:val="009C2E70"/>
    <w:rsid w:val="009C2EDB"/>
    <w:rsid w:val="009C3043"/>
    <w:rsid w:val="009C3680"/>
    <w:rsid w:val="009C3DB2"/>
    <w:rsid w:val="009C3DB3"/>
    <w:rsid w:val="009C3E24"/>
    <w:rsid w:val="009C3F93"/>
    <w:rsid w:val="009C401A"/>
    <w:rsid w:val="009C4334"/>
    <w:rsid w:val="009C48AE"/>
    <w:rsid w:val="009C4E7D"/>
    <w:rsid w:val="009C4FDB"/>
    <w:rsid w:val="009C53BA"/>
    <w:rsid w:val="009C5594"/>
    <w:rsid w:val="009C5616"/>
    <w:rsid w:val="009C5C86"/>
    <w:rsid w:val="009C5CF0"/>
    <w:rsid w:val="009C5DE6"/>
    <w:rsid w:val="009C5F17"/>
    <w:rsid w:val="009C5F7A"/>
    <w:rsid w:val="009C61B6"/>
    <w:rsid w:val="009C64AC"/>
    <w:rsid w:val="009C6567"/>
    <w:rsid w:val="009C67EB"/>
    <w:rsid w:val="009C6959"/>
    <w:rsid w:val="009C69B3"/>
    <w:rsid w:val="009C6AA7"/>
    <w:rsid w:val="009C6B53"/>
    <w:rsid w:val="009C6C95"/>
    <w:rsid w:val="009C6D54"/>
    <w:rsid w:val="009C6DC3"/>
    <w:rsid w:val="009C6F0C"/>
    <w:rsid w:val="009C700A"/>
    <w:rsid w:val="009C7050"/>
    <w:rsid w:val="009C7126"/>
    <w:rsid w:val="009C712E"/>
    <w:rsid w:val="009C7147"/>
    <w:rsid w:val="009C71F2"/>
    <w:rsid w:val="009C739A"/>
    <w:rsid w:val="009C76CB"/>
    <w:rsid w:val="009C7767"/>
    <w:rsid w:val="009D0029"/>
    <w:rsid w:val="009D00DB"/>
    <w:rsid w:val="009D0149"/>
    <w:rsid w:val="009D04FE"/>
    <w:rsid w:val="009D05EF"/>
    <w:rsid w:val="009D0748"/>
    <w:rsid w:val="009D08F1"/>
    <w:rsid w:val="009D08FD"/>
    <w:rsid w:val="009D09A2"/>
    <w:rsid w:val="009D0BDD"/>
    <w:rsid w:val="009D0ECF"/>
    <w:rsid w:val="009D1099"/>
    <w:rsid w:val="009D1319"/>
    <w:rsid w:val="009D145A"/>
    <w:rsid w:val="009D1538"/>
    <w:rsid w:val="009D165A"/>
    <w:rsid w:val="009D1950"/>
    <w:rsid w:val="009D1A30"/>
    <w:rsid w:val="009D1A6E"/>
    <w:rsid w:val="009D1E13"/>
    <w:rsid w:val="009D212C"/>
    <w:rsid w:val="009D218A"/>
    <w:rsid w:val="009D2606"/>
    <w:rsid w:val="009D2616"/>
    <w:rsid w:val="009D2886"/>
    <w:rsid w:val="009D2D47"/>
    <w:rsid w:val="009D2D84"/>
    <w:rsid w:val="009D3018"/>
    <w:rsid w:val="009D3154"/>
    <w:rsid w:val="009D32DA"/>
    <w:rsid w:val="009D35BB"/>
    <w:rsid w:val="009D3776"/>
    <w:rsid w:val="009D3821"/>
    <w:rsid w:val="009D3870"/>
    <w:rsid w:val="009D3AB6"/>
    <w:rsid w:val="009D3B76"/>
    <w:rsid w:val="009D3C35"/>
    <w:rsid w:val="009D3C4F"/>
    <w:rsid w:val="009D3CC1"/>
    <w:rsid w:val="009D3DF8"/>
    <w:rsid w:val="009D3E60"/>
    <w:rsid w:val="009D4255"/>
    <w:rsid w:val="009D439B"/>
    <w:rsid w:val="009D43A5"/>
    <w:rsid w:val="009D4433"/>
    <w:rsid w:val="009D4450"/>
    <w:rsid w:val="009D44CD"/>
    <w:rsid w:val="009D454A"/>
    <w:rsid w:val="009D46C0"/>
    <w:rsid w:val="009D4ABC"/>
    <w:rsid w:val="009D4B71"/>
    <w:rsid w:val="009D4C6C"/>
    <w:rsid w:val="009D4C76"/>
    <w:rsid w:val="009D4D97"/>
    <w:rsid w:val="009D4EE0"/>
    <w:rsid w:val="009D4EE9"/>
    <w:rsid w:val="009D5036"/>
    <w:rsid w:val="009D56EE"/>
    <w:rsid w:val="009D5ACF"/>
    <w:rsid w:val="009D5AD9"/>
    <w:rsid w:val="009D5B97"/>
    <w:rsid w:val="009D5DF6"/>
    <w:rsid w:val="009D5E80"/>
    <w:rsid w:val="009D5F7E"/>
    <w:rsid w:val="009D5F9A"/>
    <w:rsid w:val="009D5FCF"/>
    <w:rsid w:val="009D6052"/>
    <w:rsid w:val="009D6285"/>
    <w:rsid w:val="009D6497"/>
    <w:rsid w:val="009D6589"/>
    <w:rsid w:val="009D66E8"/>
    <w:rsid w:val="009D6A83"/>
    <w:rsid w:val="009D6B87"/>
    <w:rsid w:val="009D6BC2"/>
    <w:rsid w:val="009D6C47"/>
    <w:rsid w:val="009D6D5F"/>
    <w:rsid w:val="009D6D73"/>
    <w:rsid w:val="009D6E98"/>
    <w:rsid w:val="009D6F6A"/>
    <w:rsid w:val="009D6FEB"/>
    <w:rsid w:val="009D70EB"/>
    <w:rsid w:val="009D7238"/>
    <w:rsid w:val="009D73CE"/>
    <w:rsid w:val="009D74C0"/>
    <w:rsid w:val="009D75FC"/>
    <w:rsid w:val="009D78C8"/>
    <w:rsid w:val="009D78D0"/>
    <w:rsid w:val="009D7F8D"/>
    <w:rsid w:val="009D7FA6"/>
    <w:rsid w:val="009E0133"/>
    <w:rsid w:val="009E02BC"/>
    <w:rsid w:val="009E02CA"/>
    <w:rsid w:val="009E034F"/>
    <w:rsid w:val="009E0407"/>
    <w:rsid w:val="009E0409"/>
    <w:rsid w:val="009E04B1"/>
    <w:rsid w:val="009E0533"/>
    <w:rsid w:val="009E053C"/>
    <w:rsid w:val="009E06F5"/>
    <w:rsid w:val="009E074F"/>
    <w:rsid w:val="009E0794"/>
    <w:rsid w:val="009E0B3D"/>
    <w:rsid w:val="009E0D11"/>
    <w:rsid w:val="009E1092"/>
    <w:rsid w:val="009E158F"/>
    <w:rsid w:val="009E1816"/>
    <w:rsid w:val="009E1A82"/>
    <w:rsid w:val="009E1B55"/>
    <w:rsid w:val="009E1BB4"/>
    <w:rsid w:val="009E1C00"/>
    <w:rsid w:val="009E1CB4"/>
    <w:rsid w:val="009E1DED"/>
    <w:rsid w:val="009E1FAE"/>
    <w:rsid w:val="009E22AB"/>
    <w:rsid w:val="009E22D8"/>
    <w:rsid w:val="009E2723"/>
    <w:rsid w:val="009E2885"/>
    <w:rsid w:val="009E2937"/>
    <w:rsid w:val="009E2A1B"/>
    <w:rsid w:val="009E2A3C"/>
    <w:rsid w:val="009E2B86"/>
    <w:rsid w:val="009E2ED7"/>
    <w:rsid w:val="009E3084"/>
    <w:rsid w:val="009E3693"/>
    <w:rsid w:val="009E3698"/>
    <w:rsid w:val="009E3C91"/>
    <w:rsid w:val="009E3D67"/>
    <w:rsid w:val="009E3D6F"/>
    <w:rsid w:val="009E413D"/>
    <w:rsid w:val="009E4404"/>
    <w:rsid w:val="009E4473"/>
    <w:rsid w:val="009E463A"/>
    <w:rsid w:val="009E4AF8"/>
    <w:rsid w:val="009E4C1A"/>
    <w:rsid w:val="009E4E43"/>
    <w:rsid w:val="009E520F"/>
    <w:rsid w:val="009E52BD"/>
    <w:rsid w:val="009E52FC"/>
    <w:rsid w:val="009E561A"/>
    <w:rsid w:val="009E56B5"/>
    <w:rsid w:val="009E595D"/>
    <w:rsid w:val="009E5CD6"/>
    <w:rsid w:val="009E5E78"/>
    <w:rsid w:val="009E5F3E"/>
    <w:rsid w:val="009E5F43"/>
    <w:rsid w:val="009E6181"/>
    <w:rsid w:val="009E6205"/>
    <w:rsid w:val="009E620C"/>
    <w:rsid w:val="009E62D6"/>
    <w:rsid w:val="009E63E8"/>
    <w:rsid w:val="009E6411"/>
    <w:rsid w:val="009E64B0"/>
    <w:rsid w:val="009E64CA"/>
    <w:rsid w:val="009E6769"/>
    <w:rsid w:val="009E695F"/>
    <w:rsid w:val="009E6A9A"/>
    <w:rsid w:val="009E6E54"/>
    <w:rsid w:val="009E6E7D"/>
    <w:rsid w:val="009E7251"/>
    <w:rsid w:val="009E7279"/>
    <w:rsid w:val="009E72DB"/>
    <w:rsid w:val="009E7318"/>
    <w:rsid w:val="009E7630"/>
    <w:rsid w:val="009E7A5A"/>
    <w:rsid w:val="009E7AC0"/>
    <w:rsid w:val="009E7D00"/>
    <w:rsid w:val="009E7D01"/>
    <w:rsid w:val="009E7D82"/>
    <w:rsid w:val="009E7E5B"/>
    <w:rsid w:val="009E7F53"/>
    <w:rsid w:val="009F0117"/>
    <w:rsid w:val="009F012F"/>
    <w:rsid w:val="009F0161"/>
    <w:rsid w:val="009F05D2"/>
    <w:rsid w:val="009F06BB"/>
    <w:rsid w:val="009F07C7"/>
    <w:rsid w:val="009F08BC"/>
    <w:rsid w:val="009F08C9"/>
    <w:rsid w:val="009F0BCD"/>
    <w:rsid w:val="009F10D9"/>
    <w:rsid w:val="009F11B1"/>
    <w:rsid w:val="009F120A"/>
    <w:rsid w:val="009F1677"/>
    <w:rsid w:val="009F16DF"/>
    <w:rsid w:val="009F20D9"/>
    <w:rsid w:val="009F26CE"/>
    <w:rsid w:val="009F2700"/>
    <w:rsid w:val="009F277E"/>
    <w:rsid w:val="009F2855"/>
    <w:rsid w:val="009F28DC"/>
    <w:rsid w:val="009F29CB"/>
    <w:rsid w:val="009F2A67"/>
    <w:rsid w:val="009F2A9C"/>
    <w:rsid w:val="009F2D95"/>
    <w:rsid w:val="009F2D9E"/>
    <w:rsid w:val="009F2FBD"/>
    <w:rsid w:val="009F320B"/>
    <w:rsid w:val="009F3224"/>
    <w:rsid w:val="009F3398"/>
    <w:rsid w:val="009F348A"/>
    <w:rsid w:val="009F3ACB"/>
    <w:rsid w:val="009F3D79"/>
    <w:rsid w:val="009F3E90"/>
    <w:rsid w:val="009F3E9E"/>
    <w:rsid w:val="009F40B4"/>
    <w:rsid w:val="009F4207"/>
    <w:rsid w:val="009F420A"/>
    <w:rsid w:val="009F427F"/>
    <w:rsid w:val="009F42EE"/>
    <w:rsid w:val="009F4313"/>
    <w:rsid w:val="009F476C"/>
    <w:rsid w:val="009F480D"/>
    <w:rsid w:val="009F4933"/>
    <w:rsid w:val="009F4971"/>
    <w:rsid w:val="009F49F5"/>
    <w:rsid w:val="009F5175"/>
    <w:rsid w:val="009F526A"/>
    <w:rsid w:val="009F5620"/>
    <w:rsid w:val="009F575A"/>
    <w:rsid w:val="009F58C8"/>
    <w:rsid w:val="009F5DDF"/>
    <w:rsid w:val="009F5DE3"/>
    <w:rsid w:val="009F61AD"/>
    <w:rsid w:val="009F62A7"/>
    <w:rsid w:val="009F6502"/>
    <w:rsid w:val="009F66F1"/>
    <w:rsid w:val="009F6E37"/>
    <w:rsid w:val="009F72C6"/>
    <w:rsid w:val="009F7335"/>
    <w:rsid w:val="009F73ED"/>
    <w:rsid w:val="009F74F6"/>
    <w:rsid w:val="009F79DA"/>
    <w:rsid w:val="009F7A6B"/>
    <w:rsid w:val="009F7E82"/>
    <w:rsid w:val="009F7ECF"/>
    <w:rsid w:val="009F7EFD"/>
    <w:rsid w:val="009F7F72"/>
    <w:rsid w:val="00A003AE"/>
    <w:rsid w:val="00A00488"/>
    <w:rsid w:val="00A004A4"/>
    <w:rsid w:val="00A0052C"/>
    <w:rsid w:val="00A00585"/>
    <w:rsid w:val="00A005B5"/>
    <w:rsid w:val="00A006F9"/>
    <w:rsid w:val="00A00716"/>
    <w:rsid w:val="00A0078A"/>
    <w:rsid w:val="00A0095C"/>
    <w:rsid w:val="00A00E18"/>
    <w:rsid w:val="00A00F67"/>
    <w:rsid w:val="00A012F0"/>
    <w:rsid w:val="00A01358"/>
    <w:rsid w:val="00A01526"/>
    <w:rsid w:val="00A016DF"/>
    <w:rsid w:val="00A0191A"/>
    <w:rsid w:val="00A01B31"/>
    <w:rsid w:val="00A01C2A"/>
    <w:rsid w:val="00A01D57"/>
    <w:rsid w:val="00A01DDC"/>
    <w:rsid w:val="00A020EF"/>
    <w:rsid w:val="00A021A4"/>
    <w:rsid w:val="00A0235D"/>
    <w:rsid w:val="00A024E9"/>
    <w:rsid w:val="00A02AAF"/>
    <w:rsid w:val="00A02B84"/>
    <w:rsid w:val="00A02BC6"/>
    <w:rsid w:val="00A02C86"/>
    <w:rsid w:val="00A02D07"/>
    <w:rsid w:val="00A02E0E"/>
    <w:rsid w:val="00A02E7D"/>
    <w:rsid w:val="00A03094"/>
    <w:rsid w:val="00A031E1"/>
    <w:rsid w:val="00A03373"/>
    <w:rsid w:val="00A03481"/>
    <w:rsid w:val="00A0348F"/>
    <w:rsid w:val="00A03608"/>
    <w:rsid w:val="00A0362C"/>
    <w:rsid w:val="00A036D2"/>
    <w:rsid w:val="00A038C0"/>
    <w:rsid w:val="00A03912"/>
    <w:rsid w:val="00A0394E"/>
    <w:rsid w:val="00A0397C"/>
    <w:rsid w:val="00A03A6D"/>
    <w:rsid w:val="00A03C73"/>
    <w:rsid w:val="00A03D72"/>
    <w:rsid w:val="00A03D7D"/>
    <w:rsid w:val="00A03E6B"/>
    <w:rsid w:val="00A03EA9"/>
    <w:rsid w:val="00A03EAB"/>
    <w:rsid w:val="00A03F5A"/>
    <w:rsid w:val="00A04151"/>
    <w:rsid w:val="00A041AE"/>
    <w:rsid w:val="00A0463E"/>
    <w:rsid w:val="00A0471A"/>
    <w:rsid w:val="00A0487D"/>
    <w:rsid w:val="00A0499A"/>
    <w:rsid w:val="00A04A70"/>
    <w:rsid w:val="00A04A98"/>
    <w:rsid w:val="00A04D2A"/>
    <w:rsid w:val="00A04D5D"/>
    <w:rsid w:val="00A04F3B"/>
    <w:rsid w:val="00A05110"/>
    <w:rsid w:val="00A0517A"/>
    <w:rsid w:val="00A051FA"/>
    <w:rsid w:val="00A055F9"/>
    <w:rsid w:val="00A056D1"/>
    <w:rsid w:val="00A05750"/>
    <w:rsid w:val="00A057A4"/>
    <w:rsid w:val="00A05876"/>
    <w:rsid w:val="00A0637E"/>
    <w:rsid w:val="00A065CC"/>
    <w:rsid w:val="00A065D0"/>
    <w:rsid w:val="00A065F7"/>
    <w:rsid w:val="00A068D6"/>
    <w:rsid w:val="00A068EC"/>
    <w:rsid w:val="00A06B4C"/>
    <w:rsid w:val="00A06D42"/>
    <w:rsid w:val="00A06F28"/>
    <w:rsid w:val="00A07029"/>
    <w:rsid w:val="00A07122"/>
    <w:rsid w:val="00A07134"/>
    <w:rsid w:val="00A07572"/>
    <w:rsid w:val="00A07676"/>
    <w:rsid w:val="00A0768D"/>
    <w:rsid w:val="00A07976"/>
    <w:rsid w:val="00A07C0F"/>
    <w:rsid w:val="00A07D03"/>
    <w:rsid w:val="00A07E98"/>
    <w:rsid w:val="00A07EEA"/>
    <w:rsid w:val="00A10229"/>
    <w:rsid w:val="00A1030F"/>
    <w:rsid w:val="00A1058E"/>
    <w:rsid w:val="00A1078B"/>
    <w:rsid w:val="00A10915"/>
    <w:rsid w:val="00A10B2D"/>
    <w:rsid w:val="00A10B7A"/>
    <w:rsid w:val="00A10B98"/>
    <w:rsid w:val="00A10DFA"/>
    <w:rsid w:val="00A10E46"/>
    <w:rsid w:val="00A10F32"/>
    <w:rsid w:val="00A110A7"/>
    <w:rsid w:val="00A1115E"/>
    <w:rsid w:val="00A111A6"/>
    <w:rsid w:val="00A113B4"/>
    <w:rsid w:val="00A11529"/>
    <w:rsid w:val="00A117A1"/>
    <w:rsid w:val="00A117D3"/>
    <w:rsid w:val="00A11C5C"/>
    <w:rsid w:val="00A11D1D"/>
    <w:rsid w:val="00A11DFC"/>
    <w:rsid w:val="00A11E27"/>
    <w:rsid w:val="00A11F99"/>
    <w:rsid w:val="00A12301"/>
    <w:rsid w:val="00A12467"/>
    <w:rsid w:val="00A12680"/>
    <w:rsid w:val="00A128CD"/>
    <w:rsid w:val="00A12981"/>
    <w:rsid w:val="00A12AA8"/>
    <w:rsid w:val="00A12AE2"/>
    <w:rsid w:val="00A12AF3"/>
    <w:rsid w:val="00A12BDD"/>
    <w:rsid w:val="00A12C8F"/>
    <w:rsid w:val="00A12EB0"/>
    <w:rsid w:val="00A12EB7"/>
    <w:rsid w:val="00A12F5B"/>
    <w:rsid w:val="00A1301D"/>
    <w:rsid w:val="00A13191"/>
    <w:rsid w:val="00A1355D"/>
    <w:rsid w:val="00A1357C"/>
    <w:rsid w:val="00A13660"/>
    <w:rsid w:val="00A13B39"/>
    <w:rsid w:val="00A13B8E"/>
    <w:rsid w:val="00A13E0F"/>
    <w:rsid w:val="00A13F08"/>
    <w:rsid w:val="00A14110"/>
    <w:rsid w:val="00A141DC"/>
    <w:rsid w:val="00A14854"/>
    <w:rsid w:val="00A14A22"/>
    <w:rsid w:val="00A15011"/>
    <w:rsid w:val="00A15013"/>
    <w:rsid w:val="00A150A7"/>
    <w:rsid w:val="00A150E2"/>
    <w:rsid w:val="00A15292"/>
    <w:rsid w:val="00A15332"/>
    <w:rsid w:val="00A154F9"/>
    <w:rsid w:val="00A1551E"/>
    <w:rsid w:val="00A15639"/>
    <w:rsid w:val="00A158C5"/>
    <w:rsid w:val="00A15951"/>
    <w:rsid w:val="00A15987"/>
    <w:rsid w:val="00A15EC6"/>
    <w:rsid w:val="00A1612B"/>
    <w:rsid w:val="00A1612C"/>
    <w:rsid w:val="00A16148"/>
    <w:rsid w:val="00A1639F"/>
    <w:rsid w:val="00A1646A"/>
    <w:rsid w:val="00A16720"/>
    <w:rsid w:val="00A16B99"/>
    <w:rsid w:val="00A16D07"/>
    <w:rsid w:val="00A16D63"/>
    <w:rsid w:val="00A16DB6"/>
    <w:rsid w:val="00A16DCD"/>
    <w:rsid w:val="00A173E4"/>
    <w:rsid w:val="00A17468"/>
    <w:rsid w:val="00A17AE9"/>
    <w:rsid w:val="00A17CB5"/>
    <w:rsid w:val="00A17CF7"/>
    <w:rsid w:val="00A17D41"/>
    <w:rsid w:val="00A17DF6"/>
    <w:rsid w:val="00A17DF9"/>
    <w:rsid w:val="00A20069"/>
    <w:rsid w:val="00A200E1"/>
    <w:rsid w:val="00A201DE"/>
    <w:rsid w:val="00A201E7"/>
    <w:rsid w:val="00A2042D"/>
    <w:rsid w:val="00A20836"/>
    <w:rsid w:val="00A2089C"/>
    <w:rsid w:val="00A209B5"/>
    <w:rsid w:val="00A20C6C"/>
    <w:rsid w:val="00A20CFF"/>
    <w:rsid w:val="00A20D0C"/>
    <w:rsid w:val="00A20EBC"/>
    <w:rsid w:val="00A21316"/>
    <w:rsid w:val="00A21378"/>
    <w:rsid w:val="00A214D5"/>
    <w:rsid w:val="00A2154B"/>
    <w:rsid w:val="00A2175A"/>
    <w:rsid w:val="00A2180C"/>
    <w:rsid w:val="00A21856"/>
    <w:rsid w:val="00A2188A"/>
    <w:rsid w:val="00A218E7"/>
    <w:rsid w:val="00A219A1"/>
    <w:rsid w:val="00A219C4"/>
    <w:rsid w:val="00A21DAA"/>
    <w:rsid w:val="00A21F96"/>
    <w:rsid w:val="00A2201E"/>
    <w:rsid w:val="00A221D1"/>
    <w:rsid w:val="00A22397"/>
    <w:rsid w:val="00A22447"/>
    <w:rsid w:val="00A22474"/>
    <w:rsid w:val="00A226DD"/>
    <w:rsid w:val="00A22C38"/>
    <w:rsid w:val="00A22C6F"/>
    <w:rsid w:val="00A22DF3"/>
    <w:rsid w:val="00A22E22"/>
    <w:rsid w:val="00A230A1"/>
    <w:rsid w:val="00A23328"/>
    <w:rsid w:val="00A2341D"/>
    <w:rsid w:val="00A23541"/>
    <w:rsid w:val="00A236A7"/>
    <w:rsid w:val="00A2371B"/>
    <w:rsid w:val="00A23772"/>
    <w:rsid w:val="00A23945"/>
    <w:rsid w:val="00A23C52"/>
    <w:rsid w:val="00A23C6F"/>
    <w:rsid w:val="00A23D21"/>
    <w:rsid w:val="00A23FAB"/>
    <w:rsid w:val="00A24052"/>
    <w:rsid w:val="00A24094"/>
    <w:rsid w:val="00A240F8"/>
    <w:rsid w:val="00A2415E"/>
    <w:rsid w:val="00A24167"/>
    <w:rsid w:val="00A24176"/>
    <w:rsid w:val="00A24185"/>
    <w:rsid w:val="00A2419C"/>
    <w:rsid w:val="00A2421D"/>
    <w:rsid w:val="00A242F9"/>
    <w:rsid w:val="00A244E1"/>
    <w:rsid w:val="00A24556"/>
    <w:rsid w:val="00A245C7"/>
    <w:rsid w:val="00A247EC"/>
    <w:rsid w:val="00A2492A"/>
    <w:rsid w:val="00A24A6E"/>
    <w:rsid w:val="00A24BE0"/>
    <w:rsid w:val="00A24CA3"/>
    <w:rsid w:val="00A24F6D"/>
    <w:rsid w:val="00A25075"/>
    <w:rsid w:val="00A25177"/>
    <w:rsid w:val="00A25379"/>
    <w:rsid w:val="00A2545B"/>
    <w:rsid w:val="00A254DE"/>
    <w:rsid w:val="00A25765"/>
    <w:rsid w:val="00A25795"/>
    <w:rsid w:val="00A257C8"/>
    <w:rsid w:val="00A259EC"/>
    <w:rsid w:val="00A25E31"/>
    <w:rsid w:val="00A25E9A"/>
    <w:rsid w:val="00A2617F"/>
    <w:rsid w:val="00A2644D"/>
    <w:rsid w:val="00A267B9"/>
    <w:rsid w:val="00A26833"/>
    <w:rsid w:val="00A26A0D"/>
    <w:rsid w:val="00A26A38"/>
    <w:rsid w:val="00A26BC7"/>
    <w:rsid w:val="00A26F64"/>
    <w:rsid w:val="00A27504"/>
    <w:rsid w:val="00A2750A"/>
    <w:rsid w:val="00A276B7"/>
    <w:rsid w:val="00A276E9"/>
    <w:rsid w:val="00A2779D"/>
    <w:rsid w:val="00A279D5"/>
    <w:rsid w:val="00A27D91"/>
    <w:rsid w:val="00A27FB6"/>
    <w:rsid w:val="00A3003A"/>
    <w:rsid w:val="00A3041C"/>
    <w:rsid w:val="00A304EB"/>
    <w:rsid w:val="00A30627"/>
    <w:rsid w:val="00A30680"/>
    <w:rsid w:val="00A306DC"/>
    <w:rsid w:val="00A3082A"/>
    <w:rsid w:val="00A3093D"/>
    <w:rsid w:val="00A30B16"/>
    <w:rsid w:val="00A30B1A"/>
    <w:rsid w:val="00A30DB8"/>
    <w:rsid w:val="00A30E1D"/>
    <w:rsid w:val="00A30F84"/>
    <w:rsid w:val="00A31187"/>
    <w:rsid w:val="00A3130E"/>
    <w:rsid w:val="00A313B1"/>
    <w:rsid w:val="00A3142A"/>
    <w:rsid w:val="00A31503"/>
    <w:rsid w:val="00A31523"/>
    <w:rsid w:val="00A31885"/>
    <w:rsid w:val="00A318B9"/>
    <w:rsid w:val="00A31B66"/>
    <w:rsid w:val="00A31C7D"/>
    <w:rsid w:val="00A31CC0"/>
    <w:rsid w:val="00A31DE0"/>
    <w:rsid w:val="00A31EC3"/>
    <w:rsid w:val="00A31EFC"/>
    <w:rsid w:val="00A32450"/>
    <w:rsid w:val="00A3264A"/>
    <w:rsid w:val="00A329A6"/>
    <w:rsid w:val="00A329CA"/>
    <w:rsid w:val="00A32BAC"/>
    <w:rsid w:val="00A32C49"/>
    <w:rsid w:val="00A32EF9"/>
    <w:rsid w:val="00A32F7C"/>
    <w:rsid w:val="00A33152"/>
    <w:rsid w:val="00A33519"/>
    <w:rsid w:val="00A3370D"/>
    <w:rsid w:val="00A3371E"/>
    <w:rsid w:val="00A33946"/>
    <w:rsid w:val="00A339C5"/>
    <w:rsid w:val="00A339FC"/>
    <w:rsid w:val="00A33A02"/>
    <w:rsid w:val="00A33A16"/>
    <w:rsid w:val="00A33B18"/>
    <w:rsid w:val="00A33F24"/>
    <w:rsid w:val="00A342B7"/>
    <w:rsid w:val="00A343A6"/>
    <w:rsid w:val="00A344A5"/>
    <w:rsid w:val="00A344F7"/>
    <w:rsid w:val="00A347E0"/>
    <w:rsid w:val="00A348E9"/>
    <w:rsid w:val="00A34967"/>
    <w:rsid w:val="00A34A95"/>
    <w:rsid w:val="00A34D44"/>
    <w:rsid w:val="00A34E8A"/>
    <w:rsid w:val="00A34F66"/>
    <w:rsid w:val="00A35039"/>
    <w:rsid w:val="00A3520F"/>
    <w:rsid w:val="00A3549E"/>
    <w:rsid w:val="00A3551F"/>
    <w:rsid w:val="00A3561C"/>
    <w:rsid w:val="00A358F4"/>
    <w:rsid w:val="00A3590E"/>
    <w:rsid w:val="00A359A3"/>
    <w:rsid w:val="00A35ABE"/>
    <w:rsid w:val="00A35EFF"/>
    <w:rsid w:val="00A3602B"/>
    <w:rsid w:val="00A360B0"/>
    <w:rsid w:val="00A361C6"/>
    <w:rsid w:val="00A36596"/>
    <w:rsid w:val="00A36653"/>
    <w:rsid w:val="00A36852"/>
    <w:rsid w:val="00A36856"/>
    <w:rsid w:val="00A36A7D"/>
    <w:rsid w:val="00A36A82"/>
    <w:rsid w:val="00A36BC4"/>
    <w:rsid w:val="00A36C19"/>
    <w:rsid w:val="00A36E4B"/>
    <w:rsid w:val="00A36ECC"/>
    <w:rsid w:val="00A374FD"/>
    <w:rsid w:val="00A3787C"/>
    <w:rsid w:val="00A37AE4"/>
    <w:rsid w:val="00A37B8F"/>
    <w:rsid w:val="00A37CFF"/>
    <w:rsid w:val="00A37D7F"/>
    <w:rsid w:val="00A37DC5"/>
    <w:rsid w:val="00A37F5D"/>
    <w:rsid w:val="00A40375"/>
    <w:rsid w:val="00A404D4"/>
    <w:rsid w:val="00A40756"/>
    <w:rsid w:val="00A40781"/>
    <w:rsid w:val="00A40827"/>
    <w:rsid w:val="00A40982"/>
    <w:rsid w:val="00A40B0F"/>
    <w:rsid w:val="00A40BDB"/>
    <w:rsid w:val="00A40C7F"/>
    <w:rsid w:val="00A40CCF"/>
    <w:rsid w:val="00A40F35"/>
    <w:rsid w:val="00A41145"/>
    <w:rsid w:val="00A4127E"/>
    <w:rsid w:val="00A414A5"/>
    <w:rsid w:val="00A41511"/>
    <w:rsid w:val="00A417B1"/>
    <w:rsid w:val="00A418B1"/>
    <w:rsid w:val="00A41A2A"/>
    <w:rsid w:val="00A41A42"/>
    <w:rsid w:val="00A41A7D"/>
    <w:rsid w:val="00A41B65"/>
    <w:rsid w:val="00A41E60"/>
    <w:rsid w:val="00A41F71"/>
    <w:rsid w:val="00A42003"/>
    <w:rsid w:val="00A4218A"/>
    <w:rsid w:val="00A42243"/>
    <w:rsid w:val="00A424F0"/>
    <w:rsid w:val="00A42696"/>
    <w:rsid w:val="00A4270C"/>
    <w:rsid w:val="00A428F8"/>
    <w:rsid w:val="00A42ABF"/>
    <w:rsid w:val="00A42B77"/>
    <w:rsid w:val="00A42BB4"/>
    <w:rsid w:val="00A42CCE"/>
    <w:rsid w:val="00A42EEB"/>
    <w:rsid w:val="00A42F65"/>
    <w:rsid w:val="00A43125"/>
    <w:rsid w:val="00A433FC"/>
    <w:rsid w:val="00A43437"/>
    <w:rsid w:val="00A43965"/>
    <w:rsid w:val="00A439D7"/>
    <w:rsid w:val="00A43A04"/>
    <w:rsid w:val="00A43DCA"/>
    <w:rsid w:val="00A43E42"/>
    <w:rsid w:val="00A43EA8"/>
    <w:rsid w:val="00A44111"/>
    <w:rsid w:val="00A4416A"/>
    <w:rsid w:val="00A44204"/>
    <w:rsid w:val="00A44253"/>
    <w:rsid w:val="00A44542"/>
    <w:rsid w:val="00A447B3"/>
    <w:rsid w:val="00A449A7"/>
    <w:rsid w:val="00A44A96"/>
    <w:rsid w:val="00A44B60"/>
    <w:rsid w:val="00A44BFE"/>
    <w:rsid w:val="00A44F5C"/>
    <w:rsid w:val="00A45024"/>
    <w:rsid w:val="00A45030"/>
    <w:rsid w:val="00A45052"/>
    <w:rsid w:val="00A45128"/>
    <w:rsid w:val="00A4512B"/>
    <w:rsid w:val="00A451AF"/>
    <w:rsid w:val="00A4525B"/>
    <w:rsid w:val="00A452BE"/>
    <w:rsid w:val="00A45339"/>
    <w:rsid w:val="00A456E8"/>
    <w:rsid w:val="00A458AC"/>
    <w:rsid w:val="00A4592B"/>
    <w:rsid w:val="00A4597B"/>
    <w:rsid w:val="00A45B2C"/>
    <w:rsid w:val="00A45C92"/>
    <w:rsid w:val="00A45DBE"/>
    <w:rsid w:val="00A45E65"/>
    <w:rsid w:val="00A45E78"/>
    <w:rsid w:val="00A45EFD"/>
    <w:rsid w:val="00A461A5"/>
    <w:rsid w:val="00A46231"/>
    <w:rsid w:val="00A465D6"/>
    <w:rsid w:val="00A46770"/>
    <w:rsid w:val="00A4686C"/>
    <w:rsid w:val="00A4697F"/>
    <w:rsid w:val="00A469F4"/>
    <w:rsid w:val="00A46A2A"/>
    <w:rsid w:val="00A46B49"/>
    <w:rsid w:val="00A46BB1"/>
    <w:rsid w:val="00A46BF8"/>
    <w:rsid w:val="00A472EA"/>
    <w:rsid w:val="00A47501"/>
    <w:rsid w:val="00A4772B"/>
    <w:rsid w:val="00A477AC"/>
    <w:rsid w:val="00A47960"/>
    <w:rsid w:val="00A47C09"/>
    <w:rsid w:val="00A47CA4"/>
    <w:rsid w:val="00A47D2B"/>
    <w:rsid w:val="00A47DF9"/>
    <w:rsid w:val="00A47E72"/>
    <w:rsid w:val="00A50210"/>
    <w:rsid w:val="00A50419"/>
    <w:rsid w:val="00A504A0"/>
    <w:rsid w:val="00A50514"/>
    <w:rsid w:val="00A50536"/>
    <w:rsid w:val="00A50607"/>
    <w:rsid w:val="00A50697"/>
    <w:rsid w:val="00A506ED"/>
    <w:rsid w:val="00A5084A"/>
    <w:rsid w:val="00A50878"/>
    <w:rsid w:val="00A5089D"/>
    <w:rsid w:val="00A50A4E"/>
    <w:rsid w:val="00A50B0F"/>
    <w:rsid w:val="00A50C0C"/>
    <w:rsid w:val="00A50EDD"/>
    <w:rsid w:val="00A50FBF"/>
    <w:rsid w:val="00A51038"/>
    <w:rsid w:val="00A5112F"/>
    <w:rsid w:val="00A51224"/>
    <w:rsid w:val="00A51290"/>
    <w:rsid w:val="00A512B1"/>
    <w:rsid w:val="00A512F5"/>
    <w:rsid w:val="00A513CC"/>
    <w:rsid w:val="00A5142B"/>
    <w:rsid w:val="00A515B4"/>
    <w:rsid w:val="00A51634"/>
    <w:rsid w:val="00A5175E"/>
    <w:rsid w:val="00A51807"/>
    <w:rsid w:val="00A51814"/>
    <w:rsid w:val="00A51B86"/>
    <w:rsid w:val="00A51BB6"/>
    <w:rsid w:val="00A51C5B"/>
    <w:rsid w:val="00A51CA2"/>
    <w:rsid w:val="00A51CA3"/>
    <w:rsid w:val="00A51DD5"/>
    <w:rsid w:val="00A520C5"/>
    <w:rsid w:val="00A521BD"/>
    <w:rsid w:val="00A522E1"/>
    <w:rsid w:val="00A52443"/>
    <w:rsid w:val="00A5276D"/>
    <w:rsid w:val="00A52833"/>
    <w:rsid w:val="00A528E1"/>
    <w:rsid w:val="00A52A61"/>
    <w:rsid w:val="00A52AA2"/>
    <w:rsid w:val="00A52C66"/>
    <w:rsid w:val="00A52E79"/>
    <w:rsid w:val="00A52F19"/>
    <w:rsid w:val="00A53001"/>
    <w:rsid w:val="00A532D5"/>
    <w:rsid w:val="00A534AE"/>
    <w:rsid w:val="00A53525"/>
    <w:rsid w:val="00A53943"/>
    <w:rsid w:val="00A53BF3"/>
    <w:rsid w:val="00A53E7F"/>
    <w:rsid w:val="00A541D6"/>
    <w:rsid w:val="00A54202"/>
    <w:rsid w:val="00A542B7"/>
    <w:rsid w:val="00A54609"/>
    <w:rsid w:val="00A548E6"/>
    <w:rsid w:val="00A549A2"/>
    <w:rsid w:val="00A549E7"/>
    <w:rsid w:val="00A54B94"/>
    <w:rsid w:val="00A54BBF"/>
    <w:rsid w:val="00A54C5F"/>
    <w:rsid w:val="00A54CC9"/>
    <w:rsid w:val="00A54EC5"/>
    <w:rsid w:val="00A54FB1"/>
    <w:rsid w:val="00A5515C"/>
    <w:rsid w:val="00A5549B"/>
    <w:rsid w:val="00A554F3"/>
    <w:rsid w:val="00A55543"/>
    <w:rsid w:val="00A55549"/>
    <w:rsid w:val="00A556DF"/>
    <w:rsid w:val="00A5577D"/>
    <w:rsid w:val="00A55898"/>
    <w:rsid w:val="00A558B6"/>
    <w:rsid w:val="00A55AFA"/>
    <w:rsid w:val="00A55B65"/>
    <w:rsid w:val="00A55C00"/>
    <w:rsid w:val="00A55CB8"/>
    <w:rsid w:val="00A55CD3"/>
    <w:rsid w:val="00A5628C"/>
    <w:rsid w:val="00A5643F"/>
    <w:rsid w:val="00A56771"/>
    <w:rsid w:val="00A56BEA"/>
    <w:rsid w:val="00A56C43"/>
    <w:rsid w:val="00A56E9E"/>
    <w:rsid w:val="00A56FAB"/>
    <w:rsid w:val="00A57218"/>
    <w:rsid w:val="00A5724C"/>
    <w:rsid w:val="00A57309"/>
    <w:rsid w:val="00A573D7"/>
    <w:rsid w:val="00A575A9"/>
    <w:rsid w:val="00A576D4"/>
    <w:rsid w:val="00A57980"/>
    <w:rsid w:val="00A579D0"/>
    <w:rsid w:val="00A57AB3"/>
    <w:rsid w:val="00A57B4A"/>
    <w:rsid w:val="00A57B7D"/>
    <w:rsid w:val="00A57BF6"/>
    <w:rsid w:val="00A57C7D"/>
    <w:rsid w:val="00A57CA5"/>
    <w:rsid w:val="00A6007B"/>
    <w:rsid w:val="00A60205"/>
    <w:rsid w:val="00A602EB"/>
    <w:rsid w:val="00A60737"/>
    <w:rsid w:val="00A60882"/>
    <w:rsid w:val="00A60BB4"/>
    <w:rsid w:val="00A60C60"/>
    <w:rsid w:val="00A60D45"/>
    <w:rsid w:val="00A61024"/>
    <w:rsid w:val="00A61252"/>
    <w:rsid w:val="00A61283"/>
    <w:rsid w:val="00A61450"/>
    <w:rsid w:val="00A61498"/>
    <w:rsid w:val="00A616D3"/>
    <w:rsid w:val="00A618F6"/>
    <w:rsid w:val="00A61E51"/>
    <w:rsid w:val="00A621C0"/>
    <w:rsid w:val="00A621F6"/>
    <w:rsid w:val="00A623D0"/>
    <w:rsid w:val="00A624DC"/>
    <w:rsid w:val="00A62520"/>
    <w:rsid w:val="00A627A8"/>
    <w:rsid w:val="00A62B0E"/>
    <w:rsid w:val="00A62C14"/>
    <w:rsid w:val="00A62CF3"/>
    <w:rsid w:val="00A62EB5"/>
    <w:rsid w:val="00A63048"/>
    <w:rsid w:val="00A63259"/>
    <w:rsid w:val="00A63264"/>
    <w:rsid w:val="00A634DE"/>
    <w:rsid w:val="00A63623"/>
    <w:rsid w:val="00A638B3"/>
    <w:rsid w:val="00A638F4"/>
    <w:rsid w:val="00A6396C"/>
    <w:rsid w:val="00A63AAF"/>
    <w:rsid w:val="00A644E3"/>
    <w:rsid w:val="00A646F5"/>
    <w:rsid w:val="00A6476B"/>
    <w:rsid w:val="00A64812"/>
    <w:rsid w:val="00A64B28"/>
    <w:rsid w:val="00A64BEC"/>
    <w:rsid w:val="00A64F9E"/>
    <w:rsid w:val="00A65268"/>
    <w:rsid w:val="00A65513"/>
    <w:rsid w:val="00A6565E"/>
    <w:rsid w:val="00A656F2"/>
    <w:rsid w:val="00A65776"/>
    <w:rsid w:val="00A65D89"/>
    <w:rsid w:val="00A66075"/>
    <w:rsid w:val="00A661C1"/>
    <w:rsid w:val="00A66200"/>
    <w:rsid w:val="00A663FD"/>
    <w:rsid w:val="00A664B6"/>
    <w:rsid w:val="00A6655C"/>
    <w:rsid w:val="00A66A82"/>
    <w:rsid w:val="00A66BA7"/>
    <w:rsid w:val="00A66C16"/>
    <w:rsid w:val="00A66DEB"/>
    <w:rsid w:val="00A66E5E"/>
    <w:rsid w:val="00A66E67"/>
    <w:rsid w:val="00A67062"/>
    <w:rsid w:val="00A67197"/>
    <w:rsid w:val="00A67198"/>
    <w:rsid w:val="00A671F9"/>
    <w:rsid w:val="00A6741C"/>
    <w:rsid w:val="00A678E1"/>
    <w:rsid w:val="00A67B20"/>
    <w:rsid w:val="00A67D58"/>
    <w:rsid w:val="00A67E14"/>
    <w:rsid w:val="00A70033"/>
    <w:rsid w:val="00A70087"/>
    <w:rsid w:val="00A700E6"/>
    <w:rsid w:val="00A700FF"/>
    <w:rsid w:val="00A70217"/>
    <w:rsid w:val="00A702A2"/>
    <w:rsid w:val="00A702EA"/>
    <w:rsid w:val="00A70317"/>
    <w:rsid w:val="00A703F6"/>
    <w:rsid w:val="00A70543"/>
    <w:rsid w:val="00A70676"/>
    <w:rsid w:val="00A7076E"/>
    <w:rsid w:val="00A7093A"/>
    <w:rsid w:val="00A70C60"/>
    <w:rsid w:val="00A70D76"/>
    <w:rsid w:val="00A7106E"/>
    <w:rsid w:val="00A71091"/>
    <w:rsid w:val="00A712B5"/>
    <w:rsid w:val="00A7159E"/>
    <w:rsid w:val="00A71627"/>
    <w:rsid w:val="00A716E5"/>
    <w:rsid w:val="00A71707"/>
    <w:rsid w:val="00A71755"/>
    <w:rsid w:val="00A71928"/>
    <w:rsid w:val="00A71DB2"/>
    <w:rsid w:val="00A720BE"/>
    <w:rsid w:val="00A72387"/>
    <w:rsid w:val="00A72511"/>
    <w:rsid w:val="00A7278B"/>
    <w:rsid w:val="00A7281B"/>
    <w:rsid w:val="00A7285D"/>
    <w:rsid w:val="00A729ED"/>
    <w:rsid w:val="00A72A52"/>
    <w:rsid w:val="00A72D77"/>
    <w:rsid w:val="00A72F4D"/>
    <w:rsid w:val="00A730BF"/>
    <w:rsid w:val="00A7368A"/>
    <w:rsid w:val="00A73695"/>
    <w:rsid w:val="00A7374F"/>
    <w:rsid w:val="00A73799"/>
    <w:rsid w:val="00A738C2"/>
    <w:rsid w:val="00A73A21"/>
    <w:rsid w:val="00A73A37"/>
    <w:rsid w:val="00A73B63"/>
    <w:rsid w:val="00A73EDC"/>
    <w:rsid w:val="00A74080"/>
    <w:rsid w:val="00A7418D"/>
    <w:rsid w:val="00A74402"/>
    <w:rsid w:val="00A7442A"/>
    <w:rsid w:val="00A74438"/>
    <w:rsid w:val="00A74624"/>
    <w:rsid w:val="00A74736"/>
    <w:rsid w:val="00A748DA"/>
    <w:rsid w:val="00A74959"/>
    <w:rsid w:val="00A74CB3"/>
    <w:rsid w:val="00A74EB3"/>
    <w:rsid w:val="00A74F35"/>
    <w:rsid w:val="00A74F7E"/>
    <w:rsid w:val="00A74FBF"/>
    <w:rsid w:val="00A75313"/>
    <w:rsid w:val="00A7546D"/>
    <w:rsid w:val="00A7551A"/>
    <w:rsid w:val="00A75B20"/>
    <w:rsid w:val="00A75EFC"/>
    <w:rsid w:val="00A76028"/>
    <w:rsid w:val="00A76032"/>
    <w:rsid w:val="00A7608A"/>
    <w:rsid w:val="00A760DC"/>
    <w:rsid w:val="00A76132"/>
    <w:rsid w:val="00A763D0"/>
    <w:rsid w:val="00A7652C"/>
    <w:rsid w:val="00A76601"/>
    <w:rsid w:val="00A76926"/>
    <w:rsid w:val="00A769F8"/>
    <w:rsid w:val="00A76AD7"/>
    <w:rsid w:val="00A76AE6"/>
    <w:rsid w:val="00A76BA4"/>
    <w:rsid w:val="00A76CA0"/>
    <w:rsid w:val="00A76FFD"/>
    <w:rsid w:val="00A772E0"/>
    <w:rsid w:val="00A7736C"/>
    <w:rsid w:val="00A7738C"/>
    <w:rsid w:val="00A773AF"/>
    <w:rsid w:val="00A77458"/>
    <w:rsid w:val="00A77738"/>
    <w:rsid w:val="00A7794F"/>
    <w:rsid w:val="00A77BC0"/>
    <w:rsid w:val="00A77CE4"/>
    <w:rsid w:val="00A77CE6"/>
    <w:rsid w:val="00A77DF0"/>
    <w:rsid w:val="00A77F4F"/>
    <w:rsid w:val="00A77FCF"/>
    <w:rsid w:val="00A80124"/>
    <w:rsid w:val="00A802FC"/>
    <w:rsid w:val="00A8038C"/>
    <w:rsid w:val="00A80409"/>
    <w:rsid w:val="00A80498"/>
    <w:rsid w:val="00A80624"/>
    <w:rsid w:val="00A80713"/>
    <w:rsid w:val="00A807B4"/>
    <w:rsid w:val="00A80B2C"/>
    <w:rsid w:val="00A80B63"/>
    <w:rsid w:val="00A80CA8"/>
    <w:rsid w:val="00A80CC4"/>
    <w:rsid w:val="00A80D9B"/>
    <w:rsid w:val="00A80DCB"/>
    <w:rsid w:val="00A80E29"/>
    <w:rsid w:val="00A80ED5"/>
    <w:rsid w:val="00A80F65"/>
    <w:rsid w:val="00A80FC6"/>
    <w:rsid w:val="00A80FF8"/>
    <w:rsid w:val="00A8102F"/>
    <w:rsid w:val="00A81236"/>
    <w:rsid w:val="00A81407"/>
    <w:rsid w:val="00A81E18"/>
    <w:rsid w:val="00A82156"/>
    <w:rsid w:val="00A821F3"/>
    <w:rsid w:val="00A82313"/>
    <w:rsid w:val="00A8234E"/>
    <w:rsid w:val="00A823E6"/>
    <w:rsid w:val="00A82814"/>
    <w:rsid w:val="00A82918"/>
    <w:rsid w:val="00A829A2"/>
    <w:rsid w:val="00A82D96"/>
    <w:rsid w:val="00A82ED9"/>
    <w:rsid w:val="00A83096"/>
    <w:rsid w:val="00A830EC"/>
    <w:rsid w:val="00A832F1"/>
    <w:rsid w:val="00A83321"/>
    <w:rsid w:val="00A833E9"/>
    <w:rsid w:val="00A83551"/>
    <w:rsid w:val="00A83653"/>
    <w:rsid w:val="00A83659"/>
    <w:rsid w:val="00A83667"/>
    <w:rsid w:val="00A836E1"/>
    <w:rsid w:val="00A83B31"/>
    <w:rsid w:val="00A83C19"/>
    <w:rsid w:val="00A83C90"/>
    <w:rsid w:val="00A8428D"/>
    <w:rsid w:val="00A8448C"/>
    <w:rsid w:val="00A844D1"/>
    <w:rsid w:val="00A845A2"/>
    <w:rsid w:val="00A845EA"/>
    <w:rsid w:val="00A846C7"/>
    <w:rsid w:val="00A84855"/>
    <w:rsid w:val="00A84883"/>
    <w:rsid w:val="00A84987"/>
    <w:rsid w:val="00A84A8E"/>
    <w:rsid w:val="00A84C4D"/>
    <w:rsid w:val="00A84E32"/>
    <w:rsid w:val="00A84ED1"/>
    <w:rsid w:val="00A84ED8"/>
    <w:rsid w:val="00A84F9D"/>
    <w:rsid w:val="00A851D6"/>
    <w:rsid w:val="00A8567B"/>
    <w:rsid w:val="00A85917"/>
    <w:rsid w:val="00A85A01"/>
    <w:rsid w:val="00A85A94"/>
    <w:rsid w:val="00A85C8F"/>
    <w:rsid w:val="00A85CAC"/>
    <w:rsid w:val="00A85CAD"/>
    <w:rsid w:val="00A85EAF"/>
    <w:rsid w:val="00A86438"/>
    <w:rsid w:val="00A864B0"/>
    <w:rsid w:val="00A86739"/>
    <w:rsid w:val="00A86787"/>
    <w:rsid w:val="00A86793"/>
    <w:rsid w:val="00A8681C"/>
    <w:rsid w:val="00A868AB"/>
    <w:rsid w:val="00A86A3A"/>
    <w:rsid w:val="00A86B09"/>
    <w:rsid w:val="00A86B66"/>
    <w:rsid w:val="00A86C4E"/>
    <w:rsid w:val="00A86C70"/>
    <w:rsid w:val="00A86CD7"/>
    <w:rsid w:val="00A86CDE"/>
    <w:rsid w:val="00A86DF6"/>
    <w:rsid w:val="00A86E76"/>
    <w:rsid w:val="00A8724D"/>
    <w:rsid w:val="00A87279"/>
    <w:rsid w:val="00A8739D"/>
    <w:rsid w:val="00A8760A"/>
    <w:rsid w:val="00A878DA"/>
    <w:rsid w:val="00A87AA8"/>
    <w:rsid w:val="00A87AC1"/>
    <w:rsid w:val="00A87D8B"/>
    <w:rsid w:val="00A87DD2"/>
    <w:rsid w:val="00A900F4"/>
    <w:rsid w:val="00A901D4"/>
    <w:rsid w:val="00A90278"/>
    <w:rsid w:val="00A903B6"/>
    <w:rsid w:val="00A90492"/>
    <w:rsid w:val="00A90672"/>
    <w:rsid w:val="00A90673"/>
    <w:rsid w:val="00A90675"/>
    <w:rsid w:val="00A907B9"/>
    <w:rsid w:val="00A90B60"/>
    <w:rsid w:val="00A90DA3"/>
    <w:rsid w:val="00A90DAF"/>
    <w:rsid w:val="00A90DB4"/>
    <w:rsid w:val="00A90E24"/>
    <w:rsid w:val="00A90FAB"/>
    <w:rsid w:val="00A91130"/>
    <w:rsid w:val="00A91328"/>
    <w:rsid w:val="00A913BD"/>
    <w:rsid w:val="00A91467"/>
    <w:rsid w:val="00A9148E"/>
    <w:rsid w:val="00A91636"/>
    <w:rsid w:val="00A91D48"/>
    <w:rsid w:val="00A91D6D"/>
    <w:rsid w:val="00A91EFA"/>
    <w:rsid w:val="00A91F0C"/>
    <w:rsid w:val="00A920EC"/>
    <w:rsid w:val="00A92149"/>
    <w:rsid w:val="00A92176"/>
    <w:rsid w:val="00A922DB"/>
    <w:rsid w:val="00A923DA"/>
    <w:rsid w:val="00A924C2"/>
    <w:rsid w:val="00A92573"/>
    <w:rsid w:val="00A92A76"/>
    <w:rsid w:val="00A92B24"/>
    <w:rsid w:val="00A92C78"/>
    <w:rsid w:val="00A92D2A"/>
    <w:rsid w:val="00A92D7E"/>
    <w:rsid w:val="00A92F07"/>
    <w:rsid w:val="00A9300A"/>
    <w:rsid w:val="00A9305F"/>
    <w:rsid w:val="00A93120"/>
    <w:rsid w:val="00A932EB"/>
    <w:rsid w:val="00A93646"/>
    <w:rsid w:val="00A938F0"/>
    <w:rsid w:val="00A93902"/>
    <w:rsid w:val="00A93908"/>
    <w:rsid w:val="00A939FE"/>
    <w:rsid w:val="00A93B64"/>
    <w:rsid w:val="00A93D8B"/>
    <w:rsid w:val="00A93E5C"/>
    <w:rsid w:val="00A94166"/>
    <w:rsid w:val="00A941A9"/>
    <w:rsid w:val="00A94590"/>
    <w:rsid w:val="00A945CC"/>
    <w:rsid w:val="00A94A29"/>
    <w:rsid w:val="00A94AC9"/>
    <w:rsid w:val="00A94B21"/>
    <w:rsid w:val="00A94C09"/>
    <w:rsid w:val="00A94D37"/>
    <w:rsid w:val="00A94E9A"/>
    <w:rsid w:val="00A950D8"/>
    <w:rsid w:val="00A953EB"/>
    <w:rsid w:val="00A9577D"/>
    <w:rsid w:val="00A95944"/>
    <w:rsid w:val="00A959D9"/>
    <w:rsid w:val="00A95AC2"/>
    <w:rsid w:val="00A95BCC"/>
    <w:rsid w:val="00A95BD4"/>
    <w:rsid w:val="00A95C99"/>
    <w:rsid w:val="00A95D2C"/>
    <w:rsid w:val="00A96292"/>
    <w:rsid w:val="00A963B0"/>
    <w:rsid w:val="00A96742"/>
    <w:rsid w:val="00A96975"/>
    <w:rsid w:val="00A969DE"/>
    <w:rsid w:val="00A9703F"/>
    <w:rsid w:val="00A97064"/>
    <w:rsid w:val="00A97216"/>
    <w:rsid w:val="00A9736E"/>
    <w:rsid w:val="00A973CB"/>
    <w:rsid w:val="00A973FC"/>
    <w:rsid w:val="00A97643"/>
    <w:rsid w:val="00A97727"/>
    <w:rsid w:val="00A9791A"/>
    <w:rsid w:val="00A97D20"/>
    <w:rsid w:val="00AA0069"/>
    <w:rsid w:val="00AA0084"/>
    <w:rsid w:val="00AA026D"/>
    <w:rsid w:val="00AA03D2"/>
    <w:rsid w:val="00AA04D1"/>
    <w:rsid w:val="00AA0524"/>
    <w:rsid w:val="00AA057E"/>
    <w:rsid w:val="00AA05F5"/>
    <w:rsid w:val="00AA09A7"/>
    <w:rsid w:val="00AA0B1C"/>
    <w:rsid w:val="00AA0CDC"/>
    <w:rsid w:val="00AA117A"/>
    <w:rsid w:val="00AA127D"/>
    <w:rsid w:val="00AA15F4"/>
    <w:rsid w:val="00AA16DC"/>
    <w:rsid w:val="00AA18C8"/>
    <w:rsid w:val="00AA198A"/>
    <w:rsid w:val="00AA1A38"/>
    <w:rsid w:val="00AA1C4E"/>
    <w:rsid w:val="00AA1EF8"/>
    <w:rsid w:val="00AA1F53"/>
    <w:rsid w:val="00AA22D6"/>
    <w:rsid w:val="00AA2451"/>
    <w:rsid w:val="00AA26CF"/>
    <w:rsid w:val="00AA276F"/>
    <w:rsid w:val="00AA2A84"/>
    <w:rsid w:val="00AA2A94"/>
    <w:rsid w:val="00AA2DF6"/>
    <w:rsid w:val="00AA2E1F"/>
    <w:rsid w:val="00AA3125"/>
    <w:rsid w:val="00AA3171"/>
    <w:rsid w:val="00AA33AC"/>
    <w:rsid w:val="00AA3451"/>
    <w:rsid w:val="00AA3745"/>
    <w:rsid w:val="00AA3954"/>
    <w:rsid w:val="00AA3BFC"/>
    <w:rsid w:val="00AA3F2E"/>
    <w:rsid w:val="00AA41EF"/>
    <w:rsid w:val="00AA42C6"/>
    <w:rsid w:val="00AA4538"/>
    <w:rsid w:val="00AA4702"/>
    <w:rsid w:val="00AA477E"/>
    <w:rsid w:val="00AA4867"/>
    <w:rsid w:val="00AA492B"/>
    <w:rsid w:val="00AA4AEC"/>
    <w:rsid w:val="00AA4B3E"/>
    <w:rsid w:val="00AA4B58"/>
    <w:rsid w:val="00AA52CF"/>
    <w:rsid w:val="00AA575B"/>
    <w:rsid w:val="00AA5A08"/>
    <w:rsid w:val="00AA5B3F"/>
    <w:rsid w:val="00AA5B73"/>
    <w:rsid w:val="00AA5BB2"/>
    <w:rsid w:val="00AA5D03"/>
    <w:rsid w:val="00AA5EDD"/>
    <w:rsid w:val="00AA5F53"/>
    <w:rsid w:val="00AA605A"/>
    <w:rsid w:val="00AA60B1"/>
    <w:rsid w:val="00AA63CF"/>
    <w:rsid w:val="00AA65CB"/>
    <w:rsid w:val="00AA668B"/>
    <w:rsid w:val="00AA66B0"/>
    <w:rsid w:val="00AA7067"/>
    <w:rsid w:val="00AA7164"/>
    <w:rsid w:val="00AA7210"/>
    <w:rsid w:val="00AA721E"/>
    <w:rsid w:val="00AA742D"/>
    <w:rsid w:val="00AA7516"/>
    <w:rsid w:val="00AA762C"/>
    <w:rsid w:val="00AA766D"/>
    <w:rsid w:val="00AA7938"/>
    <w:rsid w:val="00AA7A41"/>
    <w:rsid w:val="00AA7C71"/>
    <w:rsid w:val="00AA7D5C"/>
    <w:rsid w:val="00AA7D76"/>
    <w:rsid w:val="00AA7D8A"/>
    <w:rsid w:val="00AA7E11"/>
    <w:rsid w:val="00AA7EE1"/>
    <w:rsid w:val="00AB0104"/>
    <w:rsid w:val="00AB03AB"/>
    <w:rsid w:val="00AB05C3"/>
    <w:rsid w:val="00AB0E23"/>
    <w:rsid w:val="00AB0E93"/>
    <w:rsid w:val="00AB1085"/>
    <w:rsid w:val="00AB10BC"/>
    <w:rsid w:val="00AB1207"/>
    <w:rsid w:val="00AB1264"/>
    <w:rsid w:val="00AB129F"/>
    <w:rsid w:val="00AB1537"/>
    <w:rsid w:val="00AB1595"/>
    <w:rsid w:val="00AB1872"/>
    <w:rsid w:val="00AB18D8"/>
    <w:rsid w:val="00AB1A78"/>
    <w:rsid w:val="00AB1C83"/>
    <w:rsid w:val="00AB1D79"/>
    <w:rsid w:val="00AB1DD0"/>
    <w:rsid w:val="00AB1E7B"/>
    <w:rsid w:val="00AB1E89"/>
    <w:rsid w:val="00AB1F81"/>
    <w:rsid w:val="00AB1F8A"/>
    <w:rsid w:val="00AB1F9A"/>
    <w:rsid w:val="00AB20FC"/>
    <w:rsid w:val="00AB23C3"/>
    <w:rsid w:val="00AB28CA"/>
    <w:rsid w:val="00AB2BAE"/>
    <w:rsid w:val="00AB2BC9"/>
    <w:rsid w:val="00AB2C90"/>
    <w:rsid w:val="00AB2CA0"/>
    <w:rsid w:val="00AB2E1B"/>
    <w:rsid w:val="00AB323E"/>
    <w:rsid w:val="00AB3372"/>
    <w:rsid w:val="00AB3425"/>
    <w:rsid w:val="00AB34A1"/>
    <w:rsid w:val="00AB34A7"/>
    <w:rsid w:val="00AB34F7"/>
    <w:rsid w:val="00AB3588"/>
    <w:rsid w:val="00AB3932"/>
    <w:rsid w:val="00AB3B4C"/>
    <w:rsid w:val="00AB3B5B"/>
    <w:rsid w:val="00AB3B9D"/>
    <w:rsid w:val="00AB3E22"/>
    <w:rsid w:val="00AB3F5B"/>
    <w:rsid w:val="00AB40DB"/>
    <w:rsid w:val="00AB438E"/>
    <w:rsid w:val="00AB4426"/>
    <w:rsid w:val="00AB44E1"/>
    <w:rsid w:val="00AB4674"/>
    <w:rsid w:val="00AB4867"/>
    <w:rsid w:val="00AB4A14"/>
    <w:rsid w:val="00AB4B2A"/>
    <w:rsid w:val="00AB4B87"/>
    <w:rsid w:val="00AB4BBA"/>
    <w:rsid w:val="00AB4EA9"/>
    <w:rsid w:val="00AB4F49"/>
    <w:rsid w:val="00AB4F88"/>
    <w:rsid w:val="00AB50C8"/>
    <w:rsid w:val="00AB5177"/>
    <w:rsid w:val="00AB51AB"/>
    <w:rsid w:val="00AB5216"/>
    <w:rsid w:val="00AB567B"/>
    <w:rsid w:val="00AB56A7"/>
    <w:rsid w:val="00AB592D"/>
    <w:rsid w:val="00AB59E8"/>
    <w:rsid w:val="00AB59EE"/>
    <w:rsid w:val="00AB5B19"/>
    <w:rsid w:val="00AB5E63"/>
    <w:rsid w:val="00AB606D"/>
    <w:rsid w:val="00AB61AA"/>
    <w:rsid w:val="00AB6538"/>
    <w:rsid w:val="00AB668B"/>
    <w:rsid w:val="00AB67F3"/>
    <w:rsid w:val="00AB68F8"/>
    <w:rsid w:val="00AB6908"/>
    <w:rsid w:val="00AB6C04"/>
    <w:rsid w:val="00AB6C1E"/>
    <w:rsid w:val="00AB6D49"/>
    <w:rsid w:val="00AB71E6"/>
    <w:rsid w:val="00AB7542"/>
    <w:rsid w:val="00AB75CB"/>
    <w:rsid w:val="00AB787A"/>
    <w:rsid w:val="00AB78E9"/>
    <w:rsid w:val="00AB7B62"/>
    <w:rsid w:val="00AB7BDB"/>
    <w:rsid w:val="00AB7D4A"/>
    <w:rsid w:val="00AB7E06"/>
    <w:rsid w:val="00AC037A"/>
    <w:rsid w:val="00AC065A"/>
    <w:rsid w:val="00AC06A4"/>
    <w:rsid w:val="00AC0A12"/>
    <w:rsid w:val="00AC0DC1"/>
    <w:rsid w:val="00AC0E8E"/>
    <w:rsid w:val="00AC0F38"/>
    <w:rsid w:val="00AC12D5"/>
    <w:rsid w:val="00AC1328"/>
    <w:rsid w:val="00AC1463"/>
    <w:rsid w:val="00AC1508"/>
    <w:rsid w:val="00AC1511"/>
    <w:rsid w:val="00AC1537"/>
    <w:rsid w:val="00AC153B"/>
    <w:rsid w:val="00AC15BD"/>
    <w:rsid w:val="00AC178D"/>
    <w:rsid w:val="00AC1857"/>
    <w:rsid w:val="00AC2394"/>
    <w:rsid w:val="00AC2451"/>
    <w:rsid w:val="00AC25C1"/>
    <w:rsid w:val="00AC26C5"/>
    <w:rsid w:val="00AC29E3"/>
    <w:rsid w:val="00AC2A8C"/>
    <w:rsid w:val="00AC2AF1"/>
    <w:rsid w:val="00AC2C99"/>
    <w:rsid w:val="00AC2ED6"/>
    <w:rsid w:val="00AC32C3"/>
    <w:rsid w:val="00AC32CF"/>
    <w:rsid w:val="00AC3332"/>
    <w:rsid w:val="00AC3354"/>
    <w:rsid w:val="00AC336A"/>
    <w:rsid w:val="00AC35B5"/>
    <w:rsid w:val="00AC38DD"/>
    <w:rsid w:val="00AC392D"/>
    <w:rsid w:val="00AC3A0E"/>
    <w:rsid w:val="00AC3E86"/>
    <w:rsid w:val="00AC3EB4"/>
    <w:rsid w:val="00AC3FAF"/>
    <w:rsid w:val="00AC4241"/>
    <w:rsid w:val="00AC44AE"/>
    <w:rsid w:val="00AC4530"/>
    <w:rsid w:val="00AC457D"/>
    <w:rsid w:val="00AC4630"/>
    <w:rsid w:val="00AC4D72"/>
    <w:rsid w:val="00AC4E85"/>
    <w:rsid w:val="00AC4EA6"/>
    <w:rsid w:val="00AC5130"/>
    <w:rsid w:val="00AC5203"/>
    <w:rsid w:val="00AC53F7"/>
    <w:rsid w:val="00AC5413"/>
    <w:rsid w:val="00AC566A"/>
    <w:rsid w:val="00AC5AA1"/>
    <w:rsid w:val="00AC5B46"/>
    <w:rsid w:val="00AC5C39"/>
    <w:rsid w:val="00AC5CFC"/>
    <w:rsid w:val="00AC5DC5"/>
    <w:rsid w:val="00AC601C"/>
    <w:rsid w:val="00AC60E3"/>
    <w:rsid w:val="00AC627A"/>
    <w:rsid w:val="00AC6447"/>
    <w:rsid w:val="00AC64BE"/>
    <w:rsid w:val="00AC64DB"/>
    <w:rsid w:val="00AC65F4"/>
    <w:rsid w:val="00AC674C"/>
    <w:rsid w:val="00AC6A42"/>
    <w:rsid w:val="00AC6E69"/>
    <w:rsid w:val="00AC7197"/>
    <w:rsid w:val="00AC75DB"/>
    <w:rsid w:val="00AC7642"/>
    <w:rsid w:val="00AC7803"/>
    <w:rsid w:val="00AC781A"/>
    <w:rsid w:val="00AC7AD2"/>
    <w:rsid w:val="00AC7C70"/>
    <w:rsid w:val="00AC7D61"/>
    <w:rsid w:val="00AC7E04"/>
    <w:rsid w:val="00AC7E17"/>
    <w:rsid w:val="00AC7EAC"/>
    <w:rsid w:val="00AD00C7"/>
    <w:rsid w:val="00AD014F"/>
    <w:rsid w:val="00AD0256"/>
    <w:rsid w:val="00AD0273"/>
    <w:rsid w:val="00AD0287"/>
    <w:rsid w:val="00AD040B"/>
    <w:rsid w:val="00AD0514"/>
    <w:rsid w:val="00AD08C9"/>
    <w:rsid w:val="00AD0A7C"/>
    <w:rsid w:val="00AD0AA2"/>
    <w:rsid w:val="00AD0CDD"/>
    <w:rsid w:val="00AD0D2D"/>
    <w:rsid w:val="00AD0DBB"/>
    <w:rsid w:val="00AD0F13"/>
    <w:rsid w:val="00AD109F"/>
    <w:rsid w:val="00AD120F"/>
    <w:rsid w:val="00AD14DF"/>
    <w:rsid w:val="00AD1651"/>
    <w:rsid w:val="00AD1662"/>
    <w:rsid w:val="00AD17A3"/>
    <w:rsid w:val="00AD1B83"/>
    <w:rsid w:val="00AD1DA0"/>
    <w:rsid w:val="00AD1EEB"/>
    <w:rsid w:val="00AD213E"/>
    <w:rsid w:val="00AD224B"/>
    <w:rsid w:val="00AD2328"/>
    <w:rsid w:val="00AD2359"/>
    <w:rsid w:val="00AD27C2"/>
    <w:rsid w:val="00AD2814"/>
    <w:rsid w:val="00AD2B07"/>
    <w:rsid w:val="00AD2CAB"/>
    <w:rsid w:val="00AD2EE0"/>
    <w:rsid w:val="00AD3022"/>
    <w:rsid w:val="00AD32A3"/>
    <w:rsid w:val="00AD32C6"/>
    <w:rsid w:val="00AD3724"/>
    <w:rsid w:val="00AD3835"/>
    <w:rsid w:val="00AD3D48"/>
    <w:rsid w:val="00AD3D5D"/>
    <w:rsid w:val="00AD3E2A"/>
    <w:rsid w:val="00AD3ECE"/>
    <w:rsid w:val="00AD41E6"/>
    <w:rsid w:val="00AD4506"/>
    <w:rsid w:val="00AD46B8"/>
    <w:rsid w:val="00AD4771"/>
    <w:rsid w:val="00AD4776"/>
    <w:rsid w:val="00AD4898"/>
    <w:rsid w:val="00AD4AAB"/>
    <w:rsid w:val="00AD4AD1"/>
    <w:rsid w:val="00AD4B84"/>
    <w:rsid w:val="00AD5005"/>
    <w:rsid w:val="00AD52F6"/>
    <w:rsid w:val="00AD55C7"/>
    <w:rsid w:val="00AD5631"/>
    <w:rsid w:val="00AD588A"/>
    <w:rsid w:val="00AD58C6"/>
    <w:rsid w:val="00AD5E65"/>
    <w:rsid w:val="00AD6050"/>
    <w:rsid w:val="00AD624E"/>
    <w:rsid w:val="00AD6439"/>
    <w:rsid w:val="00AD64E4"/>
    <w:rsid w:val="00AD6592"/>
    <w:rsid w:val="00AD6B4C"/>
    <w:rsid w:val="00AD6BEE"/>
    <w:rsid w:val="00AD6D46"/>
    <w:rsid w:val="00AD6D71"/>
    <w:rsid w:val="00AD6E97"/>
    <w:rsid w:val="00AD6F92"/>
    <w:rsid w:val="00AD70E2"/>
    <w:rsid w:val="00AD7131"/>
    <w:rsid w:val="00AD71A0"/>
    <w:rsid w:val="00AD73AB"/>
    <w:rsid w:val="00AD73E0"/>
    <w:rsid w:val="00AD76E7"/>
    <w:rsid w:val="00AD7910"/>
    <w:rsid w:val="00AD7A5A"/>
    <w:rsid w:val="00AD7DCE"/>
    <w:rsid w:val="00AD7ED6"/>
    <w:rsid w:val="00AD7FF9"/>
    <w:rsid w:val="00AE0073"/>
    <w:rsid w:val="00AE0132"/>
    <w:rsid w:val="00AE016F"/>
    <w:rsid w:val="00AE0398"/>
    <w:rsid w:val="00AE0424"/>
    <w:rsid w:val="00AE04B7"/>
    <w:rsid w:val="00AE0617"/>
    <w:rsid w:val="00AE0655"/>
    <w:rsid w:val="00AE079A"/>
    <w:rsid w:val="00AE0BED"/>
    <w:rsid w:val="00AE0DF6"/>
    <w:rsid w:val="00AE12A0"/>
    <w:rsid w:val="00AE13D1"/>
    <w:rsid w:val="00AE156D"/>
    <w:rsid w:val="00AE167E"/>
    <w:rsid w:val="00AE1A94"/>
    <w:rsid w:val="00AE1C5A"/>
    <w:rsid w:val="00AE1D5C"/>
    <w:rsid w:val="00AE1E71"/>
    <w:rsid w:val="00AE1FE0"/>
    <w:rsid w:val="00AE208F"/>
    <w:rsid w:val="00AE2569"/>
    <w:rsid w:val="00AE2624"/>
    <w:rsid w:val="00AE262B"/>
    <w:rsid w:val="00AE2733"/>
    <w:rsid w:val="00AE2B00"/>
    <w:rsid w:val="00AE2FDE"/>
    <w:rsid w:val="00AE3070"/>
    <w:rsid w:val="00AE3084"/>
    <w:rsid w:val="00AE30B7"/>
    <w:rsid w:val="00AE30FB"/>
    <w:rsid w:val="00AE32A8"/>
    <w:rsid w:val="00AE3348"/>
    <w:rsid w:val="00AE3542"/>
    <w:rsid w:val="00AE3732"/>
    <w:rsid w:val="00AE3A59"/>
    <w:rsid w:val="00AE3B49"/>
    <w:rsid w:val="00AE3CD8"/>
    <w:rsid w:val="00AE3D10"/>
    <w:rsid w:val="00AE3E27"/>
    <w:rsid w:val="00AE3E5A"/>
    <w:rsid w:val="00AE3E7F"/>
    <w:rsid w:val="00AE42E9"/>
    <w:rsid w:val="00AE4845"/>
    <w:rsid w:val="00AE4A5D"/>
    <w:rsid w:val="00AE4EA6"/>
    <w:rsid w:val="00AE4EB1"/>
    <w:rsid w:val="00AE51EC"/>
    <w:rsid w:val="00AE52ED"/>
    <w:rsid w:val="00AE54EB"/>
    <w:rsid w:val="00AE56E7"/>
    <w:rsid w:val="00AE5734"/>
    <w:rsid w:val="00AE57A5"/>
    <w:rsid w:val="00AE5812"/>
    <w:rsid w:val="00AE58F1"/>
    <w:rsid w:val="00AE59F6"/>
    <w:rsid w:val="00AE5B7B"/>
    <w:rsid w:val="00AE5C70"/>
    <w:rsid w:val="00AE5D1E"/>
    <w:rsid w:val="00AE5E42"/>
    <w:rsid w:val="00AE5F85"/>
    <w:rsid w:val="00AE60D2"/>
    <w:rsid w:val="00AE6154"/>
    <w:rsid w:val="00AE61AD"/>
    <w:rsid w:val="00AE621E"/>
    <w:rsid w:val="00AE62F9"/>
    <w:rsid w:val="00AE6448"/>
    <w:rsid w:val="00AE68D1"/>
    <w:rsid w:val="00AE6BB7"/>
    <w:rsid w:val="00AE6E15"/>
    <w:rsid w:val="00AE6EC2"/>
    <w:rsid w:val="00AE711B"/>
    <w:rsid w:val="00AE72AB"/>
    <w:rsid w:val="00AE7300"/>
    <w:rsid w:val="00AE7305"/>
    <w:rsid w:val="00AE732D"/>
    <w:rsid w:val="00AE73D8"/>
    <w:rsid w:val="00AE763C"/>
    <w:rsid w:val="00AE769B"/>
    <w:rsid w:val="00AE7837"/>
    <w:rsid w:val="00AE7887"/>
    <w:rsid w:val="00AE7D83"/>
    <w:rsid w:val="00AE7DE9"/>
    <w:rsid w:val="00AE7F4D"/>
    <w:rsid w:val="00AF05BB"/>
    <w:rsid w:val="00AF0640"/>
    <w:rsid w:val="00AF06DF"/>
    <w:rsid w:val="00AF07A0"/>
    <w:rsid w:val="00AF082A"/>
    <w:rsid w:val="00AF0A03"/>
    <w:rsid w:val="00AF0F43"/>
    <w:rsid w:val="00AF1001"/>
    <w:rsid w:val="00AF1265"/>
    <w:rsid w:val="00AF157D"/>
    <w:rsid w:val="00AF1766"/>
    <w:rsid w:val="00AF17CF"/>
    <w:rsid w:val="00AF19A1"/>
    <w:rsid w:val="00AF19B8"/>
    <w:rsid w:val="00AF19E7"/>
    <w:rsid w:val="00AF1D84"/>
    <w:rsid w:val="00AF1EB1"/>
    <w:rsid w:val="00AF1F07"/>
    <w:rsid w:val="00AF1FCE"/>
    <w:rsid w:val="00AF21D8"/>
    <w:rsid w:val="00AF2476"/>
    <w:rsid w:val="00AF2517"/>
    <w:rsid w:val="00AF258A"/>
    <w:rsid w:val="00AF2815"/>
    <w:rsid w:val="00AF29FA"/>
    <w:rsid w:val="00AF2AFD"/>
    <w:rsid w:val="00AF2B45"/>
    <w:rsid w:val="00AF2B7E"/>
    <w:rsid w:val="00AF2C08"/>
    <w:rsid w:val="00AF2C65"/>
    <w:rsid w:val="00AF2CAA"/>
    <w:rsid w:val="00AF2F21"/>
    <w:rsid w:val="00AF2F4C"/>
    <w:rsid w:val="00AF2F54"/>
    <w:rsid w:val="00AF2F9F"/>
    <w:rsid w:val="00AF323E"/>
    <w:rsid w:val="00AF325A"/>
    <w:rsid w:val="00AF334A"/>
    <w:rsid w:val="00AF356C"/>
    <w:rsid w:val="00AF3639"/>
    <w:rsid w:val="00AF3726"/>
    <w:rsid w:val="00AF375B"/>
    <w:rsid w:val="00AF3774"/>
    <w:rsid w:val="00AF385A"/>
    <w:rsid w:val="00AF3C42"/>
    <w:rsid w:val="00AF3D17"/>
    <w:rsid w:val="00AF3F0B"/>
    <w:rsid w:val="00AF428A"/>
    <w:rsid w:val="00AF42AA"/>
    <w:rsid w:val="00AF42FC"/>
    <w:rsid w:val="00AF4441"/>
    <w:rsid w:val="00AF44FC"/>
    <w:rsid w:val="00AF466A"/>
    <w:rsid w:val="00AF4962"/>
    <w:rsid w:val="00AF49C1"/>
    <w:rsid w:val="00AF4AD7"/>
    <w:rsid w:val="00AF4B9B"/>
    <w:rsid w:val="00AF4D34"/>
    <w:rsid w:val="00AF4D97"/>
    <w:rsid w:val="00AF4E17"/>
    <w:rsid w:val="00AF5095"/>
    <w:rsid w:val="00AF526E"/>
    <w:rsid w:val="00AF5302"/>
    <w:rsid w:val="00AF5352"/>
    <w:rsid w:val="00AF53BC"/>
    <w:rsid w:val="00AF57C8"/>
    <w:rsid w:val="00AF58C2"/>
    <w:rsid w:val="00AF58E6"/>
    <w:rsid w:val="00AF5D92"/>
    <w:rsid w:val="00AF5DCC"/>
    <w:rsid w:val="00AF5FD2"/>
    <w:rsid w:val="00AF6664"/>
    <w:rsid w:val="00AF668D"/>
    <w:rsid w:val="00AF66F2"/>
    <w:rsid w:val="00AF671F"/>
    <w:rsid w:val="00AF6901"/>
    <w:rsid w:val="00AF6D20"/>
    <w:rsid w:val="00AF6DB5"/>
    <w:rsid w:val="00AF6E12"/>
    <w:rsid w:val="00AF7086"/>
    <w:rsid w:val="00AF711C"/>
    <w:rsid w:val="00AF7282"/>
    <w:rsid w:val="00AF7342"/>
    <w:rsid w:val="00AF7424"/>
    <w:rsid w:val="00AF7802"/>
    <w:rsid w:val="00AF79C9"/>
    <w:rsid w:val="00AF7A00"/>
    <w:rsid w:val="00AF7A88"/>
    <w:rsid w:val="00B00296"/>
    <w:rsid w:val="00B0039F"/>
    <w:rsid w:val="00B003FD"/>
    <w:rsid w:val="00B00552"/>
    <w:rsid w:val="00B0057F"/>
    <w:rsid w:val="00B00769"/>
    <w:rsid w:val="00B0077A"/>
    <w:rsid w:val="00B008F5"/>
    <w:rsid w:val="00B00938"/>
    <w:rsid w:val="00B00C01"/>
    <w:rsid w:val="00B00E69"/>
    <w:rsid w:val="00B00F04"/>
    <w:rsid w:val="00B0109B"/>
    <w:rsid w:val="00B011A9"/>
    <w:rsid w:val="00B01536"/>
    <w:rsid w:val="00B0167A"/>
    <w:rsid w:val="00B01AB9"/>
    <w:rsid w:val="00B01B25"/>
    <w:rsid w:val="00B01D79"/>
    <w:rsid w:val="00B01F68"/>
    <w:rsid w:val="00B020FA"/>
    <w:rsid w:val="00B02537"/>
    <w:rsid w:val="00B0262B"/>
    <w:rsid w:val="00B0263E"/>
    <w:rsid w:val="00B026B9"/>
    <w:rsid w:val="00B0272F"/>
    <w:rsid w:val="00B0274A"/>
    <w:rsid w:val="00B02911"/>
    <w:rsid w:val="00B02A45"/>
    <w:rsid w:val="00B031C1"/>
    <w:rsid w:val="00B03288"/>
    <w:rsid w:val="00B0336C"/>
    <w:rsid w:val="00B03617"/>
    <w:rsid w:val="00B036F1"/>
    <w:rsid w:val="00B03754"/>
    <w:rsid w:val="00B0379A"/>
    <w:rsid w:val="00B038DB"/>
    <w:rsid w:val="00B03A72"/>
    <w:rsid w:val="00B03AD9"/>
    <w:rsid w:val="00B03B02"/>
    <w:rsid w:val="00B03BA6"/>
    <w:rsid w:val="00B03DB0"/>
    <w:rsid w:val="00B03DE3"/>
    <w:rsid w:val="00B03F4D"/>
    <w:rsid w:val="00B04014"/>
    <w:rsid w:val="00B04016"/>
    <w:rsid w:val="00B040D7"/>
    <w:rsid w:val="00B041D9"/>
    <w:rsid w:val="00B046CE"/>
    <w:rsid w:val="00B04800"/>
    <w:rsid w:val="00B04887"/>
    <w:rsid w:val="00B04890"/>
    <w:rsid w:val="00B049F0"/>
    <w:rsid w:val="00B04B8F"/>
    <w:rsid w:val="00B04C47"/>
    <w:rsid w:val="00B04C8E"/>
    <w:rsid w:val="00B04DA5"/>
    <w:rsid w:val="00B05151"/>
    <w:rsid w:val="00B05218"/>
    <w:rsid w:val="00B055A5"/>
    <w:rsid w:val="00B056FF"/>
    <w:rsid w:val="00B058C1"/>
    <w:rsid w:val="00B05BF1"/>
    <w:rsid w:val="00B060A4"/>
    <w:rsid w:val="00B060B3"/>
    <w:rsid w:val="00B06125"/>
    <w:rsid w:val="00B063AF"/>
    <w:rsid w:val="00B066CD"/>
    <w:rsid w:val="00B06762"/>
    <w:rsid w:val="00B06895"/>
    <w:rsid w:val="00B06911"/>
    <w:rsid w:val="00B06D3F"/>
    <w:rsid w:val="00B06E75"/>
    <w:rsid w:val="00B07045"/>
    <w:rsid w:val="00B07249"/>
    <w:rsid w:val="00B07295"/>
    <w:rsid w:val="00B07436"/>
    <w:rsid w:val="00B07632"/>
    <w:rsid w:val="00B07810"/>
    <w:rsid w:val="00B07811"/>
    <w:rsid w:val="00B078B9"/>
    <w:rsid w:val="00B07B6D"/>
    <w:rsid w:val="00B07BCE"/>
    <w:rsid w:val="00B07D91"/>
    <w:rsid w:val="00B07DB9"/>
    <w:rsid w:val="00B07EB3"/>
    <w:rsid w:val="00B1021F"/>
    <w:rsid w:val="00B10241"/>
    <w:rsid w:val="00B1038A"/>
    <w:rsid w:val="00B1038E"/>
    <w:rsid w:val="00B10409"/>
    <w:rsid w:val="00B104B1"/>
    <w:rsid w:val="00B1068B"/>
    <w:rsid w:val="00B1070A"/>
    <w:rsid w:val="00B1077E"/>
    <w:rsid w:val="00B10CB1"/>
    <w:rsid w:val="00B10DD7"/>
    <w:rsid w:val="00B10EA9"/>
    <w:rsid w:val="00B10F5C"/>
    <w:rsid w:val="00B11009"/>
    <w:rsid w:val="00B1107A"/>
    <w:rsid w:val="00B110A1"/>
    <w:rsid w:val="00B113D8"/>
    <w:rsid w:val="00B114AF"/>
    <w:rsid w:val="00B117A6"/>
    <w:rsid w:val="00B118C6"/>
    <w:rsid w:val="00B11D58"/>
    <w:rsid w:val="00B1215C"/>
    <w:rsid w:val="00B12186"/>
    <w:rsid w:val="00B1246E"/>
    <w:rsid w:val="00B1289A"/>
    <w:rsid w:val="00B1294B"/>
    <w:rsid w:val="00B12986"/>
    <w:rsid w:val="00B1350D"/>
    <w:rsid w:val="00B13731"/>
    <w:rsid w:val="00B13788"/>
    <w:rsid w:val="00B1384A"/>
    <w:rsid w:val="00B13A73"/>
    <w:rsid w:val="00B13ACF"/>
    <w:rsid w:val="00B13B5D"/>
    <w:rsid w:val="00B13BC6"/>
    <w:rsid w:val="00B13EC6"/>
    <w:rsid w:val="00B140C6"/>
    <w:rsid w:val="00B141D8"/>
    <w:rsid w:val="00B14370"/>
    <w:rsid w:val="00B143B2"/>
    <w:rsid w:val="00B14422"/>
    <w:rsid w:val="00B1446D"/>
    <w:rsid w:val="00B14738"/>
    <w:rsid w:val="00B1492D"/>
    <w:rsid w:val="00B14EA7"/>
    <w:rsid w:val="00B1500E"/>
    <w:rsid w:val="00B151CE"/>
    <w:rsid w:val="00B15313"/>
    <w:rsid w:val="00B156C1"/>
    <w:rsid w:val="00B156D0"/>
    <w:rsid w:val="00B156EF"/>
    <w:rsid w:val="00B1570E"/>
    <w:rsid w:val="00B15849"/>
    <w:rsid w:val="00B1589B"/>
    <w:rsid w:val="00B15C95"/>
    <w:rsid w:val="00B15E05"/>
    <w:rsid w:val="00B15E10"/>
    <w:rsid w:val="00B16132"/>
    <w:rsid w:val="00B162E6"/>
    <w:rsid w:val="00B163B1"/>
    <w:rsid w:val="00B164EC"/>
    <w:rsid w:val="00B16853"/>
    <w:rsid w:val="00B168A4"/>
    <w:rsid w:val="00B16A11"/>
    <w:rsid w:val="00B16A67"/>
    <w:rsid w:val="00B16BC9"/>
    <w:rsid w:val="00B16DFE"/>
    <w:rsid w:val="00B16E7F"/>
    <w:rsid w:val="00B16EBE"/>
    <w:rsid w:val="00B17144"/>
    <w:rsid w:val="00B172A9"/>
    <w:rsid w:val="00B173DD"/>
    <w:rsid w:val="00B174F1"/>
    <w:rsid w:val="00B1757C"/>
    <w:rsid w:val="00B179E9"/>
    <w:rsid w:val="00B17A26"/>
    <w:rsid w:val="00B17BAF"/>
    <w:rsid w:val="00B17C28"/>
    <w:rsid w:val="00B17C2D"/>
    <w:rsid w:val="00B17E6A"/>
    <w:rsid w:val="00B17FAA"/>
    <w:rsid w:val="00B203BF"/>
    <w:rsid w:val="00B203C7"/>
    <w:rsid w:val="00B20521"/>
    <w:rsid w:val="00B205DD"/>
    <w:rsid w:val="00B20931"/>
    <w:rsid w:val="00B209FB"/>
    <w:rsid w:val="00B20CDF"/>
    <w:rsid w:val="00B20D5A"/>
    <w:rsid w:val="00B20DF0"/>
    <w:rsid w:val="00B210C2"/>
    <w:rsid w:val="00B2114D"/>
    <w:rsid w:val="00B2125A"/>
    <w:rsid w:val="00B2142F"/>
    <w:rsid w:val="00B2156C"/>
    <w:rsid w:val="00B2182C"/>
    <w:rsid w:val="00B219EA"/>
    <w:rsid w:val="00B21AEB"/>
    <w:rsid w:val="00B21D72"/>
    <w:rsid w:val="00B22022"/>
    <w:rsid w:val="00B22579"/>
    <w:rsid w:val="00B225CD"/>
    <w:rsid w:val="00B2272F"/>
    <w:rsid w:val="00B22ACF"/>
    <w:rsid w:val="00B22C17"/>
    <w:rsid w:val="00B22D0D"/>
    <w:rsid w:val="00B23012"/>
    <w:rsid w:val="00B2323A"/>
    <w:rsid w:val="00B232D8"/>
    <w:rsid w:val="00B232E6"/>
    <w:rsid w:val="00B23496"/>
    <w:rsid w:val="00B23545"/>
    <w:rsid w:val="00B237F1"/>
    <w:rsid w:val="00B23B60"/>
    <w:rsid w:val="00B23C52"/>
    <w:rsid w:val="00B23D83"/>
    <w:rsid w:val="00B23E35"/>
    <w:rsid w:val="00B23ED8"/>
    <w:rsid w:val="00B23FE2"/>
    <w:rsid w:val="00B24029"/>
    <w:rsid w:val="00B240B6"/>
    <w:rsid w:val="00B243B4"/>
    <w:rsid w:val="00B2460C"/>
    <w:rsid w:val="00B24738"/>
    <w:rsid w:val="00B247A0"/>
    <w:rsid w:val="00B24975"/>
    <w:rsid w:val="00B249AE"/>
    <w:rsid w:val="00B24AA7"/>
    <w:rsid w:val="00B24BE2"/>
    <w:rsid w:val="00B24EF9"/>
    <w:rsid w:val="00B24F29"/>
    <w:rsid w:val="00B24FC2"/>
    <w:rsid w:val="00B2508C"/>
    <w:rsid w:val="00B250A0"/>
    <w:rsid w:val="00B250B5"/>
    <w:rsid w:val="00B2520A"/>
    <w:rsid w:val="00B25252"/>
    <w:rsid w:val="00B2528E"/>
    <w:rsid w:val="00B25572"/>
    <w:rsid w:val="00B25580"/>
    <w:rsid w:val="00B2558A"/>
    <w:rsid w:val="00B25702"/>
    <w:rsid w:val="00B2580D"/>
    <w:rsid w:val="00B2597A"/>
    <w:rsid w:val="00B25CDE"/>
    <w:rsid w:val="00B25E1F"/>
    <w:rsid w:val="00B25EC8"/>
    <w:rsid w:val="00B25F15"/>
    <w:rsid w:val="00B26107"/>
    <w:rsid w:val="00B2624D"/>
    <w:rsid w:val="00B26429"/>
    <w:rsid w:val="00B2646D"/>
    <w:rsid w:val="00B26492"/>
    <w:rsid w:val="00B264A3"/>
    <w:rsid w:val="00B264C1"/>
    <w:rsid w:val="00B264C2"/>
    <w:rsid w:val="00B264D1"/>
    <w:rsid w:val="00B26552"/>
    <w:rsid w:val="00B2659C"/>
    <w:rsid w:val="00B266C5"/>
    <w:rsid w:val="00B267FB"/>
    <w:rsid w:val="00B26AE2"/>
    <w:rsid w:val="00B26E66"/>
    <w:rsid w:val="00B26EC1"/>
    <w:rsid w:val="00B26EDA"/>
    <w:rsid w:val="00B270AC"/>
    <w:rsid w:val="00B270BF"/>
    <w:rsid w:val="00B270E4"/>
    <w:rsid w:val="00B27199"/>
    <w:rsid w:val="00B27616"/>
    <w:rsid w:val="00B277B2"/>
    <w:rsid w:val="00B2783A"/>
    <w:rsid w:val="00B27A63"/>
    <w:rsid w:val="00B27B9A"/>
    <w:rsid w:val="00B27CC2"/>
    <w:rsid w:val="00B27CD7"/>
    <w:rsid w:val="00B27DA9"/>
    <w:rsid w:val="00B27DAB"/>
    <w:rsid w:val="00B27F54"/>
    <w:rsid w:val="00B30067"/>
    <w:rsid w:val="00B3007C"/>
    <w:rsid w:val="00B30131"/>
    <w:rsid w:val="00B30217"/>
    <w:rsid w:val="00B302A7"/>
    <w:rsid w:val="00B3037B"/>
    <w:rsid w:val="00B30580"/>
    <w:rsid w:val="00B308A2"/>
    <w:rsid w:val="00B30938"/>
    <w:rsid w:val="00B309D6"/>
    <w:rsid w:val="00B30D7B"/>
    <w:rsid w:val="00B30E76"/>
    <w:rsid w:val="00B30F98"/>
    <w:rsid w:val="00B310BA"/>
    <w:rsid w:val="00B31119"/>
    <w:rsid w:val="00B31182"/>
    <w:rsid w:val="00B311A0"/>
    <w:rsid w:val="00B3121D"/>
    <w:rsid w:val="00B31337"/>
    <w:rsid w:val="00B31392"/>
    <w:rsid w:val="00B314EE"/>
    <w:rsid w:val="00B31578"/>
    <w:rsid w:val="00B3157D"/>
    <w:rsid w:val="00B315AA"/>
    <w:rsid w:val="00B315CD"/>
    <w:rsid w:val="00B3168C"/>
    <w:rsid w:val="00B31AE5"/>
    <w:rsid w:val="00B31EFA"/>
    <w:rsid w:val="00B31F2A"/>
    <w:rsid w:val="00B320FB"/>
    <w:rsid w:val="00B321DA"/>
    <w:rsid w:val="00B322D7"/>
    <w:rsid w:val="00B32343"/>
    <w:rsid w:val="00B324EE"/>
    <w:rsid w:val="00B32517"/>
    <w:rsid w:val="00B327AD"/>
    <w:rsid w:val="00B32817"/>
    <w:rsid w:val="00B32AAB"/>
    <w:rsid w:val="00B32B24"/>
    <w:rsid w:val="00B32D62"/>
    <w:rsid w:val="00B32E96"/>
    <w:rsid w:val="00B32F03"/>
    <w:rsid w:val="00B32F67"/>
    <w:rsid w:val="00B334AB"/>
    <w:rsid w:val="00B33645"/>
    <w:rsid w:val="00B3396B"/>
    <w:rsid w:val="00B33B44"/>
    <w:rsid w:val="00B33FC1"/>
    <w:rsid w:val="00B34364"/>
    <w:rsid w:val="00B34482"/>
    <w:rsid w:val="00B34586"/>
    <w:rsid w:val="00B34592"/>
    <w:rsid w:val="00B3482A"/>
    <w:rsid w:val="00B3491E"/>
    <w:rsid w:val="00B34CEB"/>
    <w:rsid w:val="00B34DBD"/>
    <w:rsid w:val="00B35135"/>
    <w:rsid w:val="00B355A3"/>
    <w:rsid w:val="00B356FF"/>
    <w:rsid w:val="00B35718"/>
    <w:rsid w:val="00B35890"/>
    <w:rsid w:val="00B358E7"/>
    <w:rsid w:val="00B35BA0"/>
    <w:rsid w:val="00B35D9B"/>
    <w:rsid w:val="00B35E45"/>
    <w:rsid w:val="00B36220"/>
    <w:rsid w:val="00B3635C"/>
    <w:rsid w:val="00B36872"/>
    <w:rsid w:val="00B3699F"/>
    <w:rsid w:val="00B36A5C"/>
    <w:rsid w:val="00B36B12"/>
    <w:rsid w:val="00B36F75"/>
    <w:rsid w:val="00B36FAF"/>
    <w:rsid w:val="00B37217"/>
    <w:rsid w:val="00B375EB"/>
    <w:rsid w:val="00B37615"/>
    <w:rsid w:val="00B376D3"/>
    <w:rsid w:val="00B378AE"/>
    <w:rsid w:val="00B378BE"/>
    <w:rsid w:val="00B3796B"/>
    <w:rsid w:val="00B37C35"/>
    <w:rsid w:val="00B37CEA"/>
    <w:rsid w:val="00B37ECE"/>
    <w:rsid w:val="00B37EFC"/>
    <w:rsid w:val="00B37F3D"/>
    <w:rsid w:val="00B37FC9"/>
    <w:rsid w:val="00B402AD"/>
    <w:rsid w:val="00B40390"/>
    <w:rsid w:val="00B40577"/>
    <w:rsid w:val="00B40667"/>
    <w:rsid w:val="00B408BF"/>
    <w:rsid w:val="00B408FA"/>
    <w:rsid w:val="00B409AF"/>
    <w:rsid w:val="00B409FA"/>
    <w:rsid w:val="00B40C0E"/>
    <w:rsid w:val="00B40C93"/>
    <w:rsid w:val="00B40D64"/>
    <w:rsid w:val="00B40EF7"/>
    <w:rsid w:val="00B41223"/>
    <w:rsid w:val="00B415AF"/>
    <w:rsid w:val="00B41746"/>
    <w:rsid w:val="00B4176D"/>
    <w:rsid w:val="00B417A2"/>
    <w:rsid w:val="00B4190E"/>
    <w:rsid w:val="00B4197B"/>
    <w:rsid w:val="00B41B99"/>
    <w:rsid w:val="00B41D76"/>
    <w:rsid w:val="00B41EF9"/>
    <w:rsid w:val="00B420D2"/>
    <w:rsid w:val="00B422A2"/>
    <w:rsid w:val="00B4237B"/>
    <w:rsid w:val="00B4242B"/>
    <w:rsid w:val="00B42509"/>
    <w:rsid w:val="00B425A8"/>
    <w:rsid w:val="00B425D7"/>
    <w:rsid w:val="00B428E3"/>
    <w:rsid w:val="00B4290E"/>
    <w:rsid w:val="00B42A23"/>
    <w:rsid w:val="00B42AEA"/>
    <w:rsid w:val="00B42C01"/>
    <w:rsid w:val="00B42EEA"/>
    <w:rsid w:val="00B42F7B"/>
    <w:rsid w:val="00B434BD"/>
    <w:rsid w:val="00B43856"/>
    <w:rsid w:val="00B43909"/>
    <w:rsid w:val="00B43ABC"/>
    <w:rsid w:val="00B43CEE"/>
    <w:rsid w:val="00B43D1B"/>
    <w:rsid w:val="00B440C5"/>
    <w:rsid w:val="00B4416B"/>
    <w:rsid w:val="00B4429E"/>
    <w:rsid w:val="00B44304"/>
    <w:rsid w:val="00B4455F"/>
    <w:rsid w:val="00B445AA"/>
    <w:rsid w:val="00B4483C"/>
    <w:rsid w:val="00B44C4C"/>
    <w:rsid w:val="00B44C9F"/>
    <w:rsid w:val="00B44CE3"/>
    <w:rsid w:val="00B44DA0"/>
    <w:rsid w:val="00B44DA3"/>
    <w:rsid w:val="00B44F60"/>
    <w:rsid w:val="00B45017"/>
    <w:rsid w:val="00B45461"/>
    <w:rsid w:val="00B456B4"/>
    <w:rsid w:val="00B456FE"/>
    <w:rsid w:val="00B45B3F"/>
    <w:rsid w:val="00B45B65"/>
    <w:rsid w:val="00B45B99"/>
    <w:rsid w:val="00B45BAE"/>
    <w:rsid w:val="00B45EE7"/>
    <w:rsid w:val="00B4600D"/>
    <w:rsid w:val="00B461A9"/>
    <w:rsid w:val="00B46278"/>
    <w:rsid w:val="00B46340"/>
    <w:rsid w:val="00B463C1"/>
    <w:rsid w:val="00B469C3"/>
    <w:rsid w:val="00B46A85"/>
    <w:rsid w:val="00B46A8D"/>
    <w:rsid w:val="00B46BBE"/>
    <w:rsid w:val="00B46BC6"/>
    <w:rsid w:val="00B46C04"/>
    <w:rsid w:val="00B46DEA"/>
    <w:rsid w:val="00B47251"/>
    <w:rsid w:val="00B475E0"/>
    <w:rsid w:val="00B4775F"/>
    <w:rsid w:val="00B47794"/>
    <w:rsid w:val="00B47851"/>
    <w:rsid w:val="00B47906"/>
    <w:rsid w:val="00B47B32"/>
    <w:rsid w:val="00B47EEB"/>
    <w:rsid w:val="00B47EFE"/>
    <w:rsid w:val="00B47F75"/>
    <w:rsid w:val="00B50157"/>
    <w:rsid w:val="00B50219"/>
    <w:rsid w:val="00B50255"/>
    <w:rsid w:val="00B50292"/>
    <w:rsid w:val="00B50384"/>
    <w:rsid w:val="00B50469"/>
    <w:rsid w:val="00B50477"/>
    <w:rsid w:val="00B50534"/>
    <w:rsid w:val="00B509B3"/>
    <w:rsid w:val="00B50AC1"/>
    <w:rsid w:val="00B50B16"/>
    <w:rsid w:val="00B50C71"/>
    <w:rsid w:val="00B50F67"/>
    <w:rsid w:val="00B50FC7"/>
    <w:rsid w:val="00B5119C"/>
    <w:rsid w:val="00B5122B"/>
    <w:rsid w:val="00B51259"/>
    <w:rsid w:val="00B512AC"/>
    <w:rsid w:val="00B513F0"/>
    <w:rsid w:val="00B51473"/>
    <w:rsid w:val="00B515FF"/>
    <w:rsid w:val="00B517CB"/>
    <w:rsid w:val="00B51AB3"/>
    <w:rsid w:val="00B51B44"/>
    <w:rsid w:val="00B51CDD"/>
    <w:rsid w:val="00B51D15"/>
    <w:rsid w:val="00B5202B"/>
    <w:rsid w:val="00B521B4"/>
    <w:rsid w:val="00B522D4"/>
    <w:rsid w:val="00B52326"/>
    <w:rsid w:val="00B526EA"/>
    <w:rsid w:val="00B52843"/>
    <w:rsid w:val="00B52BDD"/>
    <w:rsid w:val="00B53509"/>
    <w:rsid w:val="00B537FE"/>
    <w:rsid w:val="00B53B5A"/>
    <w:rsid w:val="00B53E7C"/>
    <w:rsid w:val="00B54284"/>
    <w:rsid w:val="00B54410"/>
    <w:rsid w:val="00B54524"/>
    <w:rsid w:val="00B54608"/>
    <w:rsid w:val="00B5462F"/>
    <w:rsid w:val="00B5463F"/>
    <w:rsid w:val="00B549C2"/>
    <w:rsid w:val="00B54E26"/>
    <w:rsid w:val="00B555DE"/>
    <w:rsid w:val="00B55707"/>
    <w:rsid w:val="00B558CE"/>
    <w:rsid w:val="00B55AD9"/>
    <w:rsid w:val="00B55C07"/>
    <w:rsid w:val="00B55C48"/>
    <w:rsid w:val="00B55CCF"/>
    <w:rsid w:val="00B55F04"/>
    <w:rsid w:val="00B56135"/>
    <w:rsid w:val="00B56202"/>
    <w:rsid w:val="00B563AB"/>
    <w:rsid w:val="00B56598"/>
    <w:rsid w:val="00B565E5"/>
    <w:rsid w:val="00B567A3"/>
    <w:rsid w:val="00B56AED"/>
    <w:rsid w:val="00B56BE0"/>
    <w:rsid w:val="00B56CCB"/>
    <w:rsid w:val="00B56D37"/>
    <w:rsid w:val="00B56DA4"/>
    <w:rsid w:val="00B56E34"/>
    <w:rsid w:val="00B56ED0"/>
    <w:rsid w:val="00B56F48"/>
    <w:rsid w:val="00B56F5D"/>
    <w:rsid w:val="00B570A9"/>
    <w:rsid w:val="00B572BF"/>
    <w:rsid w:val="00B572E2"/>
    <w:rsid w:val="00B57349"/>
    <w:rsid w:val="00B57602"/>
    <w:rsid w:val="00B57814"/>
    <w:rsid w:val="00B57A58"/>
    <w:rsid w:val="00B57A8D"/>
    <w:rsid w:val="00B57AF0"/>
    <w:rsid w:val="00B57C82"/>
    <w:rsid w:val="00B57F3D"/>
    <w:rsid w:val="00B60259"/>
    <w:rsid w:val="00B60272"/>
    <w:rsid w:val="00B602B5"/>
    <w:rsid w:val="00B6038A"/>
    <w:rsid w:val="00B603FE"/>
    <w:rsid w:val="00B6059E"/>
    <w:rsid w:val="00B60949"/>
    <w:rsid w:val="00B60954"/>
    <w:rsid w:val="00B60A1D"/>
    <w:rsid w:val="00B60AB3"/>
    <w:rsid w:val="00B60C69"/>
    <w:rsid w:val="00B610C2"/>
    <w:rsid w:val="00B61209"/>
    <w:rsid w:val="00B6132E"/>
    <w:rsid w:val="00B61551"/>
    <w:rsid w:val="00B61621"/>
    <w:rsid w:val="00B61931"/>
    <w:rsid w:val="00B619C8"/>
    <w:rsid w:val="00B61D92"/>
    <w:rsid w:val="00B62117"/>
    <w:rsid w:val="00B62226"/>
    <w:rsid w:val="00B6223A"/>
    <w:rsid w:val="00B62271"/>
    <w:rsid w:val="00B625BB"/>
    <w:rsid w:val="00B62B9D"/>
    <w:rsid w:val="00B62DDF"/>
    <w:rsid w:val="00B62ECF"/>
    <w:rsid w:val="00B63113"/>
    <w:rsid w:val="00B63250"/>
    <w:rsid w:val="00B632A1"/>
    <w:rsid w:val="00B6331D"/>
    <w:rsid w:val="00B6343C"/>
    <w:rsid w:val="00B6359F"/>
    <w:rsid w:val="00B637A1"/>
    <w:rsid w:val="00B63985"/>
    <w:rsid w:val="00B63E75"/>
    <w:rsid w:val="00B63F09"/>
    <w:rsid w:val="00B6408B"/>
    <w:rsid w:val="00B640AC"/>
    <w:rsid w:val="00B641C7"/>
    <w:rsid w:val="00B644A3"/>
    <w:rsid w:val="00B64683"/>
    <w:rsid w:val="00B6470E"/>
    <w:rsid w:val="00B6480F"/>
    <w:rsid w:val="00B64872"/>
    <w:rsid w:val="00B64981"/>
    <w:rsid w:val="00B6499A"/>
    <w:rsid w:val="00B64A9E"/>
    <w:rsid w:val="00B64ACE"/>
    <w:rsid w:val="00B64B4B"/>
    <w:rsid w:val="00B64BF5"/>
    <w:rsid w:val="00B653B9"/>
    <w:rsid w:val="00B6559C"/>
    <w:rsid w:val="00B65642"/>
    <w:rsid w:val="00B65863"/>
    <w:rsid w:val="00B65894"/>
    <w:rsid w:val="00B65C38"/>
    <w:rsid w:val="00B65E79"/>
    <w:rsid w:val="00B65F61"/>
    <w:rsid w:val="00B66299"/>
    <w:rsid w:val="00B664F3"/>
    <w:rsid w:val="00B666B9"/>
    <w:rsid w:val="00B66803"/>
    <w:rsid w:val="00B668C1"/>
    <w:rsid w:val="00B6696A"/>
    <w:rsid w:val="00B669F4"/>
    <w:rsid w:val="00B66AAB"/>
    <w:rsid w:val="00B66B83"/>
    <w:rsid w:val="00B66CE2"/>
    <w:rsid w:val="00B66F22"/>
    <w:rsid w:val="00B67363"/>
    <w:rsid w:val="00B6746D"/>
    <w:rsid w:val="00B6750B"/>
    <w:rsid w:val="00B6770C"/>
    <w:rsid w:val="00B678C9"/>
    <w:rsid w:val="00B67A57"/>
    <w:rsid w:val="00B67ABE"/>
    <w:rsid w:val="00B67B77"/>
    <w:rsid w:val="00B67DAC"/>
    <w:rsid w:val="00B67E6D"/>
    <w:rsid w:val="00B67F10"/>
    <w:rsid w:val="00B7008B"/>
    <w:rsid w:val="00B700C3"/>
    <w:rsid w:val="00B701CA"/>
    <w:rsid w:val="00B7023A"/>
    <w:rsid w:val="00B7036C"/>
    <w:rsid w:val="00B7073F"/>
    <w:rsid w:val="00B70861"/>
    <w:rsid w:val="00B70B34"/>
    <w:rsid w:val="00B70E9F"/>
    <w:rsid w:val="00B71172"/>
    <w:rsid w:val="00B71662"/>
    <w:rsid w:val="00B717A3"/>
    <w:rsid w:val="00B718B9"/>
    <w:rsid w:val="00B718CC"/>
    <w:rsid w:val="00B719F2"/>
    <w:rsid w:val="00B71A18"/>
    <w:rsid w:val="00B71A44"/>
    <w:rsid w:val="00B71DD8"/>
    <w:rsid w:val="00B71EE1"/>
    <w:rsid w:val="00B71FC3"/>
    <w:rsid w:val="00B721FF"/>
    <w:rsid w:val="00B7252E"/>
    <w:rsid w:val="00B725CA"/>
    <w:rsid w:val="00B725E6"/>
    <w:rsid w:val="00B72879"/>
    <w:rsid w:val="00B729F9"/>
    <w:rsid w:val="00B72B5B"/>
    <w:rsid w:val="00B72BC0"/>
    <w:rsid w:val="00B72C70"/>
    <w:rsid w:val="00B72CD5"/>
    <w:rsid w:val="00B72CE5"/>
    <w:rsid w:val="00B72F1A"/>
    <w:rsid w:val="00B731BA"/>
    <w:rsid w:val="00B7327B"/>
    <w:rsid w:val="00B733EB"/>
    <w:rsid w:val="00B73441"/>
    <w:rsid w:val="00B736F0"/>
    <w:rsid w:val="00B737B3"/>
    <w:rsid w:val="00B737BF"/>
    <w:rsid w:val="00B737DE"/>
    <w:rsid w:val="00B73A31"/>
    <w:rsid w:val="00B73AB1"/>
    <w:rsid w:val="00B73AD9"/>
    <w:rsid w:val="00B73E41"/>
    <w:rsid w:val="00B73F3D"/>
    <w:rsid w:val="00B73FCF"/>
    <w:rsid w:val="00B73FE9"/>
    <w:rsid w:val="00B7402D"/>
    <w:rsid w:val="00B741F1"/>
    <w:rsid w:val="00B743F7"/>
    <w:rsid w:val="00B74576"/>
    <w:rsid w:val="00B749B3"/>
    <w:rsid w:val="00B74BC7"/>
    <w:rsid w:val="00B74BEE"/>
    <w:rsid w:val="00B74BFB"/>
    <w:rsid w:val="00B74FA3"/>
    <w:rsid w:val="00B74FB9"/>
    <w:rsid w:val="00B75400"/>
    <w:rsid w:val="00B754A2"/>
    <w:rsid w:val="00B756E7"/>
    <w:rsid w:val="00B7575F"/>
    <w:rsid w:val="00B75891"/>
    <w:rsid w:val="00B758D7"/>
    <w:rsid w:val="00B75AA6"/>
    <w:rsid w:val="00B75B40"/>
    <w:rsid w:val="00B75C85"/>
    <w:rsid w:val="00B75E7C"/>
    <w:rsid w:val="00B75F85"/>
    <w:rsid w:val="00B7616E"/>
    <w:rsid w:val="00B7617D"/>
    <w:rsid w:val="00B761EA"/>
    <w:rsid w:val="00B7623F"/>
    <w:rsid w:val="00B76301"/>
    <w:rsid w:val="00B766D4"/>
    <w:rsid w:val="00B767AE"/>
    <w:rsid w:val="00B76D23"/>
    <w:rsid w:val="00B76E44"/>
    <w:rsid w:val="00B77034"/>
    <w:rsid w:val="00B77175"/>
    <w:rsid w:val="00B773C4"/>
    <w:rsid w:val="00B774CF"/>
    <w:rsid w:val="00B77A7C"/>
    <w:rsid w:val="00B77C04"/>
    <w:rsid w:val="00B77C67"/>
    <w:rsid w:val="00B77CBA"/>
    <w:rsid w:val="00B77EDE"/>
    <w:rsid w:val="00B800E3"/>
    <w:rsid w:val="00B802F7"/>
    <w:rsid w:val="00B80422"/>
    <w:rsid w:val="00B80670"/>
    <w:rsid w:val="00B808C0"/>
    <w:rsid w:val="00B80916"/>
    <w:rsid w:val="00B80943"/>
    <w:rsid w:val="00B80AAA"/>
    <w:rsid w:val="00B80AC7"/>
    <w:rsid w:val="00B80BDA"/>
    <w:rsid w:val="00B80C69"/>
    <w:rsid w:val="00B80E41"/>
    <w:rsid w:val="00B80EFD"/>
    <w:rsid w:val="00B80F5C"/>
    <w:rsid w:val="00B8101C"/>
    <w:rsid w:val="00B8112C"/>
    <w:rsid w:val="00B8141B"/>
    <w:rsid w:val="00B81848"/>
    <w:rsid w:val="00B81AF3"/>
    <w:rsid w:val="00B82090"/>
    <w:rsid w:val="00B82099"/>
    <w:rsid w:val="00B820CE"/>
    <w:rsid w:val="00B8215E"/>
    <w:rsid w:val="00B8231A"/>
    <w:rsid w:val="00B82794"/>
    <w:rsid w:val="00B82A07"/>
    <w:rsid w:val="00B82B17"/>
    <w:rsid w:val="00B82B89"/>
    <w:rsid w:val="00B82CFC"/>
    <w:rsid w:val="00B82D14"/>
    <w:rsid w:val="00B82EBF"/>
    <w:rsid w:val="00B8312C"/>
    <w:rsid w:val="00B83315"/>
    <w:rsid w:val="00B83532"/>
    <w:rsid w:val="00B8365C"/>
    <w:rsid w:val="00B836C7"/>
    <w:rsid w:val="00B83728"/>
    <w:rsid w:val="00B8376E"/>
    <w:rsid w:val="00B83792"/>
    <w:rsid w:val="00B8383A"/>
    <w:rsid w:val="00B839B4"/>
    <w:rsid w:val="00B83AA8"/>
    <w:rsid w:val="00B83E40"/>
    <w:rsid w:val="00B83E83"/>
    <w:rsid w:val="00B83F93"/>
    <w:rsid w:val="00B84079"/>
    <w:rsid w:val="00B841AA"/>
    <w:rsid w:val="00B84589"/>
    <w:rsid w:val="00B846C0"/>
    <w:rsid w:val="00B847CE"/>
    <w:rsid w:val="00B848BC"/>
    <w:rsid w:val="00B848C6"/>
    <w:rsid w:val="00B84905"/>
    <w:rsid w:val="00B850B3"/>
    <w:rsid w:val="00B850B4"/>
    <w:rsid w:val="00B851B2"/>
    <w:rsid w:val="00B85283"/>
    <w:rsid w:val="00B854E2"/>
    <w:rsid w:val="00B85663"/>
    <w:rsid w:val="00B85879"/>
    <w:rsid w:val="00B85A4F"/>
    <w:rsid w:val="00B85C6B"/>
    <w:rsid w:val="00B85CDE"/>
    <w:rsid w:val="00B85E6B"/>
    <w:rsid w:val="00B8627B"/>
    <w:rsid w:val="00B86394"/>
    <w:rsid w:val="00B863D8"/>
    <w:rsid w:val="00B86455"/>
    <w:rsid w:val="00B86576"/>
    <w:rsid w:val="00B86741"/>
    <w:rsid w:val="00B86857"/>
    <w:rsid w:val="00B86A7F"/>
    <w:rsid w:val="00B86D7A"/>
    <w:rsid w:val="00B86F5F"/>
    <w:rsid w:val="00B87123"/>
    <w:rsid w:val="00B87153"/>
    <w:rsid w:val="00B872AB"/>
    <w:rsid w:val="00B87430"/>
    <w:rsid w:val="00B87555"/>
    <w:rsid w:val="00B878B4"/>
    <w:rsid w:val="00B878B5"/>
    <w:rsid w:val="00B87B0E"/>
    <w:rsid w:val="00B87CDA"/>
    <w:rsid w:val="00B87DD0"/>
    <w:rsid w:val="00B87F32"/>
    <w:rsid w:val="00B90003"/>
    <w:rsid w:val="00B90070"/>
    <w:rsid w:val="00B90319"/>
    <w:rsid w:val="00B90577"/>
    <w:rsid w:val="00B906D8"/>
    <w:rsid w:val="00B9118E"/>
    <w:rsid w:val="00B9121C"/>
    <w:rsid w:val="00B912FB"/>
    <w:rsid w:val="00B91366"/>
    <w:rsid w:val="00B91398"/>
    <w:rsid w:val="00B9139B"/>
    <w:rsid w:val="00B913D9"/>
    <w:rsid w:val="00B913FF"/>
    <w:rsid w:val="00B915A9"/>
    <w:rsid w:val="00B919A0"/>
    <w:rsid w:val="00B91A38"/>
    <w:rsid w:val="00B91A5A"/>
    <w:rsid w:val="00B91D56"/>
    <w:rsid w:val="00B91FC6"/>
    <w:rsid w:val="00B920EB"/>
    <w:rsid w:val="00B9219B"/>
    <w:rsid w:val="00B92218"/>
    <w:rsid w:val="00B923FF"/>
    <w:rsid w:val="00B92417"/>
    <w:rsid w:val="00B92783"/>
    <w:rsid w:val="00B92918"/>
    <w:rsid w:val="00B929CF"/>
    <w:rsid w:val="00B92B3C"/>
    <w:rsid w:val="00B92B54"/>
    <w:rsid w:val="00B92CA7"/>
    <w:rsid w:val="00B92D83"/>
    <w:rsid w:val="00B92ED8"/>
    <w:rsid w:val="00B92F31"/>
    <w:rsid w:val="00B931D2"/>
    <w:rsid w:val="00B93436"/>
    <w:rsid w:val="00B93621"/>
    <w:rsid w:val="00B936DA"/>
    <w:rsid w:val="00B936F9"/>
    <w:rsid w:val="00B93928"/>
    <w:rsid w:val="00B9395B"/>
    <w:rsid w:val="00B93AF8"/>
    <w:rsid w:val="00B93BAE"/>
    <w:rsid w:val="00B93E3B"/>
    <w:rsid w:val="00B93EE0"/>
    <w:rsid w:val="00B944FB"/>
    <w:rsid w:val="00B9499F"/>
    <w:rsid w:val="00B94C25"/>
    <w:rsid w:val="00B94C7B"/>
    <w:rsid w:val="00B94F06"/>
    <w:rsid w:val="00B94F6E"/>
    <w:rsid w:val="00B9501A"/>
    <w:rsid w:val="00B9503F"/>
    <w:rsid w:val="00B950A8"/>
    <w:rsid w:val="00B954C1"/>
    <w:rsid w:val="00B9552D"/>
    <w:rsid w:val="00B955A6"/>
    <w:rsid w:val="00B955FC"/>
    <w:rsid w:val="00B9588B"/>
    <w:rsid w:val="00B9589A"/>
    <w:rsid w:val="00B95C1D"/>
    <w:rsid w:val="00B95C82"/>
    <w:rsid w:val="00B95E71"/>
    <w:rsid w:val="00B95F55"/>
    <w:rsid w:val="00B96106"/>
    <w:rsid w:val="00B96133"/>
    <w:rsid w:val="00B961C5"/>
    <w:rsid w:val="00B9621D"/>
    <w:rsid w:val="00B96813"/>
    <w:rsid w:val="00B9689A"/>
    <w:rsid w:val="00B96937"/>
    <w:rsid w:val="00B96DCF"/>
    <w:rsid w:val="00B972D3"/>
    <w:rsid w:val="00B9761F"/>
    <w:rsid w:val="00B976D0"/>
    <w:rsid w:val="00B97973"/>
    <w:rsid w:val="00B97B76"/>
    <w:rsid w:val="00B97D58"/>
    <w:rsid w:val="00B97D62"/>
    <w:rsid w:val="00B97EA1"/>
    <w:rsid w:val="00B97F3C"/>
    <w:rsid w:val="00B97FD5"/>
    <w:rsid w:val="00BA00D5"/>
    <w:rsid w:val="00BA0345"/>
    <w:rsid w:val="00BA0441"/>
    <w:rsid w:val="00BA0500"/>
    <w:rsid w:val="00BA061F"/>
    <w:rsid w:val="00BA073F"/>
    <w:rsid w:val="00BA08E7"/>
    <w:rsid w:val="00BA1116"/>
    <w:rsid w:val="00BA11F7"/>
    <w:rsid w:val="00BA1215"/>
    <w:rsid w:val="00BA14C8"/>
    <w:rsid w:val="00BA15E4"/>
    <w:rsid w:val="00BA1696"/>
    <w:rsid w:val="00BA193D"/>
    <w:rsid w:val="00BA1A56"/>
    <w:rsid w:val="00BA1C0D"/>
    <w:rsid w:val="00BA1D18"/>
    <w:rsid w:val="00BA1EA1"/>
    <w:rsid w:val="00BA253E"/>
    <w:rsid w:val="00BA25DA"/>
    <w:rsid w:val="00BA27E5"/>
    <w:rsid w:val="00BA2DFA"/>
    <w:rsid w:val="00BA32A6"/>
    <w:rsid w:val="00BA3502"/>
    <w:rsid w:val="00BA3693"/>
    <w:rsid w:val="00BA3807"/>
    <w:rsid w:val="00BA3850"/>
    <w:rsid w:val="00BA3851"/>
    <w:rsid w:val="00BA3A5A"/>
    <w:rsid w:val="00BA3D75"/>
    <w:rsid w:val="00BA3F62"/>
    <w:rsid w:val="00BA3F8A"/>
    <w:rsid w:val="00BA402C"/>
    <w:rsid w:val="00BA41DB"/>
    <w:rsid w:val="00BA425F"/>
    <w:rsid w:val="00BA4632"/>
    <w:rsid w:val="00BA468F"/>
    <w:rsid w:val="00BA491C"/>
    <w:rsid w:val="00BA4E3E"/>
    <w:rsid w:val="00BA4EE6"/>
    <w:rsid w:val="00BA4FA9"/>
    <w:rsid w:val="00BA4FEE"/>
    <w:rsid w:val="00BA50EA"/>
    <w:rsid w:val="00BA5109"/>
    <w:rsid w:val="00BA529D"/>
    <w:rsid w:val="00BA52C8"/>
    <w:rsid w:val="00BA5645"/>
    <w:rsid w:val="00BA5A2A"/>
    <w:rsid w:val="00BA5B8C"/>
    <w:rsid w:val="00BA5BBA"/>
    <w:rsid w:val="00BA5ED3"/>
    <w:rsid w:val="00BA5FA2"/>
    <w:rsid w:val="00BA6013"/>
    <w:rsid w:val="00BA6123"/>
    <w:rsid w:val="00BA6337"/>
    <w:rsid w:val="00BA6506"/>
    <w:rsid w:val="00BA6518"/>
    <w:rsid w:val="00BA65C4"/>
    <w:rsid w:val="00BA66B7"/>
    <w:rsid w:val="00BA6986"/>
    <w:rsid w:val="00BA69E0"/>
    <w:rsid w:val="00BA6B37"/>
    <w:rsid w:val="00BA6B64"/>
    <w:rsid w:val="00BA6DCE"/>
    <w:rsid w:val="00BA6DFF"/>
    <w:rsid w:val="00BA6EE7"/>
    <w:rsid w:val="00BA70A2"/>
    <w:rsid w:val="00BA7514"/>
    <w:rsid w:val="00BA7515"/>
    <w:rsid w:val="00BA76BA"/>
    <w:rsid w:val="00BA76C3"/>
    <w:rsid w:val="00BA7861"/>
    <w:rsid w:val="00BA7986"/>
    <w:rsid w:val="00BA7A25"/>
    <w:rsid w:val="00BA7AAE"/>
    <w:rsid w:val="00BA7B25"/>
    <w:rsid w:val="00BA7EE1"/>
    <w:rsid w:val="00BB0086"/>
    <w:rsid w:val="00BB0290"/>
    <w:rsid w:val="00BB02F2"/>
    <w:rsid w:val="00BB0328"/>
    <w:rsid w:val="00BB0717"/>
    <w:rsid w:val="00BB0A5C"/>
    <w:rsid w:val="00BB0D79"/>
    <w:rsid w:val="00BB0E10"/>
    <w:rsid w:val="00BB0FA3"/>
    <w:rsid w:val="00BB0FF4"/>
    <w:rsid w:val="00BB1045"/>
    <w:rsid w:val="00BB11A6"/>
    <w:rsid w:val="00BB156D"/>
    <w:rsid w:val="00BB1858"/>
    <w:rsid w:val="00BB1887"/>
    <w:rsid w:val="00BB18EB"/>
    <w:rsid w:val="00BB194C"/>
    <w:rsid w:val="00BB1A2C"/>
    <w:rsid w:val="00BB1FB5"/>
    <w:rsid w:val="00BB203E"/>
    <w:rsid w:val="00BB2262"/>
    <w:rsid w:val="00BB2331"/>
    <w:rsid w:val="00BB2783"/>
    <w:rsid w:val="00BB2960"/>
    <w:rsid w:val="00BB2A58"/>
    <w:rsid w:val="00BB2BB3"/>
    <w:rsid w:val="00BB2C31"/>
    <w:rsid w:val="00BB2C8E"/>
    <w:rsid w:val="00BB2D27"/>
    <w:rsid w:val="00BB3079"/>
    <w:rsid w:val="00BB3139"/>
    <w:rsid w:val="00BB31BD"/>
    <w:rsid w:val="00BB32FD"/>
    <w:rsid w:val="00BB338A"/>
    <w:rsid w:val="00BB3511"/>
    <w:rsid w:val="00BB3630"/>
    <w:rsid w:val="00BB36C8"/>
    <w:rsid w:val="00BB3885"/>
    <w:rsid w:val="00BB3897"/>
    <w:rsid w:val="00BB3C56"/>
    <w:rsid w:val="00BB3D5A"/>
    <w:rsid w:val="00BB3E86"/>
    <w:rsid w:val="00BB3EBE"/>
    <w:rsid w:val="00BB422A"/>
    <w:rsid w:val="00BB42D5"/>
    <w:rsid w:val="00BB4310"/>
    <w:rsid w:val="00BB4423"/>
    <w:rsid w:val="00BB449B"/>
    <w:rsid w:val="00BB47C5"/>
    <w:rsid w:val="00BB4809"/>
    <w:rsid w:val="00BB48EA"/>
    <w:rsid w:val="00BB4B69"/>
    <w:rsid w:val="00BB4EBA"/>
    <w:rsid w:val="00BB50BA"/>
    <w:rsid w:val="00BB5210"/>
    <w:rsid w:val="00BB54A3"/>
    <w:rsid w:val="00BB56D3"/>
    <w:rsid w:val="00BB57CF"/>
    <w:rsid w:val="00BB5C16"/>
    <w:rsid w:val="00BB605D"/>
    <w:rsid w:val="00BB6060"/>
    <w:rsid w:val="00BB6104"/>
    <w:rsid w:val="00BB6110"/>
    <w:rsid w:val="00BB61B5"/>
    <w:rsid w:val="00BB6460"/>
    <w:rsid w:val="00BB64E4"/>
    <w:rsid w:val="00BB65C2"/>
    <w:rsid w:val="00BB6C3C"/>
    <w:rsid w:val="00BB6D2A"/>
    <w:rsid w:val="00BB6E55"/>
    <w:rsid w:val="00BB6EAB"/>
    <w:rsid w:val="00BB709D"/>
    <w:rsid w:val="00BB710D"/>
    <w:rsid w:val="00BB71B8"/>
    <w:rsid w:val="00BB733B"/>
    <w:rsid w:val="00BB7362"/>
    <w:rsid w:val="00BB74A3"/>
    <w:rsid w:val="00BB78B5"/>
    <w:rsid w:val="00BB78F7"/>
    <w:rsid w:val="00BB7919"/>
    <w:rsid w:val="00BB7A46"/>
    <w:rsid w:val="00BB7E2B"/>
    <w:rsid w:val="00BB7FD3"/>
    <w:rsid w:val="00BC0119"/>
    <w:rsid w:val="00BC0213"/>
    <w:rsid w:val="00BC0295"/>
    <w:rsid w:val="00BC03D7"/>
    <w:rsid w:val="00BC0548"/>
    <w:rsid w:val="00BC0879"/>
    <w:rsid w:val="00BC08B8"/>
    <w:rsid w:val="00BC0953"/>
    <w:rsid w:val="00BC0992"/>
    <w:rsid w:val="00BC0B34"/>
    <w:rsid w:val="00BC0BE0"/>
    <w:rsid w:val="00BC0CC4"/>
    <w:rsid w:val="00BC0E52"/>
    <w:rsid w:val="00BC12B8"/>
    <w:rsid w:val="00BC1470"/>
    <w:rsid w:val="00BC157E"/>
    <w:rsid w:val="00BC1C5D"/>
    <w:rsid w:val="00BC206E"/>
    <w:rsid w:val="00BC22E4"/>
    <w:rsid w:val="00BC244A"/>
    <w:rsid w:val="00BC2490"/>
    <w:rsid w:val="00BC25BA"/>
    <w:rsid w:val="00BC2621"/>
    <w:rsid w:val="00BC2685"/>
    <w:rsid w:val="00BC2789"/>
    <w:rsid w:val="00BC2898"/>
    <w:rsid w:val="00BC28CD"/>
    <w:rsid w:val="00BC2B14"/>
    <w:rsid w:val="00BC2CDE"/>
    <w:rsid w:val="00BC30B3"/>
    <w:rsid w:val="00BC30D4"/>
    <w:rsid w:val="00BC33B9"/>
    <w:rsid w:val="00BC3495"/>
    <w:rsid w:val="00BC34CA"/>
    <w:rsid w:val="00BC35D3"/>
    <w:rsid w:val="00BC37F6"/>
    <w:rsid w:val="00BC39B6"/>
    <w:rsid w:val="00BC3BAF"/>
    <w:rsid w:val="00BC3C28"/>
    <w:rsid w:val="00BC3C51"/>
    <w:rsid w:val="00BC3D4C"/>
    <w:rsid w:val="00BC3FA4"/>
    <w:rsid w:val="00BC40FB"/>
    <w:rsid w:val="00BC4346"/>
    <w:rsid w:val="00BC4536"/>
    <w:rsid w:val="00BC47BD"/>
    <w:rsid w:val="00BC47F6"/>
    <w:rsid w:val="00BC4911"/>
    <w:rsid w:val="00BC4A82"/>
    <w:rsid w:val="00BC4B70"/>
    <w:rsid w:val="00BC4CF3"/>
    <w:rsid w:val="00BC4D3D"/>
    <w:rsid w:val="00BC4DE1"/>
    <w:rsid w:val="00BC4F79"/>
    <w:rsid w:val="00BC4FBD"/>
    <w:rsid w:val="00BC513C"/>
    <w:rsid w:val="00BC5241"/>
    <w:rsid w:val="00BC53E8"/>
    <w:rsid w:val="00BC5B79"/>
    <w:rsid w:val="00BC5B7B"/>
    <w:rsid w:val="00BC5BF3"/>
    <w:rsid w:val="00BC5C8C"/>
    <w:rsid w:val="00BC5C9F"/>
    <w:rsid w:val="00BC5E16"/>
    <w:rsid w:val="00BC5FEB"/>
    <w:rsid w:val="00BC6098"/>
    <w:rsid w:val="00BC62C0"/>
    <w:rsid w:val="00BC65ED"/>
    <w:rsid w:val="00BC68F3"/>
    <w:rsid w:val="00BC6CBB"/>
    <w:rsid w:val="00BC6D63"/>
    <w:rsid w:val="00BC6FF0"/>
    <w:rsid w:val="00BC7000"/>
    <w:rsid w:val="00BC75D0"/>
    <w:rsid w:val="00BC75D9"/>
    <w:rsid w:val="00BC7755"/>
    <w:rsid w:val="00BC782C"/>
    <w:rsid w:val="00BC7F01"/>
    <w:rsid w:val="00BC7FB1"/>
    <w:rsid w:val="00BD00E3"/>
    <w:rsid w:val="00BD01F6"/>
    <w:rsid w:val="00BD0335"/>
    <w:rsid w:val="00BD0350"/>
    <w:rsid w:val="00BD04E8"/>
    <w:rsid w:val="00BD055B"/>
    <w:rsid w:val="00BD05EA"/>
    <w:rsid w:val="00BD0647"/>
    <w:rsid w:val="00BD09A5"/>
    <w:rsid w:val="00BD0A3A"/>
    <w:rsid w:val="00BD0EC1"/>
    <w:rsid w:val="00BD10ED"/>
    <w:rsid w:val="00BD10F1"/>
    <w:rsid w:val="00BD11CC"/>
    <w:rsid w:val="00BD124F"/>
    <w:rsid w:val="00BD1259"/>
    <w:rsid w:val="00BD1303"/>
    <w:rsid w:val="00BD1893"/>
    <w:rsid w:val="00BD19F6"/>
    <w:rsid w:val="00BD1C43"/>
    <w:rsid w:val="00BD1E3E"/>
    <w:rsid w:val="00BD1FBF"/>
    <w:rsid w:val="00BD2126"/>
    <w:rsid w:val="00BD229A"/>
    <w:rsid w:val="00BD27E8"/>
    <w:rsid w:val="00BD28B3"/>
    <w:rsid w:val="00BD2999"/>
    <w:rsid w:val="00BD2ABC"/>
    <w:rsid w:val="00BD2AD4"/>
    <w:rsid w:val="00BD2AFB"/>
    <w:rsid w:val="00BD2D0C"/>
    <w:rsid w:val="00BD2F49"/>
    <w:rsid w:val="00BD3145"/>
    <w:rsid w:val="00BD37EB"/>
    <w:rsid w:val="00BD3998"/>
    <w:rsid w:val="00BD3DB7"/>
    <w:rsid w:val="00BD3EBB"/>
    <w:rsid w:val="00BD435F"/>
    <w:rsid w:val="00BD43D6"/>
    <w:rsid w:val="00BD4543"/>
    <w:rsid w:val="00BD4655"/>
    <w:rsid w:val="00BD47D6"/>
    <w:rsid w:val="00BD4854"/>
    <w:rsid w:val="00BD4867"/>
    <w:rsid w:val="00BD48A1"/>
    <w:rsid w:val="00BD4B20"/>
    <w:rsid w:val="00BD4B2A"/>
    <w:rsid w:val="00BD4B9E"/>
    <w:rsid w:val="00BD4D35"/>
    <w:rsid w:val="00BD4E7C"/>
    <w:rsid w:val="00BD5042"/>
    <w:rsid w:val="00BD5146"/>
    <w:rsid w:val="00BD5296"/>
    <w:rsid w:val="00BD5371"/>
    <w:rsid w:val="00BD548D"/>
    <w:rsid w:val="00BD553B"/>
    <w:rsid w:val="00BD571F"/>
    <w:rsid w:val="00BD5931"/>
    <w:rsid w:val="00BD5960"/>
    <w:rsid w:val="00BD59D8"/>
    <w:rsid w:val="00BD5B6C"/>
    <w:rsid w:val="00BD5CBF"/>
    <w:rsid w:val="00BD5CD8"/>
    <w:rsid w:val="00BD6141"/>
    <w:rsid w:val="00BD6627"/>
    <w:rsid w:val="00BD670F"/>
    <w:rsid w:val="00BD678F"/>
    <w:rsid w:val="00BD6B2F"/>
    <w:rsid w:val="00BD6BC6"/>
    <w:rsid w:val="00BD7187"/>
    <w:rsid w:val="00BD74E8"/>
    <w:rsid w:val="00BD74F3"/>
    <w:rsid w:val="00BD764E"/>
    <w:rsid w:val="00BD7797"/>
    <w:rsid w:val="00BD77C7"/>
    <w:rsid w:val="00BD78C2"/>
    <w:rsid w:val="00BD7BA5"/>
    <w:rsid w:val="00BD7C23"/>
    <w:rsid w:val="00BD7D65"/>
    <w:rsid w:val="00BD7E1F"/>
    <w:rsid w:val="00BE002E"/>
    <w:rsid w:val="00BE0335"/>
    <w:rsid w:val="00BE044D"/>
    <w:rsid w:val="00BE0A10"/>
    <w:rsid w:val="00BE0B40"/>
    <w:rsid w:val="00BE0C7B"/>
    <w:rsid w:val="00BE0F06"/>
    <w:rsid w:val="00BE0F0F"/>
    <w:rsid w:val="00BE0F14"/>
    <w:rsid w:val="00BE0F65"/>
    <w:rsid w:val="00BE1206"/>
    <w:rsid w:val="00BE139A"/>
    <w:rsid w:val="00BE14B4"/>
    <w:rsid w:val="00BE1602"/>
    <w:rsid w:val="00BE166A"/>
    <w:rsid w:val="00BE17C6"/>
    <w:rsid w:val="00BE1961"/>
    <w:rsid w:val="00BE1B28"/>
    <w:rsid w:val="00BE1D41"/>
    <w:rsid w:val="00BE1EE7"/>
    <w:rsid w:val="00BE1F90"/>
    <w:rsid w:val="00BE1FEE"/>
    <w:rsid w:val="00BE270E"/>
    <w:rsid w:val="00BE273F"/>
    <w:rsid w:val="00BE2838"/>
    <w:rsid w:val="00BE2E11"/>
    <w:rsid w:val="00BE2E25"/>
    <w:rsid w:val="00BE2F14"/>
    <w:rsid w:val="00BE3290"/>
    <w:rsid w:val="00BE3422"/>
    <w:rsid w:val="00BE345C"/>
    <w:rsid w:val="00BE3497"/>
    <w:rsid w:val="00BE3887"/>
    <w:rsid w:val="00BE38A9"/>
    <w:rsid w:val="00BE3979"/>
    <w:rsid w:val="00BE3AE8"/>
    <w:rsid w:val="00BE3F8D"/>
    <w:rsid w:val="00BE3FC1"/>
    <w:rsid w:val="00BE4081"/>
    <w:rsid w:val="00BE4850"/>
    <w:rsid w:val="00BE4968"/>
    <w:rsid w:val="00BE4A15"/>
    <w:rsid w:val="00BE4A31"/>
    <w:rsid w:val="00BE4A67"/>
    <w:rsid w:val="00BE4BF3"/>
    <w:rsid w:val="00BE4CB4"/>
    <w:rsid w:val="00BE4CCF"/>
    <w:rsid w:val="00BE4D68"/>
    <w:rsid w:val="00BE5170"/>
    <w:rsid w:val="00BE52A0"/>
    <w:rsid w:val="00BE52D1"/>
    <w:rsid w:val="00BE5302"/>
    <w:rsid w:val="00BE53EE"/>
    <w:rsid w:val="00BE57F0"/>
    <w:rsid w:val="00BE581F"/>
    <w:rsid w:val="00BE596D"/>
    <w:rsid w:val="00BE5A78"/>
    <w:rsid w:val="00BE5AB9"/>
    <w:rsid w:val="00BE5BC8"/>
    <w:rsid w:val="00BE5E32"/>
    <w:rsid w:val="00BE6480"/>
    <w:rsid w:val="00BE65A9"/>
    <w:rsid w:val="00BE65F0"/>
    <w:rsid w:val="00BE6630"/>
    <w:rsid w:val="00BE6648"/>
    <w:rsid w:val="00BE6766"/>
    <w:rsid w:val="00BE6845"/>
    <w:rsid w:val="00BE6A84"/>
    <w:rsid w:val="00BE6AF6"/>
    <w:rsid w:val="00BE6B37"/>
    <w:rsid w:val="00BE6BBF"/>
    <w:rsid w:val="00BE6E26"/>
    <w:rsid w:val="00BE6F7B"/>
    <w:rsid w:val="00BE6F7F"/>
    <w:rsid w:val="00BE7334"/>
    <w:rsid w:val="00BE773E"/>
    <w:rsid w:val="00BE7780"/>
    <w:rsid w:val="00BE7894"/>
    <w:rsid w:val="00BE7904"/>
    <w:rsid w:val="00BE7A36"/>
    <w:rsid w:val="00BE7B4A"/>
    <w:rsid w:val="00BE7D86"/>
    <w:rsid w:val="00BE7E37"/>
    <w:rsid w:val="00BE7F8B"/>
    <w:rsid w:val="00BE7FCC"/>
    <w:rsid w:val="00BF02C4"/>
    <w:rsid w:val="00BF05FB"/>
    <w:rsid w:val="00BF0678"/>
    <w:rsid w:val="00BF08F9"/>
    <w:rsid w:val="00BF08FB"/>
    <w:rsid w:val="00BF0A7E"/>
    <w:rsid w:val="00BF0BCE"/>
    <w:rsid w:val="00BF0C5C"/>
    <w:rsid w:val="00BF0F90"/>
    <w:rsid w:val="00BF0FA0"/>
    <w:rsid w:val="00BF1166"/>
    <w:rsid w:val="00BF12B7"/>
    <w:rsid w:val="00BF1674"/>
    <w:rsid w:val="00BF16C5"/>
    <w:rsid w:val="00BF18DC"/>
    <w:rsid w:val="00BF1960"/>
    <w:rsid w:val="00BF1978"/>
    <w:rsid w:val="00BF19E2"/>
    <w:rsid w:val="00BF19F6"/>
    <w:rsid w:val="00BF1CCA"/>
    <w:rsid w:val="00BF1E78"/>
    <w:rsid w:val="00BF1EC8"/>
    <w:rsid w:val="00BF2218"/>
    <w:rsid w:val="00BF223B"/>
    <w:rsid w:val="00BF2336"/>
    <w:rsid w:val="00BF2380"/>
    <w:rsid w:val="00BF23DA"/>
    <w:rsid w:val="00BF279B"/>
    <w:rsid w:val="00BF2828"/>
    <w:rsid w:val="00BF287C"/>
    <w:rsid w:val="00BF29E6"/>
    <w:rsid w:val="00BF2BF7"/>
    <w:rsid w:val="00BF2CD9"/>
    <w:rsid w:val="00BF2F8C"/>
    <w:rsid w:val="00BF300C"/>
    <w:rsid w:val="00BF31CC"/>
    <w:rsid w:val="00BF322E"/>
    <w:rsid w:val="00BF345B"/>
    <w:rsid w:val="00BF3603"/>
    <w:rsid w:val="00BF3849"/>
    <w:rsid w:val="00BF3C56"/>
    <w:rsid w:val="00BF40F4"/>
    <w:rsid w:val="00BF418F"/>
    <w:rsid w:val="00BF420F"/>
    <w:rsid w:val="00BF421A"/>
    <w:rsid w:val="00BF4439"/>
    <w:rsid w:val="00BF46AE"/>
    <w:rsid w:val="00BF4A92"/>
    <w:rsid w:val="00BF4B61"/>
    <w:rsid w:val="00BF4C93"/>
    <w:rsid w:val="00BF4E89"/>
    <w:rsid w:val="00BF4F3F"/>
    <w:rsid w:val="00BF5067"/>
    <w:rsid w:val="00BF5115"/>
    <w:rsid w:val="00BF5529"/>
    <w:rsid w:val="00BF5555"/>
    <w:rsid w:val="00BF590A"/>
    <w:rsid w:val="00BF5B1E"/>
    <w:rsid w:val="00BF5B9F"/>
    <w:rsid w:val="00BF5D67"/>
    <w:rsid w:val="00BF5DA7"/>
    <w:rsid w:val="00BF5F06"/>
    <w:rsid w:val="00BF613E"/>
    <w:rsid w:val="00BF617B"/>
    <w:rsid w:val="00BF62E1"/>
    <w:rsid w:val="00BF6441"/>
    <w:rsid w:val="00BF644C"/>
    <w:rsid w:val="00BF655B"/>
    <w:rsid w:val="00BF6560"/>
    <w:rsid w:val="00BF659D"/>
    <w:rsid w:val="00BF6B38"/>
    <w:rsid w:val="00BF6DF0"/>
    <w:rsid w:val="00BF6E64"/>
    <w:rsid w:val="00BF6F1C"/>
    <w:rsid w:val="00BF718E"/>
    <w:rsid w:val="00BF7362"/>
    <w:rsid w:val="00BF7381"/>
    <w:rsid w:val="00BF74E9"/>
    <w:rsid w:val="00BF7692"/>
    <w:rsid w:val="00BF7700"/>
    <w:rsid w:val="00BF78AC"/>
    <w:rsid w:val="00BF7C39"/>
    <w:rsid w:val="00BF7DD3"/>
    <w:rsid w:val="00BF7EE6"/>
    <w:rsid w:val="00BF7FC6"/>
    <w:rsid w:val="00C00303"/>
    <w:rsid w:val="00C004A5"/>
    <w:rsid w:val="00C0053D"/>
    <w:rsid w:val="00C009C5"/>
    <w:rsid w:val="00C00D8E"/>
    <w:rsid w:val="00C00DA0"/>
    <w:rsid w:val="00C0103B"/>
    <w:rsid w:val="00C0139C"/>
    <w:rsid w:val="00C0155F"/>
    <w:rsid w:val="00C017F5"/>
    <w:rsid w:val="00C01B4A"/>
    <w:rsid w:val="00C01C8D"/>
    <w:rsid w:val="00C01D19"/>
    <w:rsid w:val="00C02129"/>
    <w:rsid w:val="00C022DE"/>
    <w:rsid w:val="00C0260E"/>
    <w:rsid w:val="00C028A3"/>
    <w:rsid w:val="00C029CE"/>
    <w:rsid w:val="00C02B65"/>
    <w:rsid w:val="00C03084"/>
    <w:rsid w:val="00C035A3"/>
    <w:rsid w:val="00C03A63"/>
    <w:rsid w:val="00C0408D"/>
    <w:rsid w:val="00C0430D"/>
    <w:rsid w:val="00C043C0"/>
    <w:rsid w:val="00C04846"/>
    <w:rsid w:val="00C0487D"/>
    <w:rsid w:val="00C04972"/>
    <w:rsid w:val="00C04AD7"/>
    <w:rsid w:val="00C04B44"/>
    <w:rsid w:val="00C04F75"/>
    <w:rsid w:val="00C0525A"/>
    <w:rsid w:val="00C05344"/>
    <w:rsid w:val="00C0535A"/>
    <w:rsid w:val="00C0554B"/>
    <w:rsid w:val="00C056CD"/>
    <w:rsid w:val="00C05783"/>
    <w:rsid w:val="00C0588F"/>
    <w:rsid w:val="00C058DF"/>
    <w:rsid w:val="00C05B31"/>
    <w:rsid w:val="00C05B73"/>
    <w:rsid w:val="00C05B7D"/>
    <w:rsid w:val="00C05D0B"/>
    <w:rsid w:val="00C05D68"/>
    <w:rsid w:val="00C05ED2"/>
    <w:rsid w:val="00C05F9F"/>
    <w:rsid w:val="00C060AA"/>
    <w:rsid w:val="00C06276"/>
    <w:rsid w:val="00C063AE"/>
    <w:rsid w:val="00C06406"/>
    <w:rsid w:val="00C0653F"/>
    <w:rsid w:val="00C06A73"/>
    <w:rsid w:val="00C06E8D"/>
    <w:rsid w:val="00C06F2F"/>
    <w:rsid w:val="00C06FA0"/>
    <w:rsid w:val="00C070BE"/>
    <w:rsid w:val="00C070D5"/>
    <w:rsid w:val="00C071CB"/>
    <w:rsid w:val="00C075BC"/>
    <w:rsid w:val="00C07610"/>
    <w:rsid w:val="00C0774D"/>
    <w:rsid w:val="00C078ED"/>
    <w:rsid w:val="00C07BA2"/>
    <w:rsid w:val="00C07CFB"/>
    <w:rsid w:val="00C07DF4"/>
    <w:rsid w:val="00C07F75"/>
    <w:rsid w:val="00C10360"/>
    <w:rsid w:val="00C104F0"/>
    <w:rsid w:val="00C10534"/>
    <w:rsid w:val="00C10687"/>
    <w:rsid w:val="00C10839"/>
    <w:rsid w:val="00C10C9C"/>
    <w:rsid w:val="00C10CA1"/>
    <w:rsid w:val="00C10EBE"/>
    <w:rsid w:val="00C10F4D"/>
    <w:rsid w:val="00C11367"/>
    <w:rsid w:val="00C11398"/>
    <w:rsid w:val="00C1148D"/>
    <w:rsid w:val="00C11499"/>
    <w:rsid w:val="00C1175F"/>
    <w:rsid w:val="00C11765"/>
    <w:rsid w:val="00C11893"/>
    <w:rsid w:val="00C11A50"/>
    <w:rsid w:val="00C11ACD"/>
    <w:rsid w:val="00C1237F"/>
    <w:rsid w:val="00C1238A"/>
    <w:rsid w:val="00C123BC"/>
    <w:rsid w:val="00C1245B"/>
    <w:rsid w:val="00C126A1"/>
    <w:rsid w:val="00C1274D"/>
    <w:rsid w:val="00C12A9A"/>
    <w:rsid w:val="00C12ABE"/>
    <w:rsid w:val="00C12E63"/>
    <w:rsid w:val="00C12E9C"/>
    <w:rsid w:val="00C13035"/>
    <w:rsid w:val="00C131A6"/>
    <w:rsid w:val="00C13466"/>
    <w:rsid w:val="00C13B6A"/>
    <w:rsid w:val="00C13C75"/>
    <w:rsid w:val="00C13E64"/>
    <w:rsid w:val="00C13EDB"/>
    <w:rsid w:val="00C13F97"/>
    <w:rsid w:val="00C1423A"/>
    <w:rsid w:val="00C144F7"/>
    <w:rsid w:val="00C14539"/>
    <w:rsid w:val="00C14589"/>
    <w:rsid w:val="00C145C6"/>
    <w:rsid w:val="00C15049"/>
    <w:rsid w:val="00C1532C"/>
    <w:rsid w:val="00C155F1"/>
    <w:rsid w:val="00C15756"/>
    <w:rsid w:val="00C1593F"/>
    <w:rsid w:val="00C15968"/>
    <w:rsid w:val="00C15BAF"/>
    <w:rsid w:val="00C15C25"/>
    <w:rsid w:val="00C15D07"/>
    <w:rsid w:val="00C15DC9"/>
    <w:rsid w:val="00C16365"/>
    <w:rsid w:val="00C165BC"/>
    <w:rsid w:val="00C16660"/>
    <w:rsid w:val="00C16675"/>
    <w:rsid w:val="00C16AAB"/>
    <w:rsid w:val="00C16C80"/>
    <w:rsid w:val="00C16DA3"/>
    <w:rsid w:val="00C16E17"/>
    <w:rsid w:val="00C16EC8"/>
    <w:rsid w:val="00C16F9F"/>
    <w:rsid w:val="00C17024"/>
    <w:rsid w:val="00C171D5"/>
    <w:rsid w:val="00C172A7"/>
    <w:rsid w:val="00C174F6"/>
    <w:rsid w:val="00C1756B"/>
    <w:rsid w:val="00C178A2"/>
    <w:rsid w:val="00C178DF"/>
    <w:rsid w:val="00C17A6C"/>
    <w:rsid w:val="00C17AF3"/>
    <w:rsid w:val="00C17CB1"/>
    <w:rsid w:val="00C17CBC"/>
    <w:rsid w:val="00C17DDC"/>
    <w:rsid w:val="00C17E71"/>
    <w:rsid w:val="00C17F63"/>
    <w:rsid w:val="00C20011"/>
    <w:rsid w:val="00C202DC"/>
    <w:rsid w:val="00C20331"/>
    <w:rsid w:val="00C20498"/>
    <w:rsid w:val="00C2049F"/>
    <w:rsid w:val="00C20657"/>
    <w:rsid w:val="00C208A1"/>
    <w:rsid w:val="00C2094C"/>
    <w:rsid w:val="00C2099A"/>
    <w:rsid w:val="00C20C77"/>
    <w:rsid w:val="00C20D0C"/>
    <w:rsid w:val="00C20EAE"/>
    <w:rsid w:val="00C20EDB"/>
    <w:rsid w:val="00C21027"/>
    <w:rsid w:val="00C21076"/>
    <w:rsid w:val="00C21132"/>
    <w:rsid w:val="00C21243"/>
    <w:rsid w:val="00C21310"/>
    <w:rsid w:val="00C213DD"/>
    <w:rsid w:val="00C213E6"/>
    <w:rsid w:val="00C214C6"/>
    <w:rsid w:val="00C214D5"/>
    <w:rsid w:val="00C21E0E"/>
    <w:rsid w:val="00C21E7F"/>
    <w:rsid w:val="00C21FC5"/>
    <w:rsid w:val="00C221DA"/>
    <w:rsid w:val="00C22301"/>
    <w:rsid w:val="00C22824"/>
    <w:rsid w:val="00C2289F"/>
    <w:rsid w:val="00C22905"/>
    <w:rsid w:val="00C22989"/>
    <w:rsid w:val="00C22BDC"/>
    <w:rsid w:val="00C22BEE"/>
    <w:rsid w:val="00C22CCF"/>
    <w:rsid w:val="00C22E6F"/>
    <w:rsid w:val="00C22EBA"/>
    <w:rsid w:val="00C23023"/>
    <w:rsid w:val="00C232CC"/>
    <w:rsid w:val="00C23369"/>
    <w:rsid w:val="00C2340C"/>
    <w:rsid w:val="00C234A0"/>
    <w:rsid w:val="00C23666"/>
    <w:rsid w:val="00C23A02"/>
    <w:rsid w:val="00C23C8B"/>
    <w:rsid w:val="00C23CE4"/>
    <w:rsid w:val="00C23EF9"/>
    <w:rsid w:val="00C23F33"/>
    <w:rsid w:val="00C23FA2"/>
    <w:rsid w:val="00C244E2"/>
    <w:rsid w:val="00C2470F"/>
    <w:rsid w:val="00C24805"/>
    <w:rsid w:val="00C24878"/>
    <w:rsid w:val="00C24A9D"/>
    <w:rsid w:val="00C24DD5"/>
    <w:rsid w:val="00C2536A"/>
    <w:rsid w:val="00C25494"/>
    <w:rsid w:val="00C25533"/>
    <w:rsid w:val="00C256AD"/>
    <w:rsid w:val="00C25750"/>
    <w:rsid w:val="00C257A9"/>
    <w:rsid w:val="00C25907"/>
    <w:rsid w:val="00C25A08"/>
    <w:rsid w:val="00C25C96"/>
    <w:rsid w:val="00C25D09"/>
    <w:rsid w:val="00C2600E"/>
    <w:rsid w:val="00C2615E"/>
    <w:rsid w:val="00C261B7"/>
    <w:rsid w:val="00C261F1"/>
    <w:rsid w:val="00C261FD"/>
    <w:rsid w:val="00C26359"/>
    <w:rsid w:val="00C26564"/>
    <w:rsid w:val="00C2656E"/>
    <w:rsid w:val="00C268E4"/>
    <w:rsid w:val="00C26B8F"/>
    <w:rsid w:val="00C26D5A"/>
    <w:rsid w:val="00C26E6F"/>
    <w:rsid w:val="00C26F9B"/>
    <w:rsid w:val="00C2720D"/>
    <w:rsid w:val="00C272C4"/>
    <w:rsid w:val="00C273B9"/>
    <w:rsid w:val="00C275AE"/>
    <w:rsid w:val="00C276B2"/>
    <w:rsid w:val="00C277DC"/>
    <w:rsid w:val="00C277F3"/>
    <w:rsid w:val="00C27BAF"/>
    <w:rsid w:val="00C27CEC"/>
    <w:rsid w:val="00C27D1E"/>
    <w:rsid w:val="00C27F3D"/>
    <w:rsid w:val="00C30398"/>
    <w:rsid w:val="00C303C0"/>
    <w:rsid w:val="00C307C4"/>
    <w:rsid w:val="00C308DD"/>
    <w:rsid w:val="00C30B51"/>
    <w:rsid w:val="00C31078"/>
    <w:rsid w:val="00C31092"/>
    <w:rsid w:val="00C310D1"/>
    <w:rsid w:val="00C315E7"/>
    <w:rsid w:val="00C31888"/>
    <w:rsid w:val="00C31A7E"/>
    <w:rsid w:val="00C31C58"/>
    <w:rsid w:val="00C3209D"/>
    <w:rsid w:val="00C32112"/>
    <w:rsid w:val="00C32197"/>
    <w:rsid w:val="00C322CD"/>
    <w:rsid w:val="00C32357"/>
    <w:rsid w:val="00C3243F"/>
    <w:rsid w:val="00C3269F"/>
    <w:rsid w:val="00C32788"/>
    <w:rsid w:val="00C329AC"/>
    <w:rsid w:val="00C32A12"/>
    <w:rsid w:val="00C32B9B"/>
    <w:rsid w:val="00C32C25"/>
    <w:rsid w:val="00C32C5E"/>
    <w:rsid w:val="00C32D01"/>
    <w:rsid w:val="00C32DA9"/>
    <w:rsid w:val="00C32DC0"/>
    <w:rsid w:val="00C32DF4"/>
    <w:rsid w:val="00C33290"/>
    <w:rsid w:val="00C3340E"/>
    <w:rsid w:val="00C33729"/>
    <w:rsid w:val="00C338D4"/>
    <w:rsid w:val="00C33B6E"/>
    <w:rsid w:val="00C33C2A"/>
    <w:rsid w:val="00C33D24"/>
    <w:rsid w:val="00C33FBC"/>
    <w:rsid w:val="00C34079"/>
    <w:rsid w:val="00C34117"/>
    <w:rsid w:val="00C34384"/>
    <w:rsid w:val="00C3444D"/>
    <w:rsid w:val="00C3453A"/>
    <w:rsid w:val="00C345B9"/>
    <w:rsid w:val="00C347ED"/>
    <w:rsid w:val="00C34910"/>
    <w:rsid w:val="00C3493C"/>
    <w:rsid w:val="00C34B9E"/>
    <w:rsid w:val="00C34DC1"/>
    <w:rsid w:val="00C34EFB"/>
    <w:rsid w:val="00C34F40"/>
    <w:rsid w:val="00C35478"/>
    <w:rsid w:val="00C35547"/>
    <w:rsid w:val="00C35553"/>
    <w:rsid w:val="00C35641"/>
    <w:rsid w:val="00C3566C"/>
    <w:rsid w:val="00C35751"/>
    <w:rsid w:val="00C357E3"/>
    <w:rsid w:val="00C358DB"/>
    <w:rsid w:val="00C35A0A"/>
    <w:rsid w:val="00C35D5D"/>
    <w:rsid w:val="00C35F12"/>
    <w:rsid w:val="00C3605F"/>
    <w:rsid w:val="00C361CA"/>
    <w:rsid w:val="00C36584"/>
    <w:rsid w:val="00C366AD"/>
    <w:rsid w:val="00C366E9"/>
    <w:rsid w:val="00C36762"/>
    <w:rsid w:val="00C3683B"/>
    <w:rsid w:val="00C3687D"/>
    <w:rsid w:val="00C36929"/>
    <w:rsid w:val="00C37000"/>
    <w:rsid w:val="00C373C8"/>
    <w:rsid w:val="00C37774"/>
    <w:rsid w:val="00C377DB"/>
    <w:rsid w:val="00C37A92"/>
    <w:rsid w:val="00C37BAA"/>
    <w:rsid w:val="00C404B8"/>
    <w:rsid w:val="00C405C7"/>
    <w:rsid w:val="00C4061A"/>
    <w:rsid w:val="00C40668"/>
    <w:rsid w:val="00C4074E"/>
    <w:rsid w:val="00C40923"/>
    <w:rsid w:val="00C40CBD"/>
    <w:rsid w:val="00C40E8A"/>
    <w:rsid w:val="00C40F0A"/>
    <w:rsid w:val="00C40F1F"/>
    <w:rsid w:val="00C41062"/>
    <w:rsid w:val="00C41194"/>
    <w:rsid w:val="00C411E2"/>
    <w:rsid w:val="00C412BD"/>
    <w:rsid w:val="00C4136D"/>
    <w:rsid w:val="00C414D5"/>
    <w:rsid w:val="00C41513"/>
    <w:rsid w:val="00C41758"/>
    <w:rsid w:val="00C417C5"/>
    <w:rsid w:val="00C419AE"/>
    <w:rsid w:val="00C41B7F"/>
    <w:rsid w:val="00C41D05"/>
    <w:rsid w:val="00C41D79"/>
    <w:rsid w:val="00C41F30"/>
    <w:rsid w:val="00C42230"/>
    <w:rsid w:val="00C422C1"/>
    <w:rsid w:val="00C42317"/>
    <w:rsid w:val="00C423CC"/>
    <w:rsid w:val="00C42429"/>
    <w:rsid w:val="00C424FA"/>
    <w:rsid w:val="00C42864"/>
    <w:rsid w:val="00C42939"/>
    <w:rsid w:val="00C4296E"/>
    <w:rsid w:val="00C42AB4"/>
    <w:rsid w:val="00C42B94"/>
    <w:rsid w:val="00C42C01"/>
    <w:rsid w:val="00C42E0F"/>
    <w:rsid w:val="00C42EAF"/>
    <w:rsid w:val="00C42FE2"/>
    <w:rsid w:val="00C43031"/>
    <w:rsid w:val="00C432DD"/>
    <w:rsid w:val="00C4354A"/>
    <w:rsid w:val="00C43679"/>
    <w:rsid w:val="00C43779"/>
    <w:rsid w:val="00C43A17"/>
    <w:rsid w:val="00C43BEF"/>
    <w:rsid w:val="00C43C57"/>
    <w:rsid w:val="00C43C5E"/>
    <w:rsid w:val="00C43C83"/>
    <w:rsid w:val="00C43C84"/>
    <w:rsid w:val="00C43FE6"/>
    <w:rsid w:val="00C440C5"/>
    <w:rsid w:val="00C442D2"/>
    <w:rsid w:val="00C4441B"/>
    <w:rsid w:val="00C44824"/>
    <w:rsid w:val="00C448C2"/>
    <w:rsid w:val="00C448C5"/>
    <w:rsid w:val="00C44935"/>
    <w:rsid w:val="00C44A55"/>
    <w:rsid w:val="00C45016"/>
    <w:rsid w:val="00C4509F"/>
    <w:rsid w:val="00C453CE"/>
    <w:rsid w:val="00C454AE"/>
    <w:rsid w:val="00C45517"/>
    <w:rsid w:val="00C455C5"/>
    <w:rsid w:val="00C45623"/>
    <w:rsid w:val="00C4570F"/>
    <w:rsid w:val="00C4592E"/>
    <w:rsid w:val="00C45E80"/>
    <w:rsid w:val="00C45E83"/>
    <w:rsid w:val="00C45EEA"/>
    <w:rsid w:val="00C461A2"/>
    <w:rsid w:val="00C4624A"/>
    <w:rsid w:val="00C463BF"/>
    <w:rsid w:val="00C46599"/>
    <w:rsid w:val="00C46785"/>
    <w:rsid w:val="00C46856"/>
    <w:rsid w:val="00C469C1"/>
    <w:rsid w:val="00C46A67"/>
    <w:rsid w:val="00C46A89"/>
    <w:rsid w:val="00C46B19"/>
    <w:rsid w:val="00C46CAE"/>
    <w:rsid w:val="00C46ED9"/>
    <w:rsid w:val="00C47297"/>
    <w:rsid w:val="00C472F8"/>
    <w:rsid w:val="00C47395"/>
    <w:rsid w:val="00C473AA"/>
    <w:rsid w:val="00C47478"/>
    <w:rsid w:val="00C47877"/>
    <w:rsid w:val="00C47946"/>
    <w:rsid w:val="00C479B4"/>
    <w:rsid w:val="00C479F3"/>
    <w:rsid w:val="00C47E15"/>
    <w:rsid w:val="00C47FEC"/>
    <w:rsid w:val="00C500FD"/>
    <w:rsid w:val="00C5014C"/>
    <w:rsid w:val="00C50334"/>
    <w:rsid w:val="00C5084F"/>
    <w:rsid w:val="00C5085D"/>
    <w:rsid w:val="00C50888"/>
    <w:rsid w:val="00C50932"/>
    <w:rsid w:val="00C50B5C"/>
    <w:rsid w:val="00C50B78"/>
    <w:rsid w:val="00C50BAC"/>
    <w:rsid w:val="00C50E4B"/>
    <w:rsid w:val="00C50F42"/>
    <w:rsid w:val="00C510A8"/>
    <w:rsid w:val="00C510D2"/>
    <w:rsid w:val="00C51112"/>
    <w:rsid w:val="00C511FD"/>
    <w:rsid w:val="00C512B3"/>
    <w:rsid w:val="00C51A2B"/>
    <w:rsid w:val="00C51AAF"/>
    <w:rsid w:val="00C51BB2"/>
    <w:rsid w:val="00C51D11"/>
    <w:rsid w:val="00C51E0D"/>
    <w:rsid w:val="00C52387"/>
    <w:rsid w:val="00C52B6A"/>
    <w:rsid w:val="00C52F88"/>
    <w:rsid w:val="00C53054"/>
    <w:rsid w:val="00C53302"/>
    <w:rsid w:val="00C533BE"/>
    <w:rsid w:val="00C533CD"/>
    <w:rsid w:val="00C534F4"/>
    <w:rsid w:val="00C5354D"/>
    <w:rsid w:val="00C53613"/>
    <w:rsid w:val="00C539FF"/>
    <w:rsid w:val="00C53A0E"/>
    <w:rsid w:val="00C53AF4"/>
    <w:rsid w:val="00C53B99"/>
    <w:rsid w:val="00C53CC0"/>
    <w:rsid w:val="00C53EEF"/>
    <w:rsid w:val="00C54062"/>
    <w:rsid w:val="00C541F6"/>
    <w:rsid w:val="00C54341"/>
    <w:rsid w:val="00C544F3"/>
    <w:rsid w:val="00C54793"/>
    <w:rsid w:val="00C54795"/>
    <w:rsid w:val="00C54812"/>
    <w:rsid w:val="00C54841"/>
    <w:rsid w:val="00C54DDB"/>
    <w:rsid w:val="00C55382"/>
    <w:rsid w:val="00C5552C"/>
    <w:rsid w:val="00C5568A"/>
    <w:rsid w:val="00C5598D"/>
    <w:rsid w:val="00C55C5E"/>
    <w:rsid w:val="00C55CB2"/>
    <w:rsid w:val="00C55CBC"/>
    <w:rsid w:val="00C55F15"/>
    <w:rsid w:val="00C55FD3"/>
    <w:rsid w:val="00C5602A"/>
    <w:rsid w:val="00C563DD"/>
    <w:rsid w:val="00C56412"/>
    <w:rsid w:val="00C5651F"/>
    <w:rsid w:val="00C56582"/>
    <w:rsid w:val="00C56AAA"/>
    <w:rsid w:val="00C56C04"/>
    <w:rsid w:val="00C56CC5"/>
    <w:rsid w:val="00C56CE8"/>
    <w:rsid w:val="00C56F56"/>
    <w:rsid w:val="00C57014"/>
    <w:rsid w:val="00C570A9"/>
    <w:rsid w:val="00C574F8"/>
    <w:rsid w:val="00C57584"/>
    <w:rsid w:val="00C57663"/>
    <w:rsid w:val="00C578FB"/>
    <w:rsid w:val="00C579E3"/>
    <w:rsid w:val="00C57BCC"/>
    <w:rsid w:val="00C57C1C"/>
    <w:rsid w:val="00C57FB6"/>
    <w:rsid w:val="00C60043"/>
    <w:rsid w:val="00C601F6"/>
    <w:rsid w:val="00C60663"/>
    <w:rsid w:val="00C606AD"/>
    <w:rsid w:val="00C6094A"/>
    <w:rsid w:val="00C60B49"/>
    <w:rsid w:val="00C60BA4"/>
    <w:rsid w:val="00C61064"/>
    <w:rsid w:val="00C61759"/>
    <w:rsid w:val="00C61779"/>
    <w:rsid w:val="00C618E8"/>
    <w:rsid w:val="00C6196E"/>
    <w:rsid w:val="00C619CC"/>
    <w:rsid w:val="00C61C7B"/>
    <w:rsid w:val="00C61C83"/>
    <w:rsid w:val="00C61E98"/>
    <w:rsid w:val="00C61ED9"/>
    <w:rsid w:val="00C6206C"/>
    <w:rsid w:val="00C620D1"/>
    <w:rsid w:val="00C62175"/>
    <w:rsid w:val="00C62551"/>
    <w:rsid w:val="00C6265A"/>
    <w:rsid w:val="00C62CAD"/>
    <w:rsid w:val="00C62DC7"/>
    <w:rsid w:val="00C62E18"/>
    <w:rsid w:val="00C630F3"/>
    <w:rsid w:val="00C6310B"/>
    <w:rsid w:val="00C63526"/>
    <w:rsid w:val="00C6380D"/>
    <w:rsid w:val="00C63A33"/>
    <w:rsid w:val="00C63F09"/>
    <w:rsid w:val="00C640CA"/>
    <w:rsid w:val="00C64112"/>
    <w:rsid w:val="00C643FF"/>
    <w:rsid w:val="00C64419"/>
    <w:rsid w:val="00C645F4"/>
    <w:rsid w:val="00C646BC"/>
    <w:rsid w:val="00C64823"/>
    <w:rsid w:val="00C64940"/>
    <w:rsid w:val="00C649BB"/>
    <w:rsid w:val="00C64A73"/>
    <w:rsid w:val="00C64AF2"/>
    <w:rsid w:val="00C64CA0"/>
    <w:rsid w:val="00C64CC3"/>
    <w:rsid w:val="00C64F35"/>
    <w:rsid w:val="00C64F48"/>
    <w:rsid w:val="00C64FA1"/>
    <w:rsid w:val="00C650E5"/>
    <w:rsid w:val="00C6516C"/>
    <w:rsid w:val="00C6551F"/>
    <w:rsid w:val="00C65A34"/>
    <w:rsid w:val="00C65CD0"/>
    <w:rsid w:val="00C66122"/>
    <w:rsid w:val="00C66222"/>
    <w:rsid w:val="00C66232"/>
    <w:rsid w:val="00C66309"/>
    <w:rsid w:val="00C665A9"/>
    <w:rsid w:val="00C66674"/>
    <w:rsid w:val="00C6667E"/>
    <w:rsid w:val="00C666F9"/>
    <w:rsid w:val="00C668B3"/>
    <w:rsid w:val="00C6691A"/>
    <w:rsid w:val="00C66A84"/>
    <w:rsid w:val="00C66B79"/>
    <w:rsid w:val="00C66F09"/>
    <w:rsid w:val="00C66F60"/>
    <w:rsid w:val="00C6703E"/>
    <w:rsid w:val="00C67116"/>
    <w:rsid w:val="00C6711E"/>
    <w:rsid w:val="00C6731A"/>
    <w:rsid w:val="00C67486"/>
    <w:rsid w:val="00C67893"/>
    <w:rsid w:val="00C678A4"/>
    <w:rsid w:val="00C67912"/>
    <w:rsid w:val="00C67914"/>
    <w:rsid w:val="00C67ABE"/>
    <w:rsid w:val="00C67B2A"/>
    <w:rsid w:val="00C67B65"/>
    <w:rsid w:val="00C67BC9"/>
    <w:rsid w:val="00C67E5C"/>
    <w:rsid w:val="00C70048"/>
    <w:rsid w:val="00C700AC"/>
    <w:rsid w:val="00C701A1"/>
    <w:rsid w:val="00C701B5"/>
    <w:rsid w:val="00C70223"/>
    <w:rsid w:val="00C70447"/>
    <w:rsid w:val="00C705D0"/>
    <w:rsid w:val="00C70921"/>
    <w:rsid w:val="00C70AA1"/>
    <w:rsid w:val="00C70AAC"/>
    <w:rsid w:val="00C70C21"/>
    <w:rsid w:val="00C70E59"/>
    <w:rsid w:val="00C70ED9"/>
    <w:rsid w:val="00C713E8"/>
    <w:rsid w:val="00C714FA"/>
    <w:rsid w:val="00C715E2"/>
    <w:rsid w:val="00C715E5"/>
    <w:rsid w:val="00C7169B"/>
    <w:rsid w:val="00C718FC"/>
    <w:rsid w:val="00C71A0D"/>
    <w:rsid w:val="00C71AA5"/>
    <w:rsid w:val="00C71AD8"/>
    <w:rsid w:val="00C71BE6"/>
    <w:rsid w:val="00C71CF7"/>
    <w:rsid w:val="00C71DE2"/>
    <w:rsid w:val="00C721AB"/>
    <w:rsid w:val="00C72474"/>
    <w:rsid w:val="00C724B8"/>
    <w:rsid w:val="00C7260E"/>
    <w:rsid w:val="00C72625"/>
    <w:rsid w:val="00C729EC"/>
    <w:rsid w:val="00C72A40"/>
    <w:rsid w:val="00C72B78"/>
    <w:rsid w:val="00C72D0E"/>
    <w:rsid w:val="00C72D9D"/>
    <w:rsid w:val="00C72FB4"/>
    <w:rsid w:val="00C73185"/>
    <w:rsid w:val="00C73402"/>
    <w:rsid w:val="00C73535"/>
    <w:rsid w:val="00C7364F"/>
    <w:rsid w:val="00C73AB2"/>
    <w:rsid w:val="00C73B99"/>
    <w:rsid w:val="00C73BC1"/>
    <w:rsid w:val="00C73F08"/>
    <w:rsid w:val="00C7438C"/>
    <w:rsid w:val="00C743BA"/>
    <w:rsid w:val="00C743C7"/>
    <w:rsid w:val="00C7473F"/>
    <w:rsid w:val="00C74758"/>
    <w:rsid w:val="00C74853"/>
    <w:rsid w:val="00C74CC2"/>
    <w:rsid w:val="00C74DCE"/>
    <w:rsid w:val="00C7507D"/>
    <w:rsid w:val="00C75305"/>
    <w:rsid w:val="00C75551"/>
    <w:rsid w:val="00C75607"/>
    <w:rsid w:val="00C75A17"/>
    <w:rsid w:val="00C75ACF"/>
    <w:rsid w:val="00C75D73"/>
    <w:rsid w:val="00C76130"/>
    <w:rsid w:val="00C76157"/>
    <w:rsid w:val="00C7615D"/>
    <w:rsid w:val="00C76357"/>
    <w:rsid w:val="00C7635F"/>
    <w:rsid w:val="00C763C6"/>
    <w:rsid w:val="00C7646D"/>
    <w:rsid w:val="00C765F6"/>
    <w:rsid w:val="00C766F5"/>
    <w:rsid w:val="00C7698E"/>
    <w:rsid w:val="00C76ECB"/>
    <w:rsid w:val="00C76F51"/>
    <w:rsid w:val="00C76FD8"/>
    <w:rsid w:val="00C77083"/>
    <w:rsid w:val="00C770D6"/>
    <w:rsid w:val="00C7731C"/>
    <w:rsid w:val="00C774DB"/>
    <w:rsid w:val="00C77636"/>
    <w:rsid w:val="00C77899"/>
    <w:rsid w:val="00C77A14"/>
    <w:rsid w:val="00C77A86"/>
    <w:rsid w:val="00C77E63"/>
    <w:rsid w:val="00C77F3C"/>
    <w:rsid w:val="00C8010E"/>
    <w:rsid w:val="00C80359"/>
    <w:rsid w:val="00C805DC"/>
    <w:rsid w:val="00C807EB"/>
    <w:rsid w:val="00C80842"/>
    <w:rsid w:val="00C80A67"/>
    <w:rsid w:val="00C80ADD"/>
    <w:rsid w:val="00C80BEE"/>
    <w:rsid w:val="00C80CE5"/>
    <w:rsid w:val="00C80CF9"/>
    <w:rsid w:val="00C80EC8"/>
    <w:rsid w:val="00C80FD5"/>
    <w:rsid w:val="00C810E2"/>
    <w:rsid w:val="00C811B1"/>
    <w:rsid w:val="00C814F3"/>
    <w:rsid w:val="00C815EA"/>
    <w:rsid w:val="00C81730"/>
    <w:rsid w:val="00C81989"/>
    <w:rsid w:val="00C819E1"/>
    <w:rsid w:val="00C81A90"/>
    <w:rsid w:val="00C81A92"/>
    <w:rsid w:val="00C81B65"/>
    <w:rsid w:val="00C81DF3"/>
    <w:rsid w:val="00C81E0B"/>
    <w:rsid w:val="00C81E2E"/>
    <w:rsid w:val="00C81F1C"/>
    <w:rsid w:val="00C820E4"/>
    <w:rsid w:val="00C8214D"/>
    <w:rsid w:val="00C8221A"/>
    <w:rsid w:val="00C8222E"/>
    <w:rsid w:val="00C824D2"/>
    <w:rsid w:val="00C82551"/>
    <w:rsid w:val="00C8259D"/>
    <w:rsid w:val="00C8263D"/>
    <w:rsid w:val="00C82657"/>
    <w:rsid w:val="00C826BD"/>
    <w:rsid w:val="00C82753"/>
    <w:rsid w:val="00C82BE5"/>
    <w:rsid w:val="00C82C92"/>
    <w:rsid w:val="00C82DCF"/>
    <w:rsid w:val="00C82DF3"/>
    <w:rsid w:val="00C831E6"/>
    <w:rsid w:val="00C834FD"/>
    <w:rsid w:val="00C83862"/>
    <w:rsid w:val="00C838B7"/>
    <w:rsid w:val="00C838F7"/>
    <w:rsid w:val="00C83A89"/>
    <w:rsid w:val="00C83B6F"/>
    <w:rsid w:val="00C83C8C"/>
    <w:rsid w:val="00C83CB5"/>
    <w:rsid w:val="00C83DAA"/>
    <w:rsid w:val="00C843CE"/>
    <w:rsid w:val="00C84A36"/>
    <w:rsid w:val="00C84B53"/>
    <w:rsid w:val="00C84CB5"/>
    <w:rsid w:val="00C84D53"/>
    <w:rsid w:val="00C84FDC"/>
    <w:rsid w:val="00C85126"/>
    <w:rsid w:val="00C85131"/>
    <w:rsid w:val="00C852E0"/>
    <w:rsid w:val="00C85305"/>
    <w:rsid w:val="00C854F1"/>
    <w:rsid w:val="00C85559"/>
    <w:rsid w:val="00C85B24"/>
    <w:rsid w:val="00C85BF8"/>
    <w:rsid w:val="00C85EB1"/>
    <w:rsid w:val="00C860B7"/>
    <w:rsid w:val="00C86314"/>
    <w:rsid w:val="00C8635D"/>
    <w:rsid w:val="00C864A6"/>
    <w:rsid w:val="00C8656D"/>
    <w:rsid w:val="00C865DD"/>
    <w:rsid w:val="00C86688"/>
    <w:rsid w:val="00C866D4"/>
    <w:rsid w:val="00C868B6"/>
    <w:rsid w:val="00C869F4"/>
    <w:rsid w:val="00C86B69"/>
    <w:rsid w:val="00C86CD7"/>
    <w:rsid w:val="00C86E05"/>
    <w:rsid w:val="00C86E58"/>
    <w:rsid w:val="00C86E91"/>
    <w:rsid w:val="00C86F9E"/>
    <w:rsid w:val="00C8705D"/>
    <w:rsid w:val="00C871FB"/>
    <w:rsid w:val="00C872D1"/>
    <w:rsid w:val="00C873E1"/>
    <w:rsid w:val="00C8748B"/>
    <w:rsid w:val="00C87D37"/>
    <w:rsid w:val="00C87DE9"/>
    <w:rsid w:val="00C87E40"/>
    <w:rsid w:val="00C87FE6"/>
    <w:rsid w:val="00C9005C"/>
    <w:rsid w:val="00C9021A"/>
    <w:rsid w:val="00C9048F"/>
    <w:rsid w:val="00C9051E"/>
    <w:rsid w:val="00C9062C"/>
    <w:rsid w:val="00C907EF"/>
    <w:rsid w:val="00C90952"/>
    <w:rsid w:val="00C909D9"/>
    <w:rsid w:val="00C90AB5"/>
    <w:rsid w:val="00C90B51"/>
    <w:rsid w:val="00C90E93"/>
    <w:rsid w:val="00C912B1"/>
    <w:rsid w:val="00C914F9"/>
    <w:rsid w:val="00C9156F"/>
    <w:rsid w:val="00C917CA"/>
    <w:rsid w:val="00C91AEB"/>
    <w:rsid w:val="00C91D07"/>
    <w:rsid w:val="00C91D91"/>
    <w:rsid w:val="00C91EC4"/>
    <w:rsid w:val="00C91F5C"/>
    <w:rsid w:val="00C921CA"/>
    <w:rsid w:val="00C92213"/>
    <w:rsid w:val="00C9242E"/>
    <w:rsid w:val="00C92478"/>
    <w:rsid w:val="00C92495"/>
    <w:rsid w:val="00C92695"/>
    <w:rsid w:val="00C92701"/>
    <w:rsid w:val="00C92908"/>
    <w:rsid w:val="00C92D9B"/>
    <w:rsid w:val="00C92DDD"/>
    <w:rsid w:val="00C92DF5"/>
    <w:rsid w:val="00C92E66"/>
    <w:rsid w:val="00C92F3C"/>
    <w:rsid w:val="00C92FF7"/>
    <w:rsid w:val="00C9331B"/>
    <w:rsid w:val="00C934D5"/>
    <w:rsid w:val="00C935DC"/>
    <w:rsid w:val="00C9360B"/>
    <w:rsid w:val="00C93841"/>
    <w:rsid w:val="00C938AD"/>
    <w:rsid w:val="00C9396C"/>
    <w:rsid w:val="00C93C98"/>
    <w:rsid w:val="00C941E2"/>
    <w:rsid w:val="00C943AF"/>
    <w:rsid w:val="00C943B2"/>
    <w:rsid w:val="00C94957"/>
    <w:rsid w:val="00C94A00"/>
    <w:rsid w:val="00C94BC6"/>
    <w:rsid w:val="00C94C7C"/>
    <w:rsid w:val="00C94E5A"/>
    <w:rsid w:val="00C952D2"/>
    <w:rsid w:val="00C9535D"/>
    <w:rsid w:val="00C95420"/>
    <w:rsid w:val="00C95485"/>
    <w:rsid w:val="00C954EF"/>
    <w:rsid w:val="00C9559B"/>
    <w:rsid w:val="00C95741"/>
    <w:rsid w:val="00C95C8A"/>
    <w:rsid w:val="00C96232"/>
    <w:rsid w:val="00C962F3"/>
    <w:rsid w:val="00C96826"/>
    <w:rsid w:val="00C96996"/>
    <w:rsid w:val="00C969F6"/>
    <w:rsid w:val="00C96A5B"/>
    <w:rsid w:val="00C96BCE"/>
    <w:rsid w:val="00C96D4E"/>
    <w:rsid w:val="00C96FA8"/>
    <w:rsid w:val="00C97063"/>
    <w:rsid w:val="00C9721B"/>
    <w:rsid w:val="00C97400"/>
    <w:rsid w:val="00C97468"/>
    <w:rsid w:val="00C97737"/>
    <w:rsid w:val="00C97904"/>
    <w:rsid w:val="00C97AEC"/>
    <w:rsid w:val="00C97DB1"/>
    <w:rsid w:val="00C97FE1"/>
    <w:rsid w:val="00CA008C"/>
    <w:rsid w:val="00CA0289"/>
    <w:rsid w:val="00CA02E2"/>
    <w:rsid w:val="00CA042E"/>
    <w:rsid w:val="00CA0847"/>
    <w:rsid w:val="00CA0896"/>
    <w:rsid w:val="00CA0A1A"/>
    <w:rsid w:val="00CA114A"/>
    <w:rsid w:val="00CA13C0"/>
    <w:rsid w:val="00CA1414"/>
    <w:rsid w:val="00CA15E0"/>
    <w:rsid w:val="00CA19D0"/>
    <w:rsid w:val="00CA19D3"/>
    <w:rsid w:val="00CA1B3D"/>
    <w:rsid w:val="00CA1D4C"/>
    <w:rsid w:val="00CA1DB8"/>
    <w:rsid w:val="00CA1DD1"/>
    <w:rsid w:val="00CA1FCF"/>
    <w:rsid w:val="00CA2007"/>
    <w:rsid w:val="00CA2123"/>
    <w:rsid w:val="00CA22C3"/>
    <w:rsid w:val="00CA2497"/>
    <w:rsid w:val="00CA2BA3"/>
    <w:rsid w:val="00CA2E82"/>
    <w:rsid w:val="00CA2EA7"/>
    <w:rsid w:val="00CA2F9F"/>
    <w:rsid w:val="00CA2FE0"/>
    <w:rsid w:val="00CA3439"/>
    <w:rsid w:val="00CA34B1"/>
    <w:rsid w:val="00CA34BA"/>
    <w:rsid w:val="00CA36FD"/>
    <w:rsid w:val="00CA3DBC"/>
    <w:rsid w:val="00CA3DF7"/>
    <w:rsid w:val="00CA443E"/>
    <w:rsid w:val="00CA4507"/>
    <w:rsid w:val="00CA4614"/>
    <w:rsid w:val="00CA4764"/>
    <w:rsid w:val="00CA47EF"/>
    <w:rsid w:val="00CA498C"/>
    <w:rsid w:val="00CA4A08"/>
    <w:rsid w:val="00CA4CF2"/>
    <w:rsid w:val="00CA4D06"/>
    <w:rsid w:val="00CA4EF6"/>
    <w:rsid w:val="00CA5033"/>
    <w:rsid w:val="00CA54B3"/>
    <w:rsid w:val="00CA54D0"/>
    <w:rsid w:val="00CA5880"/>
    <w:rsid w:val="00CA594F"/>
    <w:rsid w:val="00CA59F9"/>
    <w:rsid w:val="00CA5AEB"/>
    <w:rsid w:val="00CA5D36"/>
    <w:rsid w:val="00CA5EC4"/>
    <w:rsid w:val="00CA61AB"/>
    <w:rsid w:val="00CA6391"/>
    <w:rsid w:val="00CA6463"/>
    <w:rsid w:val="00CA64A7"/>
    <w:rsid w:val="00CA6535"/>
    <w:rsid w:val="00CA65FE"/>
    <w:rsid w:val="00CA670B"/>
    <w:rsid w:val="00CA6712"/>
    <w:rsid w:val="00CA6A5B"/>
    <w:rsid w:val="00CA6BE0"/>
    <w:rsid w:val="00CA71B7"/>
    <w:rsid w:val="00CA72FD"/>
    <w:rsid w:val="00CA753C"/>
    <w:rsid w:val="00CA7719"/>
    <w:rsid w:val="00CA7BE9"/>
    <w:rsid w:val="00CA7DD4"/>
    <w:rsid w:val="00CB056B"/>
    <w:rsid w:val="00CB07E8"/>
    <w:rsid w:val="00CB0915"/>
    <w:rsid w:val="00CB0C30"/>
    <w:rsid w:val="00CB0E6C"/>
    <w:rsid w:val="00CB0EA1"/>
    <w:rsid w:val="00CB0EA2"/>
    <w:rsid w:val="00CB1236"/>
    <w:rsid w:val="00CB13AE"/>
    <w:rsid w:val="00CB142A"/>
    <w:rsid w:val="00CB19E9"/>
    <w:rsid w:val="00CB1A16"/>
    <w:rsid w:val="00CB1A72"/>
    <w:rsid w:val="00CB1C56"/>
    <w:rsid w:val="00CB1C5E"/>
    <w:rsid w:val="00CB1E70"/>
    <w:rsid w:val="00CB1E95"/>
    <w:rsid w:val="00CB1FFC"/>
    <w:rsid w:val="00CB206A"/>
    <w:rsid w:val="00CB20FE"/>
    <w:rsid w:val="00CB235E"/>
    <w:rsid w:val="00CB2419"/>
    <w:rsid w:val="00CB24F7"/>
    <w:rsid w:val="00CB27D4"/>
    <w:rsid w:val="00CB2AA2"/>
    <w:rsid w:val="00CB2B03"/>
    <w:rsid w:val="00CB2BC3"/>
    <w:rsid w:val="00CB2CC0"/>
    <w:rsid w:val="00CB2CC8"/>
    <w:rsid w:val="00CB2DB4"/>
    <w:rsid w:val="00CB2FFC"/>
    <w:rsid w:val="00CB307A"/>
    <w:rsid w:val="00CB30C7"/>
    <w:rsid w:val="00CB338E"/>
    <w:rsid w:val="00CB347F"/>
    <w:rsid w:val="00CB395A"/>
    <w:rsid w:val="00CB3CA1"/>
    <w:rsid w:val="00CB3FC9"/>
    <w:rsid w:val="00CB401B"/>
    <w:rsid w:val="00CB419E"/>
    <w:rsid w:val="00CB4202"/>
    <w:rsid w:val="00CB46B7"/>
    <w:rsid w:val="00CB48B8"/>
    <w:rsid w:val="00CB4C83"/>
    <w:rsid w:val="00CB4D69"/>
    <w:rsid w:val="00CB4E8D"/>
    <w:rsid w:val="00CB4EE1"/>
    <w:rsid w:val="00CB540C"/>
    <w:rsid w:val="00CB559B"/>
    <w:rsid w:val="00CB5637"/>
    <w:rsid w:val="00CB59DD"/>
    <w:rsid w:val="00CB59FE"/>
    <w:rsid w:val="00CB5A35"/>
    <w:rsid w:val="00CB5A92"/>
    <w:rsid w:val="00CB5BE5"/>
    <w:rsid w:val="00CB5D89"/>
    <w:rsid w:val="00CB5F9D"/>
    <w:rsid w:val="00CB6146"/>
    <w:rsid w:val="00CB6607"/>
    <w:rsid w:val="00CB689F"/>
    <w:rsid w:val="00CB6B5F"/>
    <w:rsid w:val="00CB6B9F"/>
    <w:rsid w:val="00CB6C0A"/>
    <w:rsid w:val="00CB6D45"/>
    <w:rsid w:val="00CB6F1C"/>
    <w:rsid w:val="00CB72BE"/>
    <w:rsid w:val="00CB7350"/>
    <w:rsid w:val="00CB7385"/>
    <w:rsid w:val="00CB743E"/>
    <w:rsid w:val="00CB759F"/>
    <w:rsid w:val="00CB768F"/>
    <w:rsid w:val="00CB781A"/>
    <w:rsid w:val="00CB7987"/>
    <w:rsid w:val="00CB7DBD"/>
    <w:rsid w:val="00CC0139"/>
    <w:rsid w:val="00CC0447"/>
    <w:rsid w:val="00CC04D0"/>
    <w:rsid w:val="00CC0560"/>
    <w:rsid w:val="00CC0567"/>
    <w:rsid w:val="00CC0635"/>
    <w:rsid w:val="00CC0BA9"/>
    <w:rsid w:val="00CC0D80"/>
    <w:rsid w:val="00CC1223"/>
    <w:rsid w:val="00CC12AF"/>
    <w:rsid w:val="00CC135E"/>
    <w:rsid w:val="00CC13D8"/>
    <w:rsid w:val="00CC169A"/>
    <w:rsid w:val="00CC16C2"/>
    <w:rsid w:val="00CC16E7"/>
    <w:rsid w:val="00CC188D"/>
    <w:rsid w:val="00CC1B8D"/>
    <w:rsid w:val="00CC1B8E"/>
    <w:rsid w:val="00CC1EB6"/>
    <w:rsid w:val="00CC2106"/>
    <w:rsid w:val="00CC2140"/>
    <w:rsid w:val="00CC2186"/>
    <w:rsid w:val="00CC21C4"/>
    <w:rsid w:val="00CC22B6"/>
    <w:rsid w:val="00CC2463"/>
    <w:rsid w:val="00CC2529"/>
    <w:rsid w:val="00CC252A"/>
    <w:rsid w:val="00CC27E0"/>
    <w:rsid w:val="00CC297B"/>
    <w:rsid w:val="00CC2B07"/>
    <w:rsid w:val="00CC2B50"/>
    <w:rsid w:val="00CC2C35"/>
    <w:rsid w:val="00CC2DEF"/>
    <w:rsid w:val="00CC2E12"/>
    <w:rsid w:val="00CC3017"/>
    <w:rsid w:val="00CC31DD"/>
    <w:rsid w:val="00CC331F"/>
    <w:rsid w:val="00CC34CF"/>
    <w:rsid w:val="00CC36E4"/>
    <w:rsid w:val="00CC3730"/>
    <w:rsid w:val="00CC387B"/>
    <w:rsid w:val="00CC3B8C"/>
    <w:rsid w:val="00CC3DBF"/>
    <w:rsid w:val="00CC4224"/>
    <w:rsid w:val="00CC4317"/>
    <w:rsid w:val="00CC4662"/>
    <w:rsid w:val="00CC4771"/>
    <w:rsid w:val="00CC4797"/>
    <w:rsid w:val="00CC480F"/>
    <w:rsid w:val="00CC4BB4"/>
    <w:rsid w:val="00CC4BF8"/>
    <w:rsid w:val="00CC4FAA"/>
    <w:rsid w:val="00CC56AB"/>
    <w:rsid w:val="00CC57F0"/>
    <w:rsid w:val="00CC5834"/>
    <w:rsid w:val="00CC5835"/>
    <w:rsid w:val="00CC59BC"/>
    <w:rsid w:val="00CC59EC"/>
    <w:rsid w:val="00CC5B04"/>
    <w:rsid w:val="00CC5D2E"/>
    <w:rsid w:val="00CC5D54"/>
    <w:rsid w:val="00CC5EF8"/>
    <w:rsid w:val="00CC628D"/>
    <w:rsid w:val="00CC64B7"/>
    <w:rsid w:val="00CC661E"/>
    <w:rsid w:val="00CC691A"/>
    <w:rsid w:val="00CC69E4"/>
    <w:rsid w:val="00CC6A06"/>
    <w:rsid w:val="00CC6A58"/>
    <w:rsid w:val="00CC6BB9"/>
    <w:rsid w:val="00CC6C16"/>
    <w:rsid w:val="00CC6D85"/>
    <w:rsid w:val="00CC6DD2"/>
    <w:rsid w:val="00CC6FD7"/>
    <w:rsid w:val="00CC70DC"/>
    <w:rsid w:val="00CC768E"/>
    <w:rsid w:val="00CC76C9"/>
    <w:rsid w:val="00CC782A"/>
    <w:rsid w:val="00CC791C"/>
    <w:rsid w:val="00CC7A24"/>
    <w:rsid w:val="00CC7A77"/>
    <w:rsid w:val="00CC7EFA"/>
    <w:rsid w:val="00CD030E"/>
    <w:rsid w:val="00CD0404"/>
    <w:rsid w:val="00CD068F"/>
    <w:rsid w:val="00CD07FE"/>
    <w:rsid w:val="00CD0A3B"/>
    <w:rsid w:val="00CD0AF0"/>
    <w:rsid w:val="00CD0C12"/>
    <w:rsid w:val="00CD0D0A"/>
    <w:rsid w:val="00CD0EAD"/>
    <w:rsid w:val="00CD0F8A"/>
    <w:rsid w:val="00CD10A3"/>
    <w:rsid w:val="00CD10A5"/>
    <w:rsid w:val="00CD1121"/>
    <w:rsid w:val="00CD12FC"/>
    <w:rsid w:val="00CD1323"/>
    <w:rsid w:val="00CD14CB"/>
    <w:rsid w:val="00CD15CF"/>
    <w:rsid w:val="00CD1677"/>
    <w:rsid w:val="00CD175A"/>
    <w:rsid w:val="00CD1766"/>
    <w:rsid w:val="00CD17B7"/>
    <w:rsid w:val="00CD19AC"/>
    <w:rsid w:val="00CD1B7E"/>
    <w:rsid w:val="00CD1C40"/>
    <w:rsid w:val="00CD1DBE"/>
    <w:rsid w:val="00CD1E74"/>
    <w:rsid w:val="00CD215E"/>
    <w:rsid w:val="00CD227B"/>
    <w:rsid w:val="00CD22BD"/>
    <w:rsid w:val="00CD2510"/>
    <w:rsid w:val="00CD2770"/>
    <w:rsid w:val="00CD29D9"/>
    <w:rsid w:val="00CD2A96"/>
    <w:rsid w:val="00CD2F37"/>
    <w:rsid w:val="00CD31E6"/>
    <w:rsid w:val="00CD321E"/>
    <w:rsid w:val="00CD329F"/>
    <w:rsid w:val="00CD331A"/>
    <w:rsid w:val="00CD39AA"/>
    <w:rsid w:val="00CD3ADD"/>
    <w:rsid w:val="00CD3B9D"/>
    <w:rsid w:val="00CD3DFC"/>
    <w:rsid w:val="00CD3F64"/>
    <w:rsid w:val="00CD404C"/>
    <w:rsid w:val="00CD4356"/>
    <w:rsid w:val="00CD43ED"/>
    <w:rsid w:val="00CD4E6E"/>
    <w:rsid w:val="00CD4F0B"/>
    <w:rsid w:val="00CD5047"/>
    <w:rsid w:val="00CD518B"/>
    <w:rsid w:val="00CD5290"/>
    <w:rsid w:val="00CD52BF"/>
    <w:rsid w:val="00CD535D"/>
    <w:rsid w:val="00CD552F"/>
    <w:rsid w:val="00CD56F0"/>
    <w:rsid w:val="00CD59D3"/>
    <w:rsid w:val="00CD5BE9"/>
    <w:rsid w:val="00CD5D75"/>
    <w:rsid w:val="00CD5EF7"/>
    <w:rsid w:val="00CD5F73"/>
    <w:rsid w:val="00CD61F6"/>
    <w:rsid w:val="00CD624C"/>
    <w:rsid w:val="00CD6672"/>
    <w:rsid w:val="00CD667A"/>
    <w:rsid w:val="00CD66D1"/>
    <w:rsid w:val="00CD66E8"/>
    <w:rsid w:val="00CD68BE"/>
    <w:rsid w:val="00CD6955"/>
    <w:rsid w:val="00CD698C"/>
    <w:rsid w:val="00CD69C4"/>
    <w:rsid w:val="00CD6A6F"/>
    <w:rsid w:val="00CD6B9B"/>
    <w:rsid w:val="00CD72AD"/>
    <w:rsid w:val="00CD73A7"/>
    <w:rsid w:val="00CD76F1"/>
    <w:rsid w:val="00CD7766"/>
    <w:rsid w:val="00CD7AAC"/>
    <w:rsid w:val="00CD7C00"/>
    <w:rsid w:val="00CD7CCD"/>
    <w:rsid w:val="00CD7E11"/>
    <w:rsid w:val="00CD7F5B"/>
    <w:rsid w:val="00CE00DF"/>
    <w:rsid w:val="00CE0361"/>
    <w:rsid w:val="00CE044B"/>
    <w:rsid w:val="00CE0528"/>
    <w:rsid w:val="00CE061A"/>
    <w:rsid w:val="00CE0B3C"/>
    <w:rsid w:val="00CE0B5D"/>
    <w:rsid w:val="00CE0D60"/>
    <w:rsid w:val="00CE10A1"/>
    <w:rsid w:val="00CE114C"/>
    <w:rsid w:val="00CE127A"/>
    <w:rsid w:val="00CE13CA"/>
    <w:rsid w:val="00CE15EC"/>
    <w:rsid w:val="00CE17B7"/>
    <w:rsid w:val="00CE1887"/>
    <w:rsid w:val="00CE1A08"/>
    <w:rsid w:val="00CE1A2E"/>
    <w:rsid w:val="00CE1B1C"/>
    <w:rsid w:val="00CE1B29"/>
    <w:rsid w:val="00CE1BF8"/>
    <w:rsid w:val="00CE1E1D"/>
    <w:rsid w:val="00CE1EEF"/>
    <w:rsid w:val="00CE1F5D"/>
    <w:rsid w:val="00CE2061"/>
    <w:rsid w:val="00CE24A7"/>
    <w:rsid w:val="00CE2A2E"/>
    <w:rsid w:val="00CE2AF7"/>
    <w:rsid w:val="00CE2D45"/>
    <w:rsid w:val="00CE2D69"/>
    <w:rsid w:val="00CE2E50"/>
    <w:rsid w:val="00CE2F3B"/>
    <w:rsid w:val="00CE311E"/>
    <w:rsid w:val="00CE31C9"/>
    <w:rsid w:val="00CE3299"/>
    <w:rsid w:val="00CE352C"/>
    <w:rsid w:val="00CE3601"/>
    <w:rsid w:val="00CE3744"/>
    <w:rsid w:val="00CE3BD8"/>
    <w:rsid w:val="00CE3C75"/>
    <w:rsid w:val="00CE3E9A"/>
    <w:rsid w:val="00CE4084"/>
    <w:rsid w:val="00CE4136"/>
    <w:rsid w:val="00CE41EA"/>
    <w:rsid w:val="00CE4359"/>
    <w:rsid w:val="00CE4398"/>
    <w:rsid w:val="00CE4462"/>
    <w:rsid w:val="00CE45AF"/>
    <w:rsid w:val="00CE47C5"/>
    <w:rsid w:val="00CE4AAB"/>
    <w:rsid w:val="00CE518F"/>
    <w:rsid w:val="00CE51DE"/>
    <w:rsid w:val="00CE533C"/>
    <w:rsid w:val="00CE54BD"/>
    <w:rsid w:val="00CE5949"/>
    <w:rsid w:val="00CE59BC"/>
    <w:rsid w:val="00CE59CE"/>
    <w:rsid w:val="00CE59EF"/>
    <w:rsid w:val="00CE5C3F"/>
    <w:rsid w:val="00CE5D21"/>
    <w:rsid w:val="00CE5F65"/>
    <w:rsid w:val="00CE6213"/>
    <w:rsid w:val="00CE630F"/>
    <w:rsid w:val="00CE6429"/>
    <w:rsid w:val="00CE64A5"/>
    <w:rsid w:val="00CE694E"/>
    <w:rsid w:val="00CE69E0"/>
    <w:rsid w:val="00CE6A1A"/>
    <w:rsid w:val="00CE6D3E"/>
    <w:rsid w:val="00CE6E25"/>
    <w:rsid w:val="00CE7604"/>
    <w:rsid w:val="00CE761C"/>
    <w:rsid w:val="00CE7644"/>
    <w:rsid w:val="00CE7718"/>
    <w:rsid w:val="00CE7794"/>
    <w:rsid w:val="00CE798F"/>
    <w:rsid w:val="00CE7BC6"/>
    <w:rsid w:val="00CE7BDE"/>
    <w:rsid w:val="00CE7BE4"/>
    <w:rsid w:val="00CE7E69"/>
    <w:rsid w:val="00CE7E6C"/>
    <w:rsid w:val="00CF0034"/>
    <w:rsid w:val="00CF0154"/>
    <w:rsid w:val="00CF0738"/>
    <w:rsid w:val="00CF07E3"/>
    <w:rsid w:val="00CF085E"/>
    <w:rsid w:val="00CF0AB4"/>
    <w:rsid w:val="00CF0B21"/>
    <w:rsid w:val="00CF0B5F"/>
    <w:rsid w:val="00CF0F64"/>
    <w:rsid w:val="00CF10BC"/>
    <w:rsid w:val="00CF13F0"/>
    <w:rsid w:val="00CF15D4"/>
    <w:rsid w:val="00CF15F2"/>
    <w:rsid w:val="00CF1761"/>
    <w:rsid w:val="00CF1A57"/>
    <w:rsid w:val="00CF1AB6"/>
    <w:rsid w:val="00CF1CB1"/>
    <w:rsid w:val="00CF1CDF"/>
    <w:rsid w:val="00CF2227"/>
    <w:rsid w:val="00CF274D"/>
    <w:rsid w:val="00CF2875"/>
    <w:rsid w:val="00CF2AC0"/>
    <w:rsid w:val="00CF2B09"/>
    <w:rsid w:val="00CF2D22"/>
    <w:rsid w:val="00CF2D8D"/>
    <w:rsid w:val="00CF2FDC"/>
    <w:rsid w:val="00CF35CD"/>
    <w:rsid w:val="00CF35D1"/>
    <w:rsid w:val="00CF36E4"/>
    <w:rsid w:val="00CF3831"/>
    <w:rsid w:val="00CF3857"/>
    <w:rsid w:val="00CF3869"/>
    <w:rsid w:val="00CF3985"/>
    <w:rsid w:val="00CF3A40"/>
    <w:rsid w:val="00CF3B60"/>
    <w:rsid w:val="00CF3CA5"/>
    <w:rsid w:val="00CF3DB9"/>
    <w:rsid w:val="00CF3DD6"/>
    <w:rsid w:val="00CF3F30"/>
    <w:rsid w:val="00CF4041"/>
    <w:rsid w:val="00CF4358"/>
    <w:rsid w:val="00CF4594"/>
    <w:rsid w:val="00CF46A3"/>
    <w:rsid w:val="00CF475B"/>
    <w:rsid w:val="00CF47C7"/>
    <w:rsid w:val="00CF47DE"/>
    <w:rsid w:val="00CF491B"/>
    <w:rsid w:val="00CF4AFD"/>
    <w:rsid w:val="00CF4C0B"/>
    <w:rsid w:val="00CF4D3D"/>
    <w:rsid w:val="00CF4F61"/>
    <w:rsid w:val="00CF4FCD"/>
    <w:rsid w:val="00CF51F5"/>
    <w:rsid w:val="00CF5288"/>
    <w:rsid w:val="00CF5365"/>
    <w:rsid w:val="00CF53C7"/>
    <w:rsid w:val="00CF5511"/>
    <w:rsid w:val="00CF5708"/>
    <w:rsid w:val="00CF590F"/>
    <w:rsid w:val="00CF59F1"/>
    <w:rsid w:val="00CF5A5D"/>
    <w:rsid w:val="00CF5D79"/>
    <w:rsid w:val="00CF5E07"/>
    <w:rsid w:val="00CF5E20"/>
    <w:rsid w:val="00CF6080"/>
    <w:rsid w:val="00CF619B"/>
    <w:rsid w:val="00CF6492"/>
    <w:rsid w:val="00CF669C"/>
    <w:rsid w:val="00CF6800"/>
    <w:rsid w:val="00CF6834"/>
    <w:rsid w:val="00CF684F"/>
    <w:rsid w:val="00CF68AA"/>
    <w:rsid w:val="00CF6AF3"/>
    <w:rsid w:val="00CF6B16"/>
    <w:rsid w:val="00CF6C5E"/>
    <w:rsid w:val="00CF6ECB"/>
    <w:rsid w:val="00CF741D"/>
    <w:rsid w:val="00CF7A62"/>
    <w:rsid w:val="00CF7A90"/>
    <w:rsid w:val="00CF7C1A"/>
    <w:rsid w:val="00CF7C33"/>
    <w:rsid w:val="00CF7C3E"/>
    <w:rsid w:val="00CF7D4E"/>
    <w:rsid w:val="00CF7E86"/>
    <w:rsid w:val="00CF7F8F"/>
    <w:rsid w:val="00CF7FEE"/>
    <w:rsid w:val="00D001FF"/>
    <w:rsid w:val="00D003DF"/>
    <w:rsid w:val="00D00448"/>
    <w:rsid w:val="00D004BF"/>
    <w:rsid w:val="00D0059E"/>
    <w:rsid w:val="00D00662"/>
    <w:rsid w:val="00D006AB"/>
    <w:rsid w:val="00D00A11"/>
    <w:rsid w:val="00D00B5F"/>
    <w:rsid w:val="00D00B7B"/>
    <w:rsid w:val="00D00C17"/>
    <w:rsid w:val="00D00FE5"/>
    <w:rsid w:val="00D0101E"/>
    <w:rsid w:val="00D011CE"/>
    <w:rsid w:val="00D01367"/>
    <w:rsid w:val="00D013CC"/>
    <w:rsid w:val="00D0166F"/>
    <w:rsid w:val="00D0174A"/>
    <w:rsid w:val="00D019AA"/>
    <w:rsid w:val="00D01AA1"/>
    <w:rsid w:val="00D02102"/>
    <w:rsid w:val="00D0221A"/>
    <w:rsid w:val="00D02289"/>
    <w:rsid w:val="00D02326"/>
    <w:rsid w:val="00D028A3"/>
    <w:rsid w:val="00D0291D"/>
    <w:rsid w:val="00D0294B"/>
    <w:rsid w:val="00D02B33"/>
    <w:rsid w:val="00D02D1B"/>
    <w:rsid w:val="00D02D6D"/>
    <w:rsid w:val="00D030A3"/>
    <w:rsid w:val="00D03126"/>
    <w:rsid w:val="00D0316D"/>
    <w:rsid w:val="00D032DE"/>
    <w:rsid w:val="00D0343F"/>
    <w:rsid w:val="00D035FA"/>
    <w:rsid w:val="00D036B8"/>
    <w:rsid w:val="00D03C8B"/>
    <w:rsid w:val="00D03F08"/>
    <w:rsid w:val="00D03FA1"/>
    <w:rsid w:val="00D040A5"/>
    <w:rsid w:val="00D04164"/>
    <w:rsid w:val="00D043A2"/>
    <w:rsid w:val="00D0456E"/>
    <w:rsid w:val="00D04771"/>
    <w:rsid w:val="00D04BC3"/>
    <w:rsid w:val="00D04D18"/>
    <w:rsid w:val="00D04D51"/>
    <w:rsid w:val="00D04DFB"/>
    <w:rsid w:val="00D04F41"/>
    <w:rsid w:val="00D04FBB"/>
    <w:rsid w:val="00D0502B"/>
    <w:rsid w:val="00D0507C"/>
    <w:rsid w:val="00D051AF"/>
    <w:rsid w:val="00D05340"/>
    <w:rsid w:val="00D05804"/>
    <w:rsid w:val="00D05965"/>
    <w:rsid w:val="00D05983"/>
    <w:rsid w:val="00D05DA9"/>
    <w:rsid w:val="00D060B1"/>
    <w:rsid w:val="00D060D4"/>
    <w:rsid w:val="00D0625F"/>
    <w:rsid w:val="00D068AB"/>
    <w:rsid w:val="00D069A7"/>
    <w:rsid w:val="00D06B23"/>
    <w:rsid w:val="00D06BC1"/>
    <w:rsid w:val="00D06F7B"/>
    <w:rsid w:val="00D070B8"/>
    <w:rsid w:val="00D0717C"/>
    <w:rsid w:val="00D071A9"/>
    <w:rsid w:val="00D07341"/>
    <w:rsid w:val="00D073E3"/>
    <w:rsid w:val="00D07575"/>
    <w:rsid w:val="00D0786A"/>
    <w:rsid w:val="00D0786E"/>
    <w:rsid w:val="00D078DB"/>
    <w:rsid w:val="00D07925"/>
    <w:rsid w:val="00D07D2E"/>
    <w:rsid w:val="00D07E51"/>
    <w:rsid w:val="00D07E59"/>
    <w:rsid w:val="00D07F5B"/>
    <w:rsid w:val="00D1011A"/>
    <w:rsid w:val="00D103C6"/>
    <w:rsid w:val="00D105BB"/>
    <w:rsid w:val="00D106A1"/>
    <w:rsid w:val="00D10707"/>
    <w:rsid w:val="00D109FF"/>
    <w:rsid w:val="00D10B59"/>
    <w:rsid w:val="00D10ECF"/>
    <w:rsid w:val="00D10F84"/>
    <w:rsid w:val="00D112B0"/>
    <w:rsid w:val="00D11346"/>
    <w:rsid w:val="00D118AE"/>
    <w:rsid w:val="00D119F4"/>
    <w:rsid w:val="00D11B22"/>
    <w:rsid w:val="00D11CBD"/>
    <w:rsid w:val="00D11D24"/>
    <w:rsid w:val="00D11D61"/>
    <w:rsid w:val="00D12005"/>
    <w:rsid w:val="00D120AB"/>
    <w:rsid w:val="00D12188"/>
    <w:rsid w:val="00D1223A"/>
    <w:rsid w:val="00D12271"/>
    <w:rsid w:val="00D1230C"/>
    <w:rsid w:val="00D1233A"/>
    <w:rsid w:val="00D12479"/>
    <w:rsid w:val="00D12519"/>
    <w:rsid w:val="00D12554"/>
    <w:rsid w:val="00D127C7"/>
    <w:rsid w:val="00D1281B"/>
    <w:rsid w:val="00D128D2"/>
    <w:rsid w:val="00D12A8B"/>
    <w:rsid w:val="00D12D51"/>
    <w:rsid w:val="00D13012"/>
    <w:rsid w:val="00D130D8"/>
    <w:rsid w:val="00D13191"/>
    <w:rsid w:val="00D133B7"/>
    <w:rsid w:val="00D1388C"/>
    <w:rsid w:val="00D1394C"/>
    <w:rsid w:val="00D13B7D"/>
    <w:rsid w:val="00D13C3C"/>
    <w:rsid w:val="00D13C4D"/>
    <w:rsid w:val="00D13CD9"/>
    <w:rsid w:val="00D13F52"/>
    <w:rsid w:val="00D14163"/>
    <w:rsid w:val="00D143E0"/>
    <w:rsid w:val="00D144B1"/>
    <w:rsid w:val="00D14609"/>
    <w:rsid w:val="00D14A2B"/>
    <w:rsid w:val="00D14A4F"/>
    <w:rsid w:val="00D14A91"/>
    <w:rsid w:val="00D14CD8"/>
    <w:rsid w:val="00D14D50"/>
    <w:rsid w:val="00D14D85"/>
    <w:rsid w:val="00D14F72"/>
    <w:rsid w:val="00D15061"/>
    <w:rsid w:val="00D1510E"/>
    <w:rsid w:val="00D15449"/>
    <w:rsid w:val="00D15460"/>
    <w:rsid w:val="00D155C4"/>
    <w:rsid w:val="00D157DB"/>
    <w:rsid w:val="00D15BD2"/>
    <w:rsid w:val="00D15C46"/>
    <w:rsid w:val="00D15E91"/>
    <w:rsid w:val="00D15E94"/>
    <w:rsid w:val="00D16029"/>
    <w:rsid w:val="00D1633B"/>
    <w:rsid w:val="00D163D9"/>
    <w:rsid w:val="00D1649A"/>
    <w:rsid w:val="00D164F5"/>
    <w:rsid w:val="00D16523"/>
    <w:rsid w:val="00D1694D"/>
    <w:rsid w:val="00D169CB"/>
    <w:rsid w:val="00D16D2D"/>
    <w:rsid w:val="00D16DD9"/>
    <w:rsid w:val="00D1723F"/>
    <w:rsid w:val="00D17361"/>
    <w:rsid w:val="00D17366"/>
    <w:rsid w:val="00D17508"/>
    <w:rsid w:val="00D175AA"/>
    <w:rsid w:val="00D17744"/>
    <w:rsid w:val="00D17917"/>
    <w:rsid w:val="00D17936"/>
    <w:rsid w:val="00D17A56"/>
    <w:rsid w:val="00D17B4F"/>
    <w:rsid w:val="00D17C0C"/>
    <w:rsid w:val="00D17D18"/>
    <w:rsid w:val="00D17DB0"/>
    <w:rsid w:val="00D17E19"/>
    <w:rsid w:val="00D17F77"/>
    <w:rsid w:val="00D17F9F"/>
    <w:rsid w:val="00D17FD4"/>
    <w:rsid w:val="00D20461"/>
    <w:rsid w:val="00D2058E"/>
    <w:rsid w:val="00D207F1"/>
    <w:rsid w:val="00D20834"/>
    <w:rsid w:val="00D20992"/>
    <w:rsid w:val="00D20A35"/>
    <w:rsid w:val="00D20C19"/>
    <w:rsid w:val="00D20CCD"/>
    <w:rsid w:val="00D20EFE"/>
    <w:rsid w:val="00D212E2"/>
    <w:rsid w:val="00D21590"/>
    <w:rsid w:val="00D216BC"/>
    <w:rsid w:val="00D216E1"/>
    <w:rsid w:val="00D2173F"/>
    <w:rsid w:val="00D21795"/>
    <w:rsid w:val="00D2180B"/>
    <w:rsid w:val="00D21B40"/>
    <w:rsid w:val="00D21C8B"/>
    <w:rsid w:val="00D21E20"/>
    <w:rsid w:val="00D21EC2"/>
    <w:rsid w:val="00D22242"/>
    <w:rsid w:val="00D2242D"/>
    <w:rsid w:val="00D22582"/>
    <w:rsid w:val="00D22815"/>
    <w:rsid w:val="00D22AF4"/>
    <w:rsid w:val="00D22F41"/>
    <w:rsid w:val="00D22F65"/>
    <w:rsid w:val="00D230B8"/>
    <w:rsid w:val="00D2319A"/>
    <w:rsid w:val="00D23312"/>
    <w:rsid w:val="00D2332A"/>
    <w:rsid w:val="00D23369"/>
    <w:rsid w:val="00D2352A"/>
    <w:rsid w:val="00D23642"/>
    <w:rsid w:val="00D23687"/>
    <w:rsid w:val="00D23776"/>
    <w:rsid w:val="00D23AD9"/>
    <w:rsid w:val="00D23E66"/>
    <w:rsid w:val="00D23E9B"/>
    <w:rsid w:val="00D23F75"/>
    <w:rsid w:val="00D2428A"/>
    <w:rsid w:val="00D24636"/>
    <w:rsid w:val="00D246B9"/>
    <w:rsid w:val="00D24744"/>
    <w:rsid w:val="00D24A3D"/>
    <w:rsid w:val="00D24DCA"/>
    <w:rsid w:val="00D24DDB"/>
    <w:rsid w:val="00D24E08"/>
    <w:rsid w:val="00D24E91"/>
    <w:rsid w:val="00D25089"/>
    <w:rsid w:val="00D25108"/>
    <w:rsid w:val="00D2510D"/>
    <w:rsid w:val="00D252B6"/>
    <w:rsid w:val="00D254A4"/>
    <w:rsid w:val="00D254CC"/>
    <w:rsid w:val="00D25630"/>
    <w:rsid w:val="00D25BB2"/>
    <w:rsid w:val="00D25BCE"/>
    <w:rsid w:val="00D25C6C"/>
    <w:rsid w:val="00D25F76"/>
    <w:rsid w:val="00D26001"/>
    <w:rsid w:val="00D26302"/>
    <w:rsid w:val="00D264C3"/>
    <w:rsid w:val="00D266CF"/>
    <w:rsid w:val="00D2689E"/>
    <w:rsid w:val="00D26E80"/>
    <w:rsid w:val="00D26E99"/>
    <w:rsid w:val="00D27379"/>
    <w:rsid w:val="00D2741D"/>
    <w:rsid w:val="00D27421"/>
    <w:rsid w:val="00D2743E"/>
    <w:rsid w:val="00D27453"/>
    <w:rsid w:val="00D274A7"/>
    <w:rsid w:val="00D2750F"/>
    <w:rsid w:val="00D275C3"/>
    <w:rsid w:val="00D27C40"/>
    <w:rsid w:val="00D27D9C"/>
    <w:rsid w:val="00D27E06"/>
    <w:rsid w:val="00D27F4D"/>
    <w:rsid w:val="00D30116"/>
    <w:rsid w:val="00D3045F"/>
    <w:rsid w:val="00D305B3"/>
    <w:rsid w:val="00D30671"/>
    <w:rsid w:val="00D3083A"/>
    <w:rsid w:val="00D30874"/>
    <w:rsid w:val="00D30B25"/>
    <w:rsid w:val="00D30C51"/>
    <w:rsid w:val="00D30D25"/>
    <w:rsid w:val="00D30D36"/>
    <w:rsid w:val="00D30D8B"/>
    <w:rsid w:val="00D311AF"/>
    <w:rsid w:val="00D31408"/>
    <w:rsid w:val="00D314C7"/>
    <w:rsid w:val="00D31512"/>
    <w:rsid w:val="00D3177A"/>
    <w:rsid w:val="00D31850"/>
    <w:rsid w:val="00D3197B"/>
    <w:rsid w:val="00D31991"/>
    <w:rsid w:val="00D31ADD"/>
    <w:rsid w:val="00D31B5E"/>
    <w:rsid w:val="00D31B69"/>
    <w:rsid w:val="00D31EB5"/>
    <w:rsid w:val="00D31EF4"/>
    <w:rsid w:val="00D322BD"/>
    <w:rsid w:val="00D323B4"/>
    <w:rsid w:val="00D32427"/>
    <w:rsid w:val="00D32853"/>
    <w:rsid w:val="00D32BB0"/>
    <w:rsid w:val="00D32EBA"/>
    <w:rsid w:val="00D33037"/>
    <w:rsid w:val="00D33091"/>
    <w:rsid w:val="00D33229"/>
    <w:rsid w:val="00D33256"/>
    <w:rsid w:val="00D333E1"/>
    <w:rsid w:val="00D33585"/>
    <w:rsid w:val="00D33760"/>
    <w:rsid w:val="00D337C5"/>
    <w:rsid w:val="00D33C16"/>
    <w:rsid w:val="00D33C65"/>
    <w:rsid w:val="00D33C75"/>
    <w:rsid w:val="00D33C9C"/>
    <w:rsid w:val="00D33CDB"/>
    <w:rsid w:val="00D33F68"/>
    <w:rsid w:val="00D3408B"/>
    <w:rsid w:val="00D340E1"/>
    <w:rsid w:val="00D3410B"/>
    <w:rsid w:val="00D34190"/>
    <w:rsid w:val="00D342A0"/>
    <w:rsid w:val="00D3432F"/>
    <w:rsid w:val="00D34448"/>
    <w:rsid w:val="00D34457"/>
    <w:rsid w:val="00D344EB"/>
    <w:rsid w:val="00D3455A"/>
    <w:rsid w:val="00D34685"/>
    <w:rsid w:val="00D34AEE"/>
    <w:rsid w:val="00D34B01"/>
    <w:rsid w:val="00D34B52"/>
    <w:rsid w:val="00D34BE4"/>
    <w:rsid w:val="00D35078"/>
    <w:rsid w:val="00D3533E"/>
    <w:rsid w:val="00D3546D"/>
    <w:rsid w:val="00D354D8"/>
    <w:rsid w:val="00D358C2"/>
    <w:rsid w:val="00D35930"/>
    <w:rsid w:val="00D35C4E"/>
    <w:rsid w:val="00D35D49"/>
    <w:rsid w:val="00D35F8C"/>
    <w:rsid w:val="00D35FF8"/>
    <w:rsid w:val="00D3601D"/>
    <w:rsid w:val="00D3620A"/>
    <w:rsid w:val="00D3637E"/>
    <w:rsid w:val="00D36489"/>
    <w:rsid w:val="00D364E9"/>
    <w:rsid w:val="00D368DB"/>
    <w:rsid w:val="00D3695D"/>
    <w:rsid w:val="00D3699F"/>
    <w:rsid w:val="00D36A9A"/>
    <w:rsid w:val="00D36B25"/>
    <w:rsid w:val="00D36B49"/>
    <w:rsid w:val="00D36CFB"/>
    <w:rsid w:val="00D36DDF"/>
    <w:rsid w:val="00D36F0B"/>
    <w:rsid w:val="00D37013"/>
    <w:rsid w:val="00D3701D"/>
    <w:rsid w:val="00D37048"/>
    <w:rsid w:val="00D3723C"/>
    <w:rsid w:val="00D372DD"/>
    <w:rsid w:val="00D37833"/>
    <w:rsid w:val="00D3788E"/>
    <w:rsid w:val="00D378B0"/>
    <w:rsid w:val="00D37973"/>
    <w:rsid w:val="00D37D3B"/>
    <w:rsid w:val="00D37E32"/>
    <w:rsid w:val="00D37E76"/>
    <w:rsid w:val="00D37EA2"/>
    <w:rsid w:val="00D37FC0"/>
    <w:rsid w:val="00D40028"/>
    <w:rsid w:val="00D400C2"/>
    <w:rsid w:val="00D40201"/>
    <w:rsid w:val="00D40203"/>
    <w:rsid w:val="00D4023A"/>
    <w:rsid w:val="00D405A8"/>
    <w:rsid w:val="00D40643"/>
    <w:rsid w:val="00D40B31"/>
    <w:rsid w:val="00D40B9D"/>
    <w:rsid w:val="00D40CD0"/>
    <w:rsid w:val="00D40DB4"/>
    <w:rsid w:val="00D40EC8"/>
    <w:rsid w:val="00D40FF7"/>
    <w:rsid w:val="00D41337"/>
    <w:rsid w:val="00D41380"/>
    <w:rsid w:val="00D41599"/>
    <w:rsid w:val="00D4189F"/>
    <w:rsid w:val="00D41E31"/>
    <w:rsid w:val="00D4206B"/>
    <w:rsid w:val="00D427DC"/>
    <w:rsid w:val="00D428E1"/>
    <w:rsid w:val="00D42927"/>
    <w:rsid w:val="00D42BF2"/>
    <w:rsid w:val="00D42DB1"/>
    <w:rsid w:val="00D42E64"/>
    <w:rsid w:val="00D42EAF"/>
    <w:rsid w:val="00D42EE7"/>
    <w:rsid w:val="00D42F77"/>
    <w:rsid w:val="00D42FCC"/>
    <w:rsid w:val="00D43005"/>
    <w:rsid w:val="00D43164"/>
    <w:rsid w:val="00D433BA"/>
    <w:rsid w:val="00D435C2"/>
    <w:rsid w:val="00D43841"/>
    <w:rsid w:val="00D43856"/>
    <w:rsid w:val="00D4395F"/>
    <w:rsid w:val="00D43A1B"/>
    <w:rsid w:val="00D43BC9"/>
    <w:rsid w:val="00D43C39"/>
    <w:rsid w:val="00D43E7F"/>
    <w:rsid w:val="00D44140"/>
    <w:rsid w:val="00D44162"/>
    <w:rsid w:val="00D4421F"/>
    <w:rsid w:val="00D44438"/>
    <w:rsid w:val="00D44492"/>
    <w:rsid w:val="00D44578"/>
    <w:rsid w:val="00D4465D"/>
    <w:rsid w:val="00D4471E"/>
    <w:rsid w:val="00D44753"/>
    <w:rsid w:val="00D44A8F"/>
    <w:rsid w:val="00D44A90"/>
    <w:rsid w:val="00D44BA8"/>
    <w:rsid w:val="00D44BFC"/>
    <w:rsid w:val="00D452D4"/>
    <w:rsid w:val="00D45479"/>
    <w:rsid w:val="00D45681"/>
    <w:rsid w:val="00D4568A"/>
    <w:rsid w:val="00D45695"/>
    <w:rsid w:val="00D4591C"/>
    <w:rsid w:val="00D45970"/>
    <w:rsid w:val="00D459D3"/>
    <w:rsid w:val="00D45A53"/>
    <w:rsid w:val="00D45B02"/>
    <w:rsid w:val="00D45B53"/>
    <w:rsid w:val="00D45B68"/>
    <w:rsid w:val="00D45DB2"/>
    <w:rsid w:val="00D45FDF"/>
    <w:rsid w:val="00D46127"/>
    <w:rsid w:val="00D4621A"/>
    <w:rsid w:val="00D462EA"/>
    <w:rsid w:val="00D46303"/>
    <w:rsid w:val="00D4644B"/>
    <w:rsid w:val="00D4704B"/>
    <w:rsid w:val="00D47189"/>
    <w:rsid w:val="00D471EF"/>
    <w:rsid w:val="00D474FF"/>
    <w:rsid w:val="00D47733"/>
    <w:rsid w:val="00D47856"/>
    <w:rsid w:val="00D47858"/>
    <w:rsid w:val="00D47A27"/>
    <w:rsid w:val="00D47DBF"/>
    <w:rsid w:val="00D47E77"/>
    <w:rsid w:val="00D47F6E"/>
    <w:rsid w:val="00D502C1"/>
    <w:rsid w:val="00D503AC"/>
    <w:rsid w:val="00D505E3"/>
    <w:rsid w:val="00D506DA"/>
    <w:rsid w:val="00D5077B"/>
    <w:rsid w:val="00D50783"/>
    <w:rsid w:val="00D50992"/>
    <w:rsid w:val="00D50AEC"/>
    <w:rsid w:val="00D50BB9"/>
    <w:rsid w:val="00D50DD3"/>
    <w:rsid w:val="00D50DD9"/>
    <w:rsid w:val="00D50E47"/>
    <w:rsid w:val="00D50F61"/>
    <w:rsid w:val="00D510E1"/>
    <w:rsid w:val="00D51192"/>
    <w:rsid w:val="00D5119F"/>
    <w:rsid w:val="00D5173A"/>
    <w:rsid w:val="00D51898"/>
    <w:rsid w:val="00D518F4"/>
    <w:rsid w:val="00D51A40"/>
    <w:rsid w:val="00D51B7D"/>
    <w:rsid w:val="00D51BFF"/>
    <w:rsid w:val="00D51D16"/>
    <w:rsid w:val="00D52234"/>
    <w:rsid w:val="00D523C5"/>
    <w:rsid w:val="00D5253F"/>
    <w:rsid w:val="00D52586"/>
    <w:rsid w:val="00D525E2"/>
    <w:rsid w:val="00D525F0"/>
    <w:rsid w:val="00D52A6D"/>
    <w:rsid w:val="00D52E7B"/>
    <w:rsid w:val="00D52F89"/>
    <w:rsid w:val="00D53052"/>
    <w:rsid w:val="00D53403"/>
    <w:rsid w:val="00D5347E"/>
    <w:rsid w:val="00D536F0"/>
    <w:rsid w:val="00D53AF0"/>
    <w:rsid w:val="00D53C58"/>
    <w:rsid w:val="00D53D66"/>
    <w:rsid w:val="00D53DCA"/>
    <w:rsid w:val="00D5401D"/>
    <w:rsid w:val="00D54246"/>
    <w:rsid w:val="00D54275"/>
    <w:rsid w:val="00D546CF"/>
    <w:rsid w:val="00D54955"/>
    <w:rsid w:val="00D549BB"/>
    <w:rsid w:val="00D54A74"/>
    <w:rsid w:val="00D54B12"/>
    <w:rsid w:val="00D54C03"/>
    <w:rsid w:val="00D54C7E"/>
    <w:rsid w:val="00D54D2E"/>
    <w:rsid w:val="00D55969"/>
    <w:rsid w:val="00D55A14"/>
    <w:rsid w:val="00D55B73"/>
    <w:rsid w:val="00D55B7B"/>
    <w:rsid w:val="00D55E17"/>
    <w:rsid w:val="00D56041"/>
    <w:rsid w:val="00D5629F"/>
    <w:rsid w:val="00D562F5"/>
    <w:rsid w:val="00D56310"/>
    <w:rsid w:val="00D5636E"/>
    <w:rsid w:val="00D56671"/>
    <w:rsid w:val="00D56C1E"/>
    <w:rsid w:val="00D570A9"/>
    <w:rsid w:val="00D57334"/>
    <w:rsid w:val="00D573EF"/>
    <w:rsid w:val="00D57685"/>
    <w:rsid w:val="00D57902"/>
    <w:rsid w:val="00D5794B"/>
    <w:rsid w:val="00D57B94"/>
    <w:rsid w:val="00D57BDB"/>
    <w:rsid w:val="00D57EBD"/>
    <w:rsid w:val="00D60104"/>
    <w:rsid w:val="00D6037D"/>
    <w:rsid w:val="00D60405"/>
    <w:rsid w:val="00D60569"/>
    <w:rsid w:val="00D607C3"/>
    <w:rsid w:val="00D607C6"/>
    <w:rsid w:val="00D608ED"/>
    <w:rsid w:val="00D60B23"/>
    <w:rsid w:val="00D60B8B"/>
    <w:rsid w:val="00D60C7C"/>
    <w:rsid w:val="00D60DC8"/>
    <w:rsid w:val="00D612F8"/>
    <w:rsid w:val="00D61329"/>
    <w:rsid w:val="00D61496"/>
    <w:rsid w:val="00D61548"/>
    <w:rsid w:val="00D61657"/>
    <w:rsid w:val="00D6183A"/>
    <w:rsid w:val="00D618FC"/>
    <w:rsid w:val="00D61AB3"/>
    <w:rsid w:val="00D61C85"/>
    <w:rsid w:val="00D61E09"/>
    <w:rsid w:val="00D621B2"/>
    <w:rsid w:val="00D621CC"/>
    <w:rsid w:val="00D622DB"/>
    <w:rsid w:val="00D62447"/>
    <w:rsid w:val="00D62599"/>
    <w:rsid w:val="00D625CF"/>
    <w:rsid w:val="00D6275A"/>
    <w:rsid w:val="00D62829"/>
    <w:rsid w:val="00D6283B"/>
    <w:rsid w:val="00D628A2"/>
    <w:rsid w:val="00D62BCB"/>
    <w:rsid w:val="00D62C31"/>
    <w:rsid w:val="00D62F4C"/>
    <w:rsid w:val="00D62F95"/>
    <w:rsid w:val="00D63491"/>
    <w:rsid w:val="00D638F8"/>
    <w:rsid w:val="00D63C22"/>
    <w:rsid w:val="00D63DC5"/>
    <w:rsid w:val="00D63E2C"/>
    <w:rsid w:val="00D63F2A"/>
    <w:rsid w:val="00D63FF9"/>
    <w:rsid w:val="00D64092"/>
    <w:rsid w:val="00D642CC"/>
    <w:rsid w:val="00D644DC"/>
    <w:rsid w:val="00D6462F"/>
    <w:rsid w:val="00D64658"/>
    <w:rsid w:val="00D64B00"/>
    <w:rsid w:val="00D6519F"/>
    <w:rsid w:val="00D6537B"/>
    <w:rsid w:val="00D654D0"/>
    <w:rsid w:val="00D65BF9"/>
    <w:rsid w:val="00D65EAA"/>
    <w:rsid w:val="00D66072"/>
    <w:rsid w:val="00D66208"/>
    <w:rsid w:val="00D6628A"/>
    <w:rsid w:val="00D663D3"/>
    <w:rsid w:val="00D6651F"/>
    <w:rsid w:val="00D66686"/>
    <w:rsid w:val="00D66702"/>
    <w:rsid w:val="00D667CE"/>
    <w:rsid w:val="00D66907"/>
    <w:rsid w:val="00D66D57"/>
    <w:rsid w:val="00D66F24"/>
    <w:rsid w:val="00D6732B"/>
    <w:rsid w:val="00D67601"/>
    <w:rsid w:val="00D67798"/>
    <w:rsid w:val="00D67803"/>
    <w:rsid w:val="00D67A81"/>
    <w:rsid w:val="00D67B12"/>
    <w:rsid w:val="00D67B5B"/>
    <w:rsid w:val="00D67D94"/>
    <w:rsid w:val="00D67E96"/>
    <w:rsid w:val="00D70006"/>
    <w:rsid w:val="00D70050"/>
    <w:rsid w:val="00D7017B"/>
    <w:rsid w:val="00D701A9"/>
    <w:rsid w:val="00D7036B"/>
    <w:rsid w:val="00D707F1"/>
    <w:rsid w:val="00D70807"/>
    <w:rsid w:val="00D7092D"/>
    <w:rsid w:val="00D70A62"/>
    <w:rsid w:val="00D70B44"/>
    <w:rsid w:val="00D70C77"/>
    <w:rsid w:val="00D70CB2"/>
    <w:rsid w:val="00D70D92"/>
    <w:rsid w:val="00D70EDB"/>
    <w:rsid w:val="00D711D8"/>
    <w:rsid w:val="00D7154B"/>
    <w:rsid w:val="00D71616"/>
    <w:rsid w:val="00D716A6"/>
    <w:rsid w:val="00D716D0"/>
    <w:rsid w:val="00D71732"/>
    <w:rsid w:val="00D7194A"/>
    <w:rsid w:val="00D71A5E"/>
    <w:rsid w:val="00D71AF3"/>
    <w:rsid w:val="00D71C57"/>
    <w:rsid w:val="00D71E9A"/>
    <w:rsid w:val="00D71E9E"/>
    <w:rsid w:val="00D722F4"/>
    <w:rsid w:val="00D72340"/>
    <w:rsid w:val="00D72B27"/>
    <w:rsid w:val="00D72CA1"/>
    <w:rsid w:val="00D72DB0"/>
    <w:rsid w:val="00D72E8B"/>
    <w:rsid w:val="00D73285"/>
    <w:rsid w:val="00D732ED"/>
    <w:rsid w:val="00D73316"/>
    <w:rsid w:val="00D733B5"/>
    <w:rsid w:val="00D73589"/>
    <w:rsid w:val="00D73691"/>
    <w:rsid w:val="00D737AF"/>
    <w:rsid w:val="00D73998"/>
    <w:rsid w:val="00D73CE5"/>
    <w:rsid w:val="00D73F2B"/>
    <w:rsid w:val="00D74070"/>
    <w:rsid w:val="00D7417C"/>
    <w:rsid w:val="00D741AF"/>
    <w:rsid w:val="00D74471"/>
    <w:rsid w:val="00D74535"/>
    <w:rsid w:val="00D749C0"/>
    <w:rsid w:val="00D74ABF"/>
    <w:rsid w:val="00D74B5D"/>
    <w:rsid w:val="00D74DEC"/>
    <w:rsid w:val="00D74E2E"/>
    <w:rsid w:val="00D74EF7"/>
    <w:rsid w:val="00D75457"/>
    <w:rsid w:val="00D754BA"/>
    <w:rsid w:val="00D755AF"/>
    <w:rsid w:val="00D756F8"/>
    <w:rsid w:val="00D7572A"/>
    <w:rsid w:val="00D75857"/>
    <w:rsid w:val="00D75AE0"/>
    <w:rsid w:val="00D75B86"/>
    <w:rsid w:val="00D75EDF"/>
    <w:rsid w:val="00D75FB2"/>
    <w:rsid w:val="00D76213"/>
    <w:rsid w:val="00D765B7"/>
    <w:rsid w:val="00D766C7"/>
    <w:rsid w:val="00D76724"/>
    <w:rsid w:val="00D7682D"/>
    <w:rsid w:val="00D7694A"/>
    <w:rsid w:val="00D76D1F"/>
    <w:rsid w:val="00D76DA6"/>
    <w:rsid w:val="00D76F71"/>
    <w:rsid w:val="00D7711A"/>
    <w:rsid w:val="00D771D0"/>
    <w:rsid w:val="00D77281"/>
    <w:rsid w:val="00D773BA"/>
    <w:rsid w:val="00D77707"/>
    <w:rsid w:val="00D77746"/>
    <w:rsid w:val="00D77827"/>
    <w:rsid w:val="00D7798A"/>
    <w:rsid w:val="00D779E9"/>
    <w:rsid w:val="00D77B6F"/>
    <w:rsid w:val="00D77BAD"/>
    <w:rsid w:val="00D77D6B"/>
    <w:rsid w:val="00D77D7E"/>
    <w:rsid w:val="00D77EC0"/>
    <w:rsid w:val="00D800B8"/>
    <w:rsid w:val="00D80103"/>
    <w:rsid w:val="00D8029B"/>
    <w:rsid w:val="00D8091D"/>
    <w:rsid w:val="00D809B6"/>
    <w:rsid w:val="00D80A7C"/>
    <w:rsid w:val="00D80B3C"/>
    <w:rsid w:val="00D80D05"/>
    <w:rsid w:val="00D80DE7"/>
    <w:rsid w:val="00D810E0"/>
    <w:rsid w:val="00D8113A"/>
    <w:rsid w:val="00D811F9"/>
    <w:rsid w:val="00D8136C"/>
    <w:rsid w:val="00D813CC"/>
    <w:rsid w:val="00D817E6"/>
    <w:rsid w:val="00D817F8"/>
    <w:rsid w:val="00D818E3"/>
    <w:rsid w:val="00D81D77"/>
    <w:rsid w:val="00D81DCE"/>
    <w:rsid w:val="00D81E52"/>
    <w:rsid w:val="00D81FF8"/>
    <w:rsid w:val="00D82514"/>
    <w:rsid w:val="00D82691"/>
    <w:rsid w:val="00D828BD"/>
    <w:rsid w:val="00D82ABF"/>
    <w:rsid w:val="00D82ADD"/>
    <w:rsid w:val="00D82BCA"/>
    <w:rsid w:val="00D82C72"/>
    <w:rsid w:val="00D82DD3"/>
    <w:rsid w:val="00D82E73"/>
    <w:rsid w:val="00D8300E"/>
    <w:rsid w:val="00D830C2"/>
    <w:rsid w:val="00D8313F"/>
    <w:rsid w:val="00D833AD"/>
    <w:rsid w:val="00D8362A"/>
    <w:rsid w:val="00D8365E"/>
    <w:rsid w:val="00D836AA"/>
    <w:rsid w:val="00D839F8"/>
    <w:rsid w:val="00D83A5E"/>
    <w:rsid w:val="00D83B5A"/>
    <w:rsid w:val="00D83BA2"/>
    <w:rsid w:val="00D83C84"/>
    <w:rsid w:val="00D83D39"/>
    <w:rsid w:val="00D83F14"/>
    <w:rsid w:val="00D842A0"/>
    <w:rsid w:val="00D842B1"/>
    <w:rsid w:val="00D845F6"/>
    <w:rsid w:val="00D84916"/>
    <w:rsid w:val="00D84944"/>
    <w:rsid w:val="00D84C61"/>
    <w:rsid w:val="00D84D1A"/>
    <w:rsid w:val="00D856E8"/>
    <w:rsid w:val="00D858EB"/>
    <w:rsid w:val="00D85A8A"/>
    <w:rsid w:val="00D85BEF"/>
    <w:rsid w:val="00D85C8B"/>
    <w:rsid w:val="00D85EBA"/>
    <w:rsid w:val="00D85F99"/>
    <w:rsid w:val="00D86046"/>
    <w:rsid w:val="00D8620F"/>
    <w:rsid w:val="00D862CA"/>
    <w:rsid w:val="00D86620"/>
    <w:rsid w:val="00D86771"/>
    <w:rsid w:val="00D8678D"/>
    <w:rsid w:val="00D869BE"/>
    <w:rsid w:val="00D86B1E"/>
    <w:rsid w:val="00D86F5F"/>
    <w:rsid w:val="00D86FDA"/>
    <w:rsid w:val="00D87044"/>
    <w:rsid w:val="00D8721A"/>
    <w:rsid w:val="00D8729E"/>
    <w:rsid w:val="00D874F9"/>
    <w:rsid w:val="00D8756F"/>
    <w:rsid w:val="00D87649"/>
    <w:rsid w:val="00D87973"/>
    <w:rsid w:val="00D879B7"/>
    <w:rsid w:val="00D87B85"/>
    <w:rsid w:val="00D87CF3"/>
    <w:rsid w:val="00D87E18"/>
    <w:rsid w:val="00D87E64"/>
    <w:rsid w:val="00D90001"/>
    <w:rsid w:val="00D90097"/>
    <w:rsid w:val="00D90134"/>
    <w:rsid w:val="00D90139"/>
    <w:rsid w:val="00D90427"/>
    <w:rsid w:val="00D9054A"/>
    <w:rsid w:val="00D906FF"/>
    <w:rsid w:val="00D907F7"/>
    <w:rsid w:val="00D908ED"/>
    <w:rsid w:val="00D90944"/>
    <w:rsid w:val="00D90A0C"/>
    <w:rsid w:val="00D90CC7"/>
    <w:rsid w:val="00D90D22"/>
    <w:rsid w:val="00D90DA0"/>
    <w:rsid w:val="00D90F57"/>
    <w:rsid w:val="00D91444"/>
    <w:rsid w:val="00D91727"/>
    <w:rsid w:val="00D9176D"/>
    <w:rsid w:val="00D91918"/>
    <w:rsid w:val="00D91DC7"/>
    <w:rsid w:val="00D91E91"/>
    <w:rsid w:val="00D92107"/>
    <w:rsid w:val="00D924A5"/>
    <w:rsid w:val="00D925E2"/>
    <w:rsid w:val="00D9273A"/>
    <w:rsid w:val="00D9286E"/>
    <w:rsid w:val="00D92906"/>
    <w:rsid w:val="00D9291D"/>
    <w:rsid w:val="00D92A19"/>
    <w:rsid w:val="00D92B53"/>
    <w:rsid w:val="00D92CC1"/>
    <w:rsid w:val="00D92F3F"/>
    <w:rsid w:val="00D92F63"/>
    <w:rsid w:val="00D9301A"/>
    <w:rsid w:val="00D93071"/>
    <w:rsid w:val="00D9354B"/>
    <w:rsid w:val="00D93830"/>
    <w:rsid w:val="00D939BE"/>
    <w:rsid w:val="00D939D7"/>
    <w:rsid w:val="00D93AF4"/>
    <w:rsid w:val="00D93CA8"/>
    <w:rsid w:val="00D93F78"/>
    <w:rsid w:val="00D93FD1"/>
    <w:rsid w:val="00D940FB"/>
    <w:rsid w:val="00D941E7"/>
    <w:rsid w:val="00D9439D"/>
    <w:rsid w:val="00D9443F"/>
    <w:rsid w:val="00D94465"/>
    <w:rsid w:val="00D94731"/>
    <w:rsid w:val="00D94855"/>
    <w:rsid w:val="00D94A91"/>
    <w:rsid w:val="00D94C95"/>
    <w:rsid w:val="00D94D67"/>
    <w:rsid w:val="00D94EE2"/>
    <w:rsid w:val="00D950A4"/>
    <w:rsid w:val="00D95323"/>
    <w:rsid w:val="00D953FD"/>
    <w:rsid w:val="00D95F0E"/>
    <w:rsid w:val="00D95FFF"/>
    <w:rsid w:val="00D962E6"/>
    <w:rsid w:val="00D9631D"/>
    <w:rsid w:val="00D96357"/>
    <w:rsid w:val="00D96372"/>
    <w:rsid w:val="00D964C5"/>
    <w:rsid w:val="00D96591"/>
    <w:rsid w:val="00D96644"/>
    <w:rsid w:val="00D96690"/>
    <w:rsid w:val="00D9669A"/>
    <w:rsid w:val="00D96797"/>
    <w:rsid w:val="00D967A2"/>
    <w:rsid w:val="00D96897"/>
    <w:rsid w:val="00D968CF"/>
    <w:rsid w:val="00D96A59"/>
    <w:rsid w:val="00D96AE6"/>
    <w:rsid w:val="00D96B7D"/>
    <w:rsid w:val="00D96C86"/>
    <w:rsid w:val="00D96D5B"/>
    <w:rsid w:val="00D96EDF"/>
    <w:rsid w:val="00D96F2E"/>
    <w:rsid w:val="00D970A4"/>
    <w:rsid w:val="00D97233"/>
    <w:rsid w:val="00D974FA"/>
    <w:rsid w:val="00D9760C"/>
    <w:rsid w:val="00D97798"/>
    <w:rsid w:val="00D97819"/>
    <w:rsid w:val="00D9781F"/>
    <w:rsid w:val="00D9789E"/>
    <w:rsid w:val="00D97AF4"/>
    <w:rsid w:val="00D97B60"/>
    <w:rsid w:val="00D97BD2"/>
    <w:rsid w:val="00D97C3C"/>
    <w:rsid w:val="00D97E0C"/>
    <w:rsid w:val="00D97E90"/>
    <w:rsid w:val="00D97F7A"/>
    <w:rsid w:val="00DA0007"/>
    <w:rsid w:val="00DA0263"/>
    <w:rsid w:val="00DA0461"/>
    <w:rsid w:val="00DA055E"/>
    <w:rsid w:val="00DA05E0"/>
    <w:rsid w:val="00DA0929"/>
    <w:rsid w:val="00DA0A40"/>
    <w:rsid w:val="00DA0C62"/>
    <w:rsid w:val="00DA0D5E"/>
    <w:rsid w:val="00DA0DCE"/>
    <w:rsid w:val="00DA126A"/>
    <w:rsid w:val="00DA1444"/>
    <w:rsid w:val="00DA15F3"/>
    <w:rsid w:val="00DA186D"/>
    <w:rsid w:val="00DA1950"/>
    <w:rsid w:val="00DA1A50"/>
    <w:rsid w:val="00DA1BC5"/>
    <w:rsid w:val="00DA1CD4"/>
    <w:rsid w:val="00DA1D51"/>
    <w:rsid w:val="00DA1DFC"/>
    <w:rsid w:val="00DA1F23"/>
    <w:rsid w:val="00DA2110"/>
    <w:rsid w:val="00DA2115"/>
    <w:rsid w:val="00DA2134"/>
    <w:rsid w:val="00DA23C4"/>
    <w:rsid w:val="00DA2606"/>
    <w:rsid w:val="00DA270A"/>
    <w:rsid w:val="00DA27D6"/>
    <w:rsid w:val="00DA2AFE"/>
    <w:rsid w:val="00DA2D33"/>
    <w:rsid w:val="00DA2E54"/>
    <w:rsid w:val="00DA3048"/>
    <w:rsid w:val="00DA304F"/>
    <w:rsid w:val="00DA32E2"/>
    <w:rsid w:val="00DA32FC"/>
    <w:rsid w:val="00DA332E"/>
    <w:rsid w:val="00DA3430"/>
    <w:rsid w:val="00DA37D6"/>
    <w:rsid w:val="00DA3EC5"/>
    <w:rsid w:val="00DA40C7"/>
    <w:rsid w:val="00DA4335"/>
    <w:rsid w:val="00DA43A8"/>
    <w:rsid w:val="00DA463E"/>
    <w:rsid w:val="00DA4653"/>
    <w:rsid w:val="00DA46C9"/>
    <w:rsid w:val="00DA470D"/>
    <w:rsid w:val="00DA48E4"/>
    <w:rsid w:val="00DA4C50"/>
    <w:rsid w:val="00DA4F04"/>
    <w:rsid w:val="00DA4FA3"/>
    <w:rsid w:val="00DA502C"/>
    <w:rsid w:val="00DA5204"/>
    <w:rsid w:val="00DA54A3"/>
    <w:rsid w:val="00DA5692"/>
    <w:rsid w:val="00DA571E"/>
    <w:rsid w:val="00DA59ED"/>
    <w:rsid w:val="00DA5C0E"/>
    <w:rsid w:val="00DA5CC2"/>
    <w:rsid w:val="00DA5DA2"/>
    <w:rsid w:val="00DA5DCC"/>
    <w:rsid w:val="00DA5ECF"/>
    <w:rsid w:val="00DA6099"/>
    <w:rsid w:val="00DA63E1"/>
    <w:rsid w:val="00DA6524"/>
    <w:rsid w:val="00DA6673"/>
    <w:rsid w:val="00DA68FF"/>
    <w:rsid w:val="00DA6B00"/>
    <w:rsid w:val="00DA6E3C"/>
    <w:rsid w:val="00DA71D4"/>
    <w:rsid w:val="00DA7217"/>
    <w:rsid w:val="00DA73AF"/>
    <w:rsid w:val="00DA7634"/>
    <w:rsid w:val="00DA7E97"/>
    <w:rsid w:val="00DA7EDC"/>
    <w:rsid w:val="00DB00A1"/>
    <w:rsid w:val="00DB00D5"/>
    <w:rsid w:val="00DB019E"/>
    <w:rsid w:val="00DB01E6"/>
    <w:rsid w:val="00DB0304"/>
    <w:rsid w:val="00DB0583"/>
    <w:rsid w:val="00DB0878"/>
    <w:rsid w:val="00DB098C"/>
    <w:rsid w:val="00DB0CFC"/>
    <w:rsid w:val="00DB0D88"/>
    <w:rsid w:val="00DB0E1F"/>
    <w:rsid w:val="00DB0F5D"/>
    <w:rsid w:val="00DB12EC"/>
    <w:rsid w:val="00DB179D"/>
    <w:rsid w:val="00DB1828"/>
    <w:rsid w:val="00DB1859"/>
    <w:rsid w:val="00DB18A5"/>
    <w:rsid w:val="00DB195F"/>
    <w:rsid w:val="00DB1AB2"/>
    <w:rsid w:val="00DB1FA8"/>
    <w:rsid w:val="00DB212C"/>
    <w:rsid w:val="00DB241B"/>
    <w:rsid w:val="00DB24CA"/>
    <w:rsid w:val="00DB298F"/>
    <w:rsid w:val="00DB2FED"/>
    <w:rsid w:val="00DB308A"/>
    <w:rsid w:val="00DB3289"/>
    <w:rsid w:val="00DB33CE"/>
    <w:rsid w:val="00DB33CF"/>
    <w:rsid w:val="00DB341E"/>
    <w:rsid w:val="00DB370F"/>
    <w:rsid w:val="00DB3996"/>
    <w:rsid w:val="00DB3A49"/>
    <w:rsid w:val="00DB3A68"/>
    <w:rsid w:val="00DB3B42"/>
    <w:rsid w:val="00DB3BE9"/>
    <w:rsid w:val="00DB400A"/>
    <w:rsid w:val="00DB408C"/>
    <w:rsid w:val="00DB4181"/>
    <w:rsid w:val="00DB427C"/>
    <w:rsid w:val="00DB42A3"/>
    <w:rsid w:val="00DB4300"/>
    <w:rsid w:val="00DB433B"/>
    <w:rsid w:val="00DB445E"/>
    <w:rsid w:val="00DB4675"/>
    <w:rsid w:val="00DB468E"/>
    <w:rsid w:val="00DB48A9"/>
    <w:rsid w:val="00DB49BD"/>
    <w:rsid w:val="00DB4ABF"/>
    <w:rsid w:val="00DB4B44"/>
    <w:rsid w:val="00DB4D24"/>
    <w:rsid w:val="00DB4E31"/>
    <w:rsid w:val="00DB50DE"/>
    <w:rsid w:val="00DB5131"/>
    <w:rsid w:val="00DB54E9"/>
    <w:rsid w:val="00DB5507"/>
    <w:rsid w:val="00DB5563"/>
    <w:rsid w:val="00DB561C"/>
    <w:rsid w:val="00DB5788"/>
    <w:rsid w:val="00DB5B2E"/>
    <w:rsid w:val="00DB5B5E"/>
    <w:rsid w:val="00DB5B5F"/>
    <w:rsid w:val="00DB5D72"/>
    <w:rsid w:val="00DB5EF4"/>
    <w:rsid w:val="00DB5F1E"/>
    <w:rsid w:val="00DB625C"/>
    <w:rsid w:val="00DB6412"/>
    <w:rsid w:val="00DB6494"/>
    <w:rsid w:val="00DB664C"/>
    <w:rsid w:val="00DB67A8"/>
    <w:rsid w:val="00DB6A3A"/>
    <w:rsid w:val="00DB6A5A"/>
    <w:rsid w:val="00DB6AC7"/>
    <w:rsid w:val="00DB6D8F"/>
    <w:rsid w:val="00DB72B1"/>
    <w:rsid w:val="00DB769F"/>
    <w:rsid w:val="00DB76B6"/>
    <w:rsid w:val="00DB7812"/>
    <w:rsid w:val="00DB78AE"/>
    <w:rsid w:val="00DB7B28"/>
    <w:rsid w:val="00DB7B33"/>
    <w:rsid w:val="00DB7B5E"/>
    <w:rsid w:val="00DB7C1A"/>
    <w:rsid w:val="00DB7FEE"/>
    <w:rsid w:val="00DC0031"/>
    <w:rsid w:val="00DC03CA"/>
    <w:rsid w:val="00DC05DB"/>
    <w:rsid w:val="00DC0642"/>
    <w:rsid w:val="00DC086F"/>
    <w:rsid w:val="00DC0971"/>
    <w:rsid w:val="00DC09A8"/>
    <w:rsid w:val="00DC0A09"/>
    <w:rsid w:val="00DC0A68"/>
    <w:rsid w:val="00DC0B05"/>
    <w:rsid w:val="00DC0BA7"/>
    <w:rsid w:val="00DC0D86"/>
    <w:rsid w:val="00DC0DF4"/>
    <w:rsid w:val="00DC1538"/>
    <w:rsid w:val="00DC15F0"/>
    <w:rsid w:val="00DC186B"/>
    <w:rsid w:val="00DC18E8"/>
    <w:rsid w:val="00DC1B33"/>
    <w:rsid w:val="00DC1CDD"/>
    <w:rsid w:val="00DC1CE8"/>
    <w:rsid w:val="00DC1F2C"/>
    <w:rsid w:val="00DC205B"/>
    <w:rsid w:val="00DC21C2"/>
    <w:rsid w:val="00DC23B3"/>
    <w:rsid w:val="00DC2480"/>
    <w:rsid w:val="00DC26F9"/>
    <w:rsid w:val="00DC2713"/>
    <w:rsid w:val="00DC2B95"/>
    <w:rsid w:val="00DC2E67"/>
    <w:rsid w:val="00DC2F87"/>
    <w:rsid w:val="00DC3259"/>
    <w:rsid w:val="00DC3315"/>
    <w:rsid w:val="00DC34E8"/>
    <w:rsid w:val="00DC34EA"/>
    <w:rsid w:val="00DC38C2"/>
    <w:rsid w:val="00DC3B7D"/>
    <w:rsid w:val="00DC4177"/>
    <w:rsid w:val="00DC4473"/>
    <w:rsid w:val="00DC44AF"/>
    <w:rsid w:val="00DC44D0"/>
    <w:rsid w:val="00DC452A"/>
    <w:rsid w:val="00DC4DD4"/>
    <w:rsid w:val="00DC4F2A"/>
    <w:rsid w:val="00DC500C"/>
    <w:rsid w:val="00DC51DA"/>
    <w:rsid w:val="00DC51F1"/>
    <w:rsid w:val="00DC529E"/>
    <w:rsid w:val="00DC543D"/>
    <w:rsid w:val="00DC55CA"/>
    <w:rsid w:val="00DC5852"/>
    <w:rsid w:val="00DC58E1"/>
    <w:rsid w:val="00DC597A"/>
    <w:rsid w:val="00DC5A2F"/>
    <w:rsid w:val="00DC5C42"/>
    <w:rsid w:val="00DC5DFF"/>
    <w:rsid w:val="00DC5E30"/>
    <w:rsid w:val="00DC61A4"/>
    <w:rsid w:val="00DC6233"/>
    <w:rsid w:val="00DC6421"/>
    <w:rsid w:val="00DC6604"/>
    <w:rsid w:val="00DC66C1"/>
    <w:rsid w:val="00DC688C"/>
    <w:rsid w:val="00DC6980"/>
    <w:rsid w:val="00DC6D19"/>
    <w:rsid w:val="00DC6DA0"/>
    <w:rsid w:val="00DC7133"/>
    <w:rsid w:val="00DC7197"/>
    <w:rsid w:val="00DC752A"/>
    <w:rsid w:val="00DC7AC6"/>
    <w:rsid w:val="00DD02B0"/>
    <w:rsid w:val="00DD0500"/>
    <w:rsid w:val="00DD07FB"/>
    <w:rsid w:val="00DD097A"/>
    <w:rsid w:val="00DD0A7D"/>
    <w:rsid w:val="00DD0B11"/>
    <w:rsid w:val="00DD0D78"/>
    <w:rsid w:val="00DD0ECD"/>
    <w:rsid w:val="00DD0FAC"/>
    <w:rsid w:val="00DD113F"/>
    <w:rsid w:val="00DD11EB"/>
    <w:rsid w:val="00DD1490"/>
    <w:rsid w:val="00DD149C"/>
    <w:rsid w:val="00DD15DE"/>
    <w:rsid w:val="00DD1622"/>
    <w:rsid w:val="00DD1866"/>
    <w:rsid w:val="00DD19E6"/>
    <w:rsid w:val="00DD1BFF"/>
    <w:rsid w:val="00DD1CB7"/>
    <w:rsid w:val="00DD1F11"/>
    <w:rsid w:val="00DD2215"/>
    <w:rsid w:val="00DD2280"/>
    <w:rsid w:val="00DD230F"/>
    <w:rsid w:val="00DD2318"/>
    <w:rsid w:val="00DD2334"/>
    <w:rsid w:val="00DD251C"/>
    <w:rsid w:val="00DD26A7"/>
    <w:rsid w:val="00DD2A0C"/>
    <w:rsid w:val="00DD2D42"/>
    <w:rsid w:val="00DD2E81"/>
    <w:rsid w:val="00DD3075"/>
    <w:rsid w:val="00DD31A4"/>
    <w:rsid w:val="00DD31F8"/>
    <w:rsid w:val="00DD3210"/>
    <w:rsid w:val="00DD34C9"/>
    <w:rsid w:val="00DD3A3C"/>
    <w:rsid w:val="00DD3ACD"/>
    <w:rsid w:val="00DD3B28"/>
    <w:rsid w:val="00DD3F04"/>
    <w:rsid w:val="00DD3F1B"/>
    <w:rsid w:val="00DD4031"/>
    <w:rsid w:val="00DD409F"/>
    <w:rsid w:val="00DD41FD"/>
    <w:rsid w:val="00DD4364"/>
    <w:rsid w:val="00DD43B6"/>
    <w:rsid w:val="00DD44AE"/>
    <w:rsid w:val="00DD452C"/>
    <w:rsid w:val="00DD467D"/>
    <w:rsid w:val="00DD4A56"/>
    <w:rsid w:val="00DD4CDE"/>
    <w:rsid w:val="00DD4E93"/>
    <w:rsid w:val="00DD5008"/>
    <w:rsid w:val="00DD5195"/>
    <w:rsid w:val="00DD521D"/>
    <w:rsid w:val="00DD5254"/>
    <w:rsid w:val="00DD5274"/>
    <w:rsid w:val="00DD555B"/>
    <w:rsid w:val="00DD5C42"/>
    <w:rsid w:val="00DD5E5A"/>
    <w:rsid w:val="00DD615A"/>
    <w:rsid w:val="00DD6454"/>
    <w:rsid w:val="00DD65A8"/>
    <w:rsid w:val="00DD66E4"/>
    <w:rsid w:val="00DD6713"/>
    <w:rsid w:val="00DD68C5"/>
    <w:rsid w:val="00DD68F3"/>
    <w:rsid w:val="00DD6A8B"/>
    <w:rsid w:val="00DD6AD5"/>
    <w:rsid w:val="00DD6E6B"/>
    <w:rsid w:val="00DD6F93"/>
    <w:rsid w:val="00DD70D1"/>
    <w:rsid w:val="00DD716D"/>
    <w:rsid w:val="00DD72A9"/>
    <w:rsid w:val="00DD73B9"/>
    <w:rsid w:val="00DD7496"/>
    <w:rsid w:val="00DD749B"/>
    <w:rsid w:val="00DD74E2"/>
    <w:rsid w:val="00DD75BC"/>
    <w:rsid w:val="00DD75C9"/>
    <w:rsid w:val="00DD770F"/>
    <w:rsid w:val="00DD790A"/>
    <w:rsid w:val="00DD7A3D"/>
    <w:rsid w:val="00DD7B57"/>
    <w:rsid w:val="00DE00A8"/>
    <w:rsid w:val="00DE023C"/>
    <w:rsid w:val="00DE02B1"/>
    <w:rsid w:val="00DE0540"/>
    <w:rsid w:val="00DE0A38"/>
    <w:rsid w:val="00DE0BAD"/>
    <w:rsid w:val="00DE0CAD"/>
    <w:rsid w:val="00DE0E8A"/>
    <w:rsid w:val="00DE0FD5"/>
    <w:rsid w:val="00DE1223"/>
    <w:rsid w:val="00DE1489"/>
    <w:rsid w:val="00DE1520"/>
    <w:rsid w:val="00DE1588"/>
    <w:rsid w:val="00DE1624"/>
    <w:rsid w:val="00DE1699"/>
    <w:rsid w:val="00DE1B49"/>
    <w:rsid w:val="00DE1D35"/>
    <w:rsid w:val="00DE1FD9"/>
    <w:rsid w:val="00DE2359"/>
    <w:rsid w:val="00DE235A"/>
    <w:rsid w:val="00DE2510"/>
    <w:rsid w:val="00DE2543"/>
    <w:rsid w:val="00DE26E2"/>
    <w:rsid w:val="00DE2835"/>
    <w:rsid w:val="00DE29C4"/>
    <w:rsid w:val="00DE2A9A"/>
    <w:rsid w:val="00DE2B44"/>
    <w:rsid w:val="00DE2CF0"/>
    <w:rsid w:val="00DE2E7B"/>
    <w:rsid w:val="00DE31B3"/>
    <w:rsid w:val="00DE322F"/>
    <w:rsid w:val="00DE35CE"/>
    <w:rsid w:val="00DE36C5"/>
    <w:rsid w:val="00DE378B"/>
    <w:rsid w:val="00DE38D3"/>
    <w:rsid w:val="00DE38F8"/>
    <w:rsid w:val="00DE3A00"/>
    <w:rsid w:val="00DE3D04"/>
    <w:rsid w:val="00DE4A35"/>
    <w:rsid w:val="00DE4AB3"/>
    <w:rsid w:val="00DE4B37"/>
    <w:rsid w:val="00DE4DD7"/>
    <w:rsid w:val="00DE4FA4"/>
    <w:rsid w:val="00DE522C"/>
    <w:rsid w:val="00DE52BC"/>
    <w:rsid w:val="00DE52F2"/>
    <w:rsid w:val="00DE53C0"/>
    <w:rsid w:val="00DE5579"/>
    <w:rsid w:val="00DE59B4"/>
    <w:rsid w:val="00DE5F60"/>
    <w:rsid w:val="00DE5FDD"/>
    <w:rsid w:val="00DE64CF"/>
    <w:rsid w:val="00DE65C9"/>
    <w:rsid w:val="00DE66C3"/>
    <w:rsid w:val="00DE68C1"/>
    <w:rsid w:val="00DE690F"/>
    <w:rsid w:val="00DE693B"/>
    <w:rsid w:val="00DE69DB"/>
    <w:rsid w:val="00DE6AFB"/>
    <w:rsid w:val="00DE7003"/>
    <w:rsid w:val="00DE702C"/>
    <w:rsid w:val="00DE708A"/>
    <w:rsid w:val="00DE7226"/>
    <w:rsid w:val="00DE7230"/>
    <w:rsid w:val="00DE730A"/>
    <w:rsid w:val="00DE7847"/>
    <w:rsid w:val="00DE790A"/>
    <w:rsid w:val="00DE7A4F"/>
    <w:rsid w:val="00DE7C79"/>
    <w:rsid w:val="00DF0006"/>
    <w:rsid w:val="00DF017C"/>
    <w:rsid w:val="00DF01C8"/>
    <w:rsid w:val="00DF01D0"/>
    <w:rsid w:val="00DF0248"/>
    <w:rsid w:val="00DF0552"/>
    <w:rsid w:val="00DF08FC"/>
    <w:rsid w:val="00DF0B0A"/>
    <w:rsid w:val="00DF0C33"/>
    <w:rsid w:val="00DF0CDF"/>
    <w:rsid w:val="00DF0DDB"/>
    <w:rsid w:val="00DF0FFB"/>
    <w:rsid w:val="00DF10A8"/>
    <w:rsid w:val="00DF11E5"/>
    <w:rsid w:val="00DF133F"/>
    <w:rsid w:val="00DF168D"/>
    <w:rsid w:val="00DF16BF"/>
    <w:rsid w:val="00DF17C7"/>
    <w:rsid w:val="00DF1811"/>
    <w:rsid w:val="00DF19C6"/>
    <w:rsid w:val="00DF1BF1"/>
    <w:rsid w:val="00DF1E89"/>
    <w:rsid w:val="00DF20CC"/>
    <w:rsid w:val="00DF20EA"/>
    <w:rsid w:val="00DF230C"/>
    <w:rsid w:val="00DF245A"/>
    <w:rsid w:val="00DF2571"/>
    <w:rsid w:val="00DF258E"/>
    <w:rsid w:val="00DF263D"/>
    <w:rsid w:val="00DF2756"/>
    <w:rsid w:val="00DF2883"/>
    <w:rsid w:val="00DF28C5"/>
    <w:rsid w:val="00DF2D07"/>
    <w:rsid w:val="00DF2D45"/>
    <w:rsid w:val="00DF2D94"/>
    <w:rsid w:val="00DF2E94"/>
    <w:rsid w:val="00DF312A"/>
    <w:rsid w:val="00DF31CD"/>
    <w:rsid w:val="00DF32AD"/>
    <w:rsid w:val="00DF3436"/>
    <w:rsid w:val="00DF3A48"/>
    <w:rsid w:val="00DF3A78"/>
    <w:rsid w:val="00DF3CBA"/>
    <w:rsid w:val="00DF3EB5"/>
    <w:rsid w:val="00DF412A"/>
    <w:rsid w:val="00DF4640"/>
    <w:rsid w:val="00DF4915"/>
    <w:rsid w:val="00DF4A12"/>
    <w:rsid w:val="00DF4B21"/>
    <w:rsid w:val="00DF4CA5"/>
    <w:rsid w:val="00DF4D72"/>
    <w:rsid w:val="00DF4E35"/>
    <w:rsid w:val="00DF4EA2"/>
    <w:rsid w:val="00DF506F"/>
    <w:rsid w:val="00DF5419"/>
    <w:rsid w:val="00DF56BC"/>
    <w:rsid w:val="00DF57F7"/>
    <w:rsid w:val="00DF59CC"/>
    <w:rsid w:val="00DF5A0D"/>
    <w:rsid w:val="00DF5B27"/>
    <w:rsid w:val="00DF5B7A"/>
    <w:rsid w:val="00DF5C17"/>
    <w:rsid w:val="00DF6027"/>
    <w:rsid w:val="00DF617B"/>
    <w:rsid w:val="00DF659D"/>
    <w:rsid w:val="00DF65EB"/>
    <w:rsid w:val="00DF6807"/>
    <w:rsid w:val="00DF6ADA"/>
    <w:rsid w:val="00DF6D66"/>
    <w:rsid w:val="00DF6DAB"/>
    <w:rsid w:val="00DF6EB1"/>
    <w:rsid w:val="00DF6EEE"/>
    <w:rsid w:val="00DF6F03"/>
    <w:rsid w:val="00DF70F9"/>
    <w:rsid w:val="00DF738B"/>
    <w:rsid w:val="00DF73D3"/>
    <w:rsid w:val="00DF75EE"/>
    <w:rsid w:val="00DF7664"/>
    <w:rsid w:val="00DF77C7"/>
    <w:rsid w:val="00DF7999"/>
    <w:rsid w:val="00DF79F5"/>
    <w:rsid w:val="00DF7B88"/>
    <w:rsid w:val="00DF7DDF"/>
    <w:rsid w:val="00DF7E3C"/>
    <w:rsid w:val="00DF7F4E"/>
    <w:rsid w:val="00DF7FCC"/>
    <w:rsid w:val="00E001F4"/>
    <w:rsid w:val="00E002E0"/>
    <w:rsid w:val="00E003FC"/>
    <w:rsid w:val="00E00631"/>
    <w:rsid w:val="00E00656"/>
    <w:rsid w:val="00E00659"/>
    <w:rsid w:val="00E00971"/>
    <w:rsid w:val="00E00B89"/>
    <w:rsid w:val="00E00BAC"/>
    <w:rsid w:val="00E00C32"/>
    <w:rsid w:val="00E00EAE"/>
    <w:rsid w:val="00E00F4E"/>
    <w:rsid w:val="00E00F66"/>
    <w:rsid w:val="00E01537"/>
    <w:rsid w:val="00E01578"/>
    <w:rsid w:val="00E01606"/>
    <w:rsid w:val="00E01637"/>
    <w:rsid w:val="00E016DC"/>
    <w:rsid w:val="00E016FE"/>
    <w:rsid w:val="00E01739"/>
    <w:rsid w:val="00E01A43"/>
    <w:rsid w:val="00E01D12"/>
    <w:rsid w:val="00E01DBD"/>
    <w:rsid w:val="00E01F3E"/>
    <w:rsid w:val="00E02031"/>
    <w:rsid w:val="00E02144"/>
    <w:rsid w:val="00E02399"/>
    <w:rsid w:val="00E025B6"/>
    <w:rsid w:val="00E0265E"/>
    <w:rsid w:val="00E0284A"/>
    <w:rsid w:val="00E02943"/>
    <w:rsid w:val="00E029AD"/>
    <w:rsid w:val="00E029BB"/>
    <w:rsid w:val="00E02DB3"/>
    <w:rsid w:val="00E02DF3"/>
    <w:rsid w:val="00E02FC4"/>
    <w:rsid w:val="00E03236"/>
    <w:rsid w:val="00E03403"/>
    <w:rsid w:val="00E03609"/>
    <w:rsid w:val="00E03690"/>
    <w:rsid w:val="00E03995"/>
    <w:rsid w:val="00E03A0E"/>
    <w:rsid w:val="00E03AF5"/>
    <w:rsid w:val="00E03BC7"/>
    <w:rsid w:val="00E03C98"/>
    <w:rsid w:val="00E03DD6"/>
    <w:rsid w:val="00E03EEE"/>
    <w:rsid w:val="00E041EA"/>
    <w:rsid w:val="00E0446D"/>
    <w:rsid w:val="00E045C6"/>
    <w:rsid w:val="00E04661"/>
    <w:rsid w:val="00E04872"/>
    <w:rsid w:val="00E04B72"/>
    <w:rsid w:val="00E04C40"/>
    <w:rsid w:val="00E04C5C"/>
    <w:rsid w:val="00E04D0D"/>
    <w:rsid w:val="00E04FDD"/>
    <w:rsid w:val="00E04FF7"/>
    <w:rsid w:val="00E05025"/>
    <w:rsid w:val="00E05087"/>
    <w:rsid w:val="00E05098"/>
    <w:rsid w:val="00E053A6"/>
    <w:rsid w:val="00E053AC"/>
    <w:rsid w:val="00E05590"/>
    <w:rsid w:val="00E05663"/>
    <w:rsid w:val="00E058ED"/>
    <w:rsid w:val="00E059B2"/>
    <w:rsid w:val="00E0636C"/>
    <w:rsid w:val="00E063CF"/>
    <w:rsid w:val="00E0643F"/>
    <w:rsid w:val="00E0649F"/>
    <w:rsid w:val="00E06649"/>
    <w:rsid w:val="00E06841"/>
    <w:rsid w:val="00E069FF"/>
    <w:rsid w:val="00E06CE8"/>
    <w:rsid w:val="00E06CFB"/>
    <w:rsid w:val="00E06DBE"/>
    <w:rsid w:val="00E06E59"/>
    <w:rsid w:val="00E06F18"/>
    <w:rsid w:val="00E07005"/>
    <w:rsid w:val="00E07063"/>
    <w:rsid w:val="00E071B5"/>
    <w:rsid w:val="00E073D6"/>
    <w:rsid w:val="00E076D1"/>
    <w:rsid w:val="00E07799"/>
    <w:rsid w:val="00E0789A"/>
    <w:rsid w:val="00E079DC"/>
    <w:rsid w:val="00E07B2C"/>
    <w:rsid w:val="00E10019"/>
    <w:rsid w:val="00E1015D"/>
    <w:rsid w:val="00E101C3"/>
    <w:rsid w:val="00E101E7"/>
    <w:rsid w:val="00E102FD"/>
    <w:rsid w:val="00E106F1"/>
    <w:rsid w:val="00E1082E"/>
    <w:rsid w:val="00E1085D"/>
    <w:rsid w:val="00E109E7"/>
    <w:rsid w:val="00E10F92"/>
    <w:rsid w:val="00E11121"/>
    <w:rsid w:val="00E11144"/>
    <w:rsid w:val="00E11247"/>
    <w:rsid w:val="00E11251"/>
    <w:rsid w:val="00E11267"/>
    <w:rsid w:val="00E116C2"/>
    <w:rsid w:val="00E11740"/>
    <w:rsid w:val="00E119C3"/>
    <w:rsid w:val="00E11B77"/>
    <w:rsid w:val="00E11D16"/>
    <w:rsid w:val="00E12167"/>
    <w:rsid w:val="00E121FE"/>
    <w:rsid w:val="00E12692"/>
    <w:rsid w:val="00E12790"/>
    <w:rsid w:val="00E129A6"/>
    <w:rsid w:val="00E129FE"/>
    <w:rsid w:val="00E12A2C"/>
    <w:rsid w:val="00E12A3D"/>
    <w:rsid w:val="00E12AAD"/>
    <w:rsid w:val="00E12BF0"/>
    <w:rsid w:val="00E12D40"/>
    <w:rsid w:val="00E12FFB"/>
    <w:rsid w:val="00E13572"/>
    <w:rsid w:val="00E13839"/>
    <w:rsid w:val="00E13A42"/>
    <w:rsid w:val="00E13A82"/>
    <w:rsid w:val="00E13BB4"/>
    <w:rsid w:val="00E13BEA"/>
    <w:rsid w:val="00E13F00"/>
    <w:rsid w:val="00E13F71"/>
    <w:rsid w:val="00E14542"/>
    <w:rsid w:val="00E1470E"/>
    <w:rsid w:val="00E1471D"/>
    <w:rsid w:val="00E147C3"/>
    <w:rsid w:val="00E148E8"/>
    <w:rsid w:val="00E14A15"/>
    <w:rsid w:val="00E14A59"/>
    <w:rsid w:val="00E14CD9"/>
    <w:rsid w:val="00E14DFE"/>
    <w:rsid w:val="00E14E62"/>
    <w:rsid w:val="00E14E9A"/>
    <w:rsid w:val="00E14F6E"/>
    <w:rsid w:val="00E15145"/>
    <w:rsid w:val="00E15192"/>
    <w:rsid w:val="00E155FF"/>
    <w:rsid w:val="00E15761"/>
    <w:rsid w:val="00E1580E"/>
    <w:rsid w:val="00E1592C"/>
    <w:rsid w:val="00E159BD"/>
    <w:rsid w:val="00E15ACC"/>
    <w:rsid w:val="00E15B49"/>
    <w:rsid w:val="00E162C5"/>
    <w:rsid w:val="00E162D1"/>
    <w:rsid w:val="00E164EB"/>
    <w:rsid w:val="00E1657F"/>
    <w:rsid w:val="00E16840"/>
    <w:rsid w:val="00E168FE"/>
    <w:rsid w:val="00E16959"/>
    <w:rsid w:val="00E16A89"/>
    <w:rsid w:val="00E16B43"/>
    <w:rsid w:val="00E16C4D"/>
    <w:rsid w:val="00E16D45"/>
    <w:rsid w:val="00E16F7C"/>
    <w:rsid w:val="00E17005"/>
    <w:rsid w:val="00E170B5"/>
    <w:rsid w:val="00E17181"/>
    <w:rsid w:val="00E17186"/>
    <w:rsid w:val="00E173A2"/>
    <w:rsid w:val="00E17432"/>
    <w:rsid w:val="00E175AE"/>
    <w:rsid w:val="00E175E6"/>
    <w:rsid w:val="00E17618"/>
    <w:rsid w:val="00E17701"/>
    <w:rsid w:val="00E17925"/>
    <w:rsid w:val="00E17943"/>
    <w:rsid w:val="00E179F2"/>
    <w:rsid w:val="00E17BB2"/>
    <w:rsid w:val="00E17BD6"/>
    <w:rsid w:val="00E20063"/>
    <w:rsid w:val="00E201D0"/>
    <w:rsid w:val="00E20206"/>
    <w:rsid w:val="00E2036E"/>
    <w:rsid w:val="00E206BC"/>
    <w:rsid w:val="00E206CE"/>
    <w:rsid w:val="00E20738"/>
    <w:rsid w:val="00E20852"/>
    <w:rsid w:val="00E20947"/>
    <w:rsid w:val="00E2095C"/>
    <w:rsid w:val="00E2096F"/>
    <w:rsid w:val="00E20A36"/>
    <w:rsid w:val="00E20B1F"/>
    <w:rsid w:val="00E20C3D"/>
    <w:rsid w:val="00E20CE4"/>
    <w:rsid w:val="00E20E51"/>
    <w:rsid w:val="00E21396"/>
    <w:rsid w:val="00E2143D"/>
    <w:rsid w:val="00E21597"/>
    <w:rsid w:val="00E21685"/>
    <w:rsid w:val="00E2173B"/>
    <w:rsid w:val="00E217E5"/>
    <w:rsid w:val="00E218AA"/>
    <w:rsid w:val="00E219EE"/>
    <w:rsid w:val="00E21A64"/>
    <w:rsid w:val="00E21B1C"/>
    <w:rsid w:val="00E21B33"/>
    <w:rsid w:val="00E21BE2"/>
    <w:rsid w:val="00E21D6F"/>
    <w:rsid w:val="00E21F07"/>
    <w:rsid w:val="00E225BE"/>
    <w:rsid w:val="00E226B0"/>
    <w:rsid w:val="00E2280D"/>
    <w:rsid w:val="00E22904"/>
    <w:rsid w:val="00E22A5F"/>
    <w:rsid w:val="00E22ADF"/>
    <w:rsid w:val="00E2343D"/>
    <w:rsid w:val="00E239CB"/>
    <w:rsid w:val="00E23AA7"/>
    <w:rsid w:val="00E23B26"/>
    <w:rsid w:val="00E23C48"/>
    <w:rsid w:val="00E23E7B"/>
    <w:rsid w:val="00E2444F"/>
    <w:rsid w:val="00E2455F"/>
    <w:rsid w:val="00E245CF"/>
    <w:rsid w:val="00E24621"/>
    <w:rsid w:val="00E246A1"/>
    <w:rsid w:val="00E2480E"/>
    <w:rsid w:val="00E248F5"/>
    <w:rsid w:val="00E24A85"/>
    <w:rsid w:val="00E24BE2"/>
    <w:rsid w:val="00E24C46"/>
    <w:rsid w:val="00E24C8A"/>
    <w:rsid w:val="00E24E2C"/>
    <w:rsid w:val="00E25033"/>
    <w:rsid w:val="00E25205"/>
    <w:rsid w:val="00E2528C"/>
    <w:rsid w:val="00E2543D"/>
    <w:rsid w:val="00E25691"/>
    <w:rsid w:val="00E25728"/>
    <w:rsid w:val="00E25B45"/>
    <w:rsid w:val="00E25D02"/>
    <w:rsid w:val="00E2600A"/>
    <w:rsid w:val="00E26105"/>
    <w:rsid w:val="00E26366"/>
    <w:rsid w:val="00E265E5"/>
    <w:rsid w:val="00E26648"/>
    <w:rsid w:val="00E267B7"/>
    <w:rsid w:val="00E26A8A"/>
    <w:rsid w:val="00E26B38"/>
    <w:rsid w:val="00E26B43"/>
    <w:rsid w:val="00E26CE5"/>
    <w:rsid w:val="00E26DE2"/>
    <w:rsid w:val="00E26DFC"/>
    <w:rsid w:val="00E26F18"/>
    <w:rsid w:val="00E2704C"/>
    <w:rsid w:val="00E2715C"/>
    <w:rsid w:val="00E271B4"/>
    <w:rsid w:val="00E27346"/>
    <w:rsid w:val="00E2734A"/>
    <w:rsid w:val="00E27368"/>
    <w:rsid w:val="00E27371"/>
    <w:rsid w:val="00E273FF"/>
    <w:rsid w:val="00E27C21"/>
    <w:rsid w:val="00E27C37"/>
    <w:rsid w:val="00E27E08"/>
    <w:rsid w:val="00E27FDA"/>
    <w:rsid w:val="00E30148"/>
    <w:rsid w:val="00E309A8"/>
    <w:rsid w:val="00E30D42"/>
    <w:rsid w:val="00E30E82"/>
    <w:rsid w:val="00E30EE6"/>
    <w:rsid w:val="00E31033"/>
    <w:rsid w:val="00E31079"/>
    <w:rsid w:val="00E3126E"/>
    <w:rsid w:val="00E312BD"/>
    <w:rsid w:val="00E315E2"/>
    <w:rsid w:val="00E3160B"/>
    <w:rsid w:val="00E316E2"/>
    <w:rsid w:val="00E3175E"/>
    <w:rsid w:val="00E31A12"/>
    <w:rsid w:val="00E31EE8"/>
    <w:rsid w:val="00E31F5C"/>
    <w:rsid w:val="00E321EA"/>
    <w:rsid w:val="00E32285"/>
    <w:rsid w:val="00E32296"/>
    <w:rsid w:val="00E32396"/>
    <w:rsid w:val="00E3250E"/>
    <w:rsid w:val="00E325EC"/>
    <w:rsid w:val="00E326F1"/>
    <w:rsid w:val="00E32714"/>
    <w:rsid w:val="00E329FF"/>
    <w:rsid w:val="00E32C33"/>
    <w:rsid w:val="00E32E46"/>
    <w:rsid w:val="00E32FDD"/>
    <w:rsid w:val="00E332A0"/>
    <w:rsid w:val="00E33355"/>
    <w:rsid w:val="00E333F2"/>
    <w:rsid w:val="00E3349A"/>
    <w:rsid w:val="00E33573"/>
    <w:rsid w:val="00E3357F"/>
    <w:rsid w:val="00E335E4"/>
    <w:rsid w:val="00E338EC"/>
    <w:rsid w:val="00E33DDF"/>
    <w:rsid w:val="00E33FE8"/>
    <w:rsid w:val="00E341DE"/>
    <w:rsid w:val="00E343F1"/>
    <w:rsid w:val="00E34775"/>
    <w:rsid w:val="00E34777"/>
    <w:rsid w:val="00E34867"/>
    <w:rsid w:val="00E349EF"/>
    <w:rsid w:val="00E34E28"/>
    <w:rsid w:val="00E34E2B"/>
    <w:rsid w:val="00E34E5E"/>
    <w:rsid w:val="00E359D5"/>
    <w:rsid w:val="00E35C73"/>
    <w:rsid w:val="00E35F45"/>
    <w:rsid w:val="00E35FBF"/>
    <w:rsid w:val="00E360AC"/>
    <w:rsid w:val="00E3635A"/>
    <w:rsid w:val="00E3636A"/>
    <w:rsid w:val="00E3636E"/>
    <w:rsid w:val="00E3643D"/>
    <w:rsid w:val="00E36456"/>
    <w:rsid w:val="00E366D9"/>
    <w:rsid w:val="00E3676F"/>
    <w:rsid w:val="00E36792"/>
    <w:rsid w:val="00E368DB"/>
    <w:rsid w:val="00E36CA3"/>
    <w:rsid w:val="00E36ED0"/>
    <w:rsid w:val="00E37172"/>
    <w:rsid w:val="00E3717C"/>
    <w:rsid w:val="00E371CB"/>
    <w:rsid w:val="00E37259"/>
    <w:rsid w:val="00E375A3"/>
    <w:rsid w:val="00E375B8"/>
    <w:rsid w:val="00E375D6"/>
    <w:rsid w:val="00E375FD"/>
    <w:rsid w:val="00E37754"/>
    <w:rsid w:val="00E37948"/>
    <w:rsid w:val="00E37AA5"/>
    <w:rsid w:val="00E37ED6"/>
    <w:rsid w:val="00E37F91"/>
    <w:rsid w:val="00E401E2"/>
    <w:rsid w:val="00E4031C"/>
    <w:rsid w:val="00E40327"/>
    <w:rsid w:val="00E404F1"/>
    <w:rsid w:val="00E40B42"/>
    <w:rsid w:val="00E40E53"/>
    <w:rsid w:val="00E40EAE"/>
    <w:rsid w:val="00E40FD4"/>
    <w:rsid w:val="00E41082"/>
    <w:rsid w:val="00E411FE"/>
    <w:rsid w:val="00E4133C"/>
    <w:rsid w:val="00E415AF"/>
    <w:rsid w:val="00E4162A"/>
    <w:rsid w:val="00E416E3"/>
    <w:rsid w:val="00E41AFA"/>
    <w:rsid w:val="00E42034"/>
    <w:rsid w:val="00E42089"/>
    <w:rsid w:val="00E4210B"/>
    <w:rsid w:val="00E4217D"/>
    <w:rsid w:val="00E421A1"/>
    <w:rsid w:val="00E421BA"/>
    <w:rsid w:val="00E42903"/>
    <w:rsid w:val="00E42DD9"/>
    <w:rsid w:val="00E42F88"/>
    <w:rsid w:val="00E43075"/>
    <w:rsid w:val="00E431B4"/>
    <w:rsid w:val="00E435C2"/>
    <w:rsid w:val="00E43633"/>
    <w:rsid w:val="00E436BC"/>
    <w:rsid w:val="00E436BE"/>
    <w:rsid w:val="00E44418"/>
    <w:rsid w:val="00E444DC"/>
    <w:rsid w:val="00E44843"/>
    <w:rsid w:val="00E4497F"/>
    <w:rsid w:val="00E44E2D"/>
    <w:rsid w:val="00E44FC2"/>
    <w:rsid w:val="00E4500E"/>
    <w:rsid w:val="00E453E7"/>
    <w:rsid w:val="00E45533"/>
    <w:rsid w:val="00E455E5"/>
    <w:rsid w:val="00E45604"/>
    <w:rsid w:val="00E456C3"/>
    <w:rsid w:val="00E457A2"/>
    <w:rsid w:val="00E45878"/>
    <w:rsid w:val="00E45947"/>
    <w:rsid w:val="00E459BA"/>
    <w:rsid w:val="00E45E10"/>
    <w:rsid w:val="00E460A3"/>
    <w:rsid w:val="00E460EA"/>
    <w:rsid w:val="00E461AE"/>
    <w:rsid w:val="00E46209"/>
    <w:rsid w:val="00E467F2"/>
    <w:rsid w:val="00E46AD0"/>
    <w:rsid w:val="00E47073"/>
    <w:rsid w:val="00E47193"/>
    <w:rsid w:val="00E4725E"/>
    <w:rsid w:val="00E47262"/>
    <w:rsid w:val="00E475E7"/>
    <w:rsid w:val="00E47814"/>
    <w:rsid w:val="00E47AF3"/>
    <w:rsid w:val="00E47B1D"/>
    <w:rsid w:val="00E47DB0"/>
    <w:rsid w:val="00E500D2"/>
    <w:rsid w:val="00E50146"/>
    <w:rsid w:val="00E50235"/>
    <w:rsid w:val="00E502EA"/>
    <w:rsid w:val="00E50321"/>
    <w:rsid w:val="00E50518"/>
    <w:rsid w:val="00E50702"/>
    <w:rsid w:val="00E507AE"/>
    <w:rsid w:val="00E50A69"/>
    <w:rsid w:val="00E51050"/>
    <w:rsid w:val="00E510D1"/>
    <w:rsid w:val="00E5123C"/>
    <w:rsid w:val="00E5165F"/>
    <w:rsid w:val="00E5170C"/>
    <w:rsid w:val="00E51839"/>
    <w:rsid w:val="00E51A1F"/>
    <w:rsid w:val="00E51CAF"/>
    <w:rsid w:val="00E51E96"/>
    <w:rsid w:val="00E51FAE"/>
    <w:rsid w:val="00E52363"/>
    <w:rsid w:val="00E5236F"/>
    <w:rsid w:val="00E523D9"/>
    <w:rsid w:val="00E52528"/>
    <w:rsid w:val="00E525B7"/>
    <w:rsid w:val="00E526D4"/>
    <w:rsid w:val="00E5272A"/>
    <w:rsid w:val="00E52794"/>
    <w:rsid w:val="00E527C6"/>
    <w:rsid w:val="00E52969"/>
    <w:rsid w:val="00E52A18"/>
    <w:rsid w:val="00E52A24"/>
    <w:rsid w:val="00E52A3E"/>
    <w:rsid w:val="00E52A59"/>
    <w:rsid w:val="00E52BCE"/>
    <w:rsid w:val="00E52C89"/>
    <w:rsid w:val="00E52CBF"/>
    <w:rsid w:val="00E52D45"/>
    <w:rsid w:val="00E52DCE"/>
    <w:rsid w:val="00E530EB"/>
    <w:rsid w:val="00E532D8"/>
    <w:rsid w:val="00E5345B"/>
    <w:rsid w:val="00E5358D"/>
    <w:rsid w:val="00E5367C"/>
    <w:rsid w:val="00E53706"/>
    <w:rsid w:val="00E537A2"/>
    <w:rsid w:val="00E53862"/>
    <w:rsid w:val="00E538E5"/>
    <w:rsid w:val="00E53A92"/>
    <w:rsid w:val="00E53C06"/>
    <w:rsid w:val="00E53CCD"/>
    <w:rsid w:val="00E54223"/>
    <w:rsid w:val="00E5441A"/>
    <w:rsid w:val="00E544B3"/>
    <w:rsid w:val="00E54506"/>
    <w:rsid w:val="00E5465E"/>
    <w:rsid w:val="00E547BC"/>
    <w:rsid w:val="00E54808"/>
    <w:rsid w:val="00E5485B"/>
    <w:rsid w:val="00E54A0D"/>
    <w:rsid w:val="00E54A2D"/>
    <w:rsid w:val="00E54A5E"/>
    <w:rsid w:val="00E54CBF"/>
    <w:rsid w:val="00E54D76"/>
    <w:rsid w:val="00E5528F"/>
    <w:rsid w:val="00E55348"/>
    <w:rsid w:val="00E554E0"/>
    <w:rsid w:val="00E557C9"/>
    <w:rsid w:val="00E557EA"/>
    <w:rsid w:val="00E55AC1"/>
    <w:rsid w:val="00E55E0B"/>
    <w:rsid w:val="00E55E5A"/>
    <w:rsid w:val="00E55EEA"/>
    <w:rsid w:val="00E56027"/>
    <w:rsid w:val="00E56292"/>
    <w:rsid w:val="00E562FF"/>
    <w:rsid w:val="00E5643E"/>
    <w:rsid w:val="00E5643F"/>
    <w:rsid w:val="00E56446"/>
    <w:rsid w:val="00E56B01"/>
    <w:rsid w:val="00E57320"/>
    <w:rsid w:val="00E5735D"/>
    <w:rsid w:val="00E573F2"/>
    <w:rsid w:val="00E574C8"/>
    <w:rsid w:val="00E57665"/>
    <w:rsid w:val="00E57754"/>
    <w:rsid w:val="00E579D2"/>
    <w:rsid w:val="00E57D00"/>
    <w:rsid w:val="00E57E79"/>
    <w:rsid w:val="00E57FB1"/>
    <w:rsid w:val="00E60099"/>
    <w:rsid w:val="00E60220"/>
    <w:rsid w:val="00E6023B"/>
    <w:rsid w:val="00E606F3"/>
    <w:rsid w:val="00E60717"/>
    <w:rsid w:val="00E60757"/>
    <w:rsid w:val="00E6081F"/>
    <w:rsid w:val="00E60D45"/>
    <w:rsid w:val="00E60EC2"/>
    <w:rsid w:val="00E610B9"/>
    <w:rsid w:val="00E611AD"/>
    <w:rsid w:val="00E611C6"/>
    <w:rsid w:val="00E612CF"/>
    <w:rsid w:val="00E614F5"/>
    <w:rsid w:val="00E6165C"/>
    <w:rsid w:val="00E61857"/>
    <w:rsid w:val="00E61991"/>
    <w:rsid w:val="00E619C7"/>
    <w:rsid w:val="00E619D0"/>
    <w:rsid w:val="00E61AD6"/>
    <w:rsid w:val="00E61AEA"/>
    <w:rsid w:val="00E61BFE"/>
    <w:rsid w:val="00E61D45"/>
    <w:rsid w:val="00E61D5C"/>
    <w:rsid w:val="00E61F0E"/>
    <w:rsid w:val="00E6209A"/>
    <w:rsid w:val="00E620CB"/>
    <w:rsid w:val="00E62408"/>
    <w:rsid w:val="00E6248F"/>
    <w:rsid w:val="00E624A9"/>
    <w:rsid w:val="00E627D3"/>
    <w:rsid w:val="00E628B1"/>
    <w:rsid w:val="00E6293B"/>
    <w:rsid w:val="00E62CCB"/>
    <w:rsid w:val="00E62D7F"/>
    <w:rsid w:val="00E62EFF"/>
    <w:rsid w:val="00E62F0D"/>
    <w:rsid w:val="00E6333A"/>
    <w:rsid w:val="00E633E1"/>
    <w:rsid w:val="00E63709"/>
    <w:rsid w:val="00E637DC"/>
    <w:rsid w:val="00E63C21"/>
    <w:rsid w:val="00E63CA3"/>
    <w:rsid w:val="00E63DDE"/>
    <w:rsid w:val="00E63EE1"/>
    <w:rsid w:val="00E63FA1"/>
    <w:rsid w:val="00E63FBC"/>
    <w:rsid w:val="00E6418E"/>
    <w:rsid w:val="00E6482D"/>
    <w:rsid w:val="00E6488A"/>
    <w:rsid w:val="00E6497E"/>
    <w:rsid w:val="00E64B66"/>
    <w:rsid w:val="00E64B88"/>
    <w:rsid w:val="00E64BA3"/>
    <w:rsid w:val="00E64EE5"/>
    <w:rsid w:val="00E64F3D"/>
    <w:rsid w:val="00E650C2"/>
    <w:rsid w:val="00E6529F"/>
    <w:rsid w:val="00E6541C"/>
    <w:rsid w:val="00E65573"/>
    <w:rsid w:val="00E65591"/>
    <w:rsid w:val="00E657EB"/>
    <w:rsid w:val="00E6595F"/>
    <w:rsid w:val="00E65A08"/>
    <w:rsid w:val="00E65B90"/>
    <w:rsid w:val="00E65BD2"/>
    <w:rsid w:val="00E65D45"/>
    <w:rsid w:val="00E65D92"/>
    <w:rsid w:val="00E660BD"/>
    <w:rsid w:val="00E66102"/>
    <w:rsid w:val="00E6649E"/>
    <w:rsid w:val="00E66643"/>
    <w:rsid w:val="00E666A9"/>
    <w:rsid w:val="00E666BB"/>
    <w:rsid w:val="00E66898"/>
    <w:rsid w:val="00E66BDD"/>
    <w:rsid w:val="00E66C7B"/>
    <w:rsid w:val="00E66CEB"/>
    <w:rsid w:val="00E66D54"/>
    <w:rsid w:val="00E66DCD"/>
    <w:rsid w:val="00E66DDE"/>
    <w:rsid w:val="00E6700E"/>
    <w:rsid w:val="00E67167"/>
    <w:rsid w:val="00E6742D"/>
    <w:rsid w:val="00E67521"/>
    <w:rsid w:val="00E67803"/>
    <w:rsid w:val="00E6782C"/>
    <w:rsid w:val="00E67A6A"/>
    <w:rsid w:val="00E67B52"/>
    <w:rsid w:val="00E67F1A"/>
    <w:rsid w:val="00E67FB6"/>
    <w:rsid w:val="00E7004D"/>
    <w:rsid w:val="00E701AC"/>
    <w:rsid w:val="00E70255"/>
    <w:rsid w:val="00E7040A"/>
    <w:rsid w:val="00E70693"/>
    <w:rsid w:val="00E706CD"/>
    <w:rsid w:val="00E706FB"/>
    <w:rsid w:val="00E707FE"/>
    <w:rsid w:val="00E70820"/>
    <w:rsid w:val="00E70C85"/>
    <w:rsid w:val="00E70D1A"/>
    <w:rsid w:val="00E70E44"/>
    <w:rsid w:val="00E71377"/>
    <w:rsid w:val="00E717B9"/>
    <w:rsid w:val="00E719C3"/>
    <w:rsid w:val="00E71F6E"/>
    <w:rsid w:val="00E72169"/>
    <w:rsid w:val="00E72174"/>
    <w:rsid w:val="00E72398"/>
    <w:rsid w:val="00E7253B"/>
    <w:rsid w:val="00E725F4"/>
    <w:rsid w:val="00E72615"/>
    <w:rsid w:val="00E72780"/>
    <w:rsid w:val="00E72895"/>
    <w:rsid w:val="00E729F1"/>
    <w:rsid w:val="00E72C68"/>
    <w:rsid w:val="00E72D89"/>
    <w:rsid w:val="00E72F6F"/>
    <w:rsid w:val="00E72F92"/>
    <w:rsid w:val="00E7300C"/>
    <w:rsid w:val="00E73201"/>
    <w:rsid w:val="00E73395"/>
    <w:rsid w:val="00E733F1"/>
    <w:rsid w:val="00E738E0"/>
    <w:rsid w:val="00E73A04"/>
    <w:rsid w:val="00E73AF5"/>
    <w:rsid w:val="00E73B0A"/>
    <w:rsid w:val="00E73CC5"/>
    <w:rsid w:val="00E73E99"/>
    <w:rsid w:val="00E73EB1"/>
    <w:rsid w:val="00E7412A"/>
    <w:rsid w:val="00E74274"/>
    <w:rsid w:val="00E74398"/>
    <w:rsid w:val="00E74499"/>
    <w:rsid w:val="00E746D9"/>
    <w:rsid w:val="00E746EB"/>
    <w:rsid w:val="00E74B70"/>
    <w:rsid w:val="00E74BA8"/>
    <w:rsid w:val="00E74BEB"/>
    <w:rsid w:val="00E74CF9"/>
    <w:rsid w:val="00E74D3D"/>
    <w:rsid w:val="00E7519A"/>
    <w:rsid w:val="00E7533F"/>
    <w:rsid w:val="00E7543C"/>
    <w:rsid w:val="00E7547A"/>
    <w:rsid w:val="00E75684"/>
    <w:rsid w:val="00E7569C"/>
    <w:rsid w:val="00E756AE"/>
    <w:rsid w:val="00E756DA"/>
    <w:rsid w:val="00E7586C"/>
    <w:rsid w:val="00E75879"/>
    <w:rsid w:val="00E759EA"/>
    <w:rsid w:val="00E75AC1"/>
    <w:rsid w:val="00E75FBD"/>
    <w:rsid w:val="00E75FE5"/>
    <w:rsid w:val="00E761AE"/>
    <w:rsid w:val="00E76243"/>
    <w:rsid w:val="00E762E6"/>
    <w:rsid w:val="00E764DC"/>
    <w:rsid w:val="00E76578"/>
    <w:rsid w:val="00E76799"/>
    <w:rsid w:val="00E76828"/>
    <w:rsid w:val="00E769B4"/>
    <w:rsid w:val="00E76A79"/>
    <w:rsid w:val="00E76A9F"/>
    <w:rsid w:val="00E76ABE"/>
    <w:rsid w:val="00E76ACA"/>
    <w:rsid w:val="00E76AE1"/>
    <w:rsid w:val="00E76B13"/>
    <w:rsid w:val="00E76CB3"/>
    <w:rsid w:val="00E771C5"/>
    <w:rsid w:val="00E7736D"/>
    <w:rsid w:val="00E773A9"/>
    <w:rsid w:val="00E77510"/>
    <w:rsid w:val="00E77688"/>
    <w:rsid w:val="00E7785F"/>
    <w:rsid w:val="00E77897"/>
    <w:rsid w:val="00E778D2"/>
    <w:rsid w:val="00E77955"/>
    <w:rsid w:val="00E77A04"/>
    <w:rsid w:val="00E77C2D"/>
    <w:rsid w:val="00E77C88"/>
    <w:rsid w:val="00E77D55"/>
    <w:rsid w:val="00E77F85"/>
    <w:rsid w:val="00E80089"/>
    <w:rsid w:val="00E80139"/>
    <w:rsid w:val="00E801B7"/>
    <w:rsid w:val="00E802A5"/>
    <w:rsid w:val="00E802BE"/>
    <w:rsid w:val="00E803B9"/>
    <w:rsid w:val="00E8055E"/>
    <w:rsid w:val="00E805EA"/>
    <w:rsid w:val="00E807DA"/>
    <w:rsid w:val="00E80805"/>
    <w:rsid w:val="00E809C4"/>
    <w:rsid w:val="00E80B27"/>
    <w:rsid w:val="00E8115B"/>
    <w:rsid w:val="00E812DD"/>
    <w:rsid w:val="00E81461"/>
    <w:rsid w:val="00E8162F"/>
    <w:rsid w:val="00E81AFB"/>
    <w:rsid w:val="00E81C1A"/>
    <w:rsid w:val="00E81C5D"/>
    <w:rsid w:val="00E81E0F"/>
    <w:rsid w:val="00E8205C"/>
    <w:rsid w:val="00E82141"/>
    <w:rsid w:val="00E82584"/>
    <w:rsid w:val="00E82938"/>
    <w:rsid w:val="00E82BF8"/>
    <w:rsid w:val="00E82C11"/>
    <w:rsid w:val="00E82E60"/>
    <w:rsid w:val="00E82ECB"/>
    <w:rsid w:val="00E82FA5"/>
    <w:rsid w:val="00E8307B"/>
    <w:rsid w:val="00E83532"/>
    <w:rsid w:val="00E83614"/>
    <w:rsid w:val="00E839BB"/>
    <w:rsid w:val="00E83B8C"/>
    <w:rsid w:val="00E83C22"/>
    <w:rsid w:val="00E83E09"/>
    <w:rsid w:val="00E83EC7"/>
    <w:rsid w:val="00E84045"/>
    <w:rsid w:val="00E84090"/>
    <w:rsid w:val="00E84101"/>
    <w:rsid w:val="00E841AA"/>
    <w:rsid w:val="00E8479B"/>
    <w:rsid w:val="00E849D7"/>
    <w:rsid w:val="00E84A05"/>
    <w:rsid w:val="00E84B04"/>
    <w:rsid w:val="00E84D44"/>
    <w:rsid w:val="00E8515F"/>
    <w:rsid w:val="00E85193"/>
    <w:rsid w:val="00E851E8"/>
    <w:rsid w:val="00E8523C"/>
    <w:rsid w:val="00E85291"/>
    <w:rsid w:val="00E85577"/>
    <w:rsid w:val="00E859E9"/>
    <w:rsid w:val="00E85B37"/>
    <w:rsid w:val="00E85CB4"/>
    <w:rsid w:val="00E85CDB"/>
    <w:rsid w:val="00E85CFF"/>
    <w:rsid w:val="00E85D0E"/>
    <w:rsid w:val="00E85DAD"/>
    <w:rsid w:val="00E85F0D"/>
    <w:rsid w:val="00E85F40"/>
    <w:rsid w:val="00E860CD"/>
    <w:rsid w:val="00E860D1"/>
    <w:rsid w:val="00E861A9"/>
    <w:rsid w:val="00E862C8"/>
    <w:rsid w:val="00E862E9"/>
    <w:rsid w:val="00E862EB"/>
    <w:rsid w:val="00E8633E"/>
    <w:rsid w:val="00E8666B"/>
    <w:rsid w:val="00E869E4"/>
    <w:rsid w:val="00E86E66"/>
    <w:rsid w:val="00E86FE1"/>
    <w:rsid w:val="00E8710C"/>
    <w:rsid w:val="00E8737C"/>
    <w:rsid w:val="00E873B4"/>
    <w:rsid w:val="00E873EA"/>
    <w:rsid w:val="00E8744E"/>
    <w:rsid w:val="00E8774B"/>
    <w:rsid w:val="00E878BC"/>
    <w:rsid w:val="00E878FD"/>
    <w:rsid w:val="00E87A62"/>
    <w:rsid w:val="00E87AD1"/>
    <w:rsid w:val="00E87C31"/>
    <w:rsid w:val="00E87C3A"/>
    <w:rsid w:val="00E87EE7"/>
    <w:rsid w:val="00E87F68"/>
    <w:rsid w:val="00E87FAC"/>
    <w:rsid w:val="00E90163"/>
    <w:rsid w:val="00E901EE"/>
    <w:rsid w:val="00E903FE"/>
    <w:rsid w:val="00E9042C"/>
    <w:rsid w:val="00E904FB"/>
    <w:rsid w:val="00E9064C"/>
    <w:rsid w:val="00E90823"/>
    <w:rsid w:val="00E90AA0"/>
    <w:rsid w:val="00E90BEA"/>
    <w:rsid w:val="00E90DA9"/>
    <w:rsid w:val="00E90FFE"/>
    <w:rsid w:val="00E9129C"/>
    <w:rsid w:val="00E91502"/>
    <w:rsid w:val="00E915F0"/>
    <w:rsid w:val="00E9185B"/>
    <w:rsid w:val="00E9191E"/>
    <w:rsid w:val="00E91945"/>
    <w:rsid w:val="00E91AB3"/>
    <w:rsid w:val="00E91BE2"/>
    <w:rsid w:val="00E92089"/>
    <w:rsid w:val="00E920AF"/>
    <w:rsid w:val="00E922D8"/>
    <w:rsid w:val="00E92581"/>
    <w:rsid w:val="00E9258E"/>
    <w:rsid w:val="00E927CE"/>
    <w:rsid w:val="00E927E3"/>
    <w:rsid w:val="00E92853"/>
    <w:rsid w:val="00E9285F"/>
    <w:rsid w:val="00E92CBC"/>
    <w:rsid w:val="00E92EE4"/>
    <w:rsid w:val="00E9332D"/>
    <w:rsid w:val="00E93377"/>
    <w:rsid w:val="00E9339C"/>
    <w:rsid w:val="00E9344A"/>
    <w:rsid w:val="00E937CA"/>
    <w:rsid w:val="00E938DD"/>
    <w:rsid w:val="00E9397F"/>
    <w:rsid w:val="00E93A3D"/>
    <w:rsid w:val="00E93B19"/>
    <w:rsid w:val="00E93B98"/>
    <w:rsid w:val="00E93ED5"/>
    <w:rsid w:val="00E93F03"/>
    <w:rsid w:val="00E94234"/>
    <w:rsid w:val="00E9438C"/>
    <w:rsid w:val="00E9447A"/>
    <w:rsid w:val="00E946D1"/>
    <w:rsid w:val="00E94853"/>
    <w:rsid w:val="00E94AAA"/>
    <w:rsid w:val="00E94EF0"/>
    <w:rsid w:val="00E94F38"/>
    <w:rsid w:val="00E94F3C"/>
    <w:rsid w:val="00E94FCD"/>
    <w:rsid w:val="00E95072"/>
    <w:rsid w:val="00E95081"/>
    <w:rsid w:val="00E9511B"/>
    <w:rsid w:val="00E951C2"/>
    <w:rsid w:val="00E95358"/>
    <w:rsid w:val="00E953DD"/>
    <w:rsid w:val="00E95973"/>
    <w:rsid w:val="00E95B97"/>
    <w:rsid w:val="00E95D14"/>
    <w:rsid w:val="00E95DF7"/>
    <w:rsid w:val="00E95E1B"/>
    <w:rsid w:val="00E95EFD"/>
    <w:rsid w:val="00E95F8E"/>
    <w:rsid w:val="00E9628B"/>
    <w:rsid w:val="00E965A7"/>
    <w:rsid w:val="00E966AF"/>
    <w:rsid w:val="00E9676C"/>
    <w:rsid w:val="00E9683F"/>
    <w:rsid w:val="00E969B0"/>
    <w:rsid w:val="00E96AEC"/>
    <w:rsid w:val="00E96E5A"/>
    <w:rsid w:val="00E96FEC"/>
    <w:rsid w:val="00E97034"/>
    <w:rsid w:val="00E9704C"/>
    <w:rsid w:val="00E97126"/>
    <w:rsid w:val="00E972ED"/>
    <w:rsid w:val="00E973BD"/>
    <w:rsid w:val="00E9745C"/>
    <w:rsid w:val="00E97584"/>
    <w:rsid w:val="00E97600"/>
    <w:rsid w:val="00E976F9"/>
    <w:rsid w:val="00E97B28"/>
    <w:rsid w:val="00E97E61"/>
    <w:rsid w:val="00EA008B"/>
    <w:rsid w:val="00EA0097"/>
    <w:rsid w:val="00EA00DA"/>
    <w:rsid w:val="00EA0179"/>
    <w:rsid w:val="00EA026C"/>
    <w:rsid w:val="00EA034F"/>
    <w:rsid w:val="00EA05A1"/>
    <w:rsid w:val="00EA0A98"/>
    <w:rsid w:val="00EA0B1B"/>
    <w:rsid w:val="00EA0C68"/>
    <w:rsid w:val="00EA1169"/>
    <w:rsid w:val="00EA1263"/>
    <w:rsid w:val="00EA1300"/>
    <w:rsid w:val="00EA14EA"/>
    <w:rsid w:val="00EA1518"/>
    <w:rsid w:val="00EA1545"/>
    <w:rsid w:val="00EA1AB5"/>
    <w:rsid w:val="00EA1BCC"/>
    <w:rsid w:val="00EA1DFD"/>
    <w:rsid w:val="00EA1F9D"/>
    <w:rsid w:val="00EA1FEA"/>
    <w:rsid w:val="00EA207A"/>
    <w:rsid w:val="00EA20CB"/>
    <w:rsid w:val="00EA217A"/>
    <w:rsid w:val="00EA22FA"/>
    <w:rsid w:val="00EA2444"/>
    <w:rsid w:val="00EA2505"/>
    <w:rsid w:val="00EA251A"/>
    <w:rsid w:val="00EA25E8"/>
    <w:rsid w:val="00EA2810"/>
    <w:rsid w:val="00EA28E1"/>
    <w:rsid w:val="00EA291F"/>
    <w:rsid w:val="00EA2B33"/>
    <w:rsid w:val="00EA2D80"/>
    <w:rsid w:val="00EA2ED3"/>
    <w:rsid w:val="00EA32C2"/>
    <w:rsid w:val="00EA32E3"/>
    <w:rsid w:val="00EA3337"/>
    <w:rsid w:val="00EA3398"/>
    <w:rsid w:val="00EA3585"/>
    <w:rsid w:val="00EA3919"/>
    <w:rsid w:val="00EA3A53"/>
    <w:rsid w:val="00EA3C1B"/>
    <w:rsid w:val="00EA3F5C"/>
    <w:rsid w:val="00EA3F7E"/>
    <w:rsid w:val="00EA419E"/>
    <w:rsid w:val="00EA43AE"/>
    <w:rsid w:val="00EA458B"/>
    <w:rsid w:val="00EA4612"/>
    <w:rsid w:val="00EA46EC"/>
    <w:rsid w:val="00EA476C"/>
    <w:rsid w:val="00EA481D"/>
    <w:rsid w:val="00EA489B"/>
    <w:rsid w:val="00EA4953"/>
    <w:rsid w:val="00EA4ADB"/>
    <w:rsid w:val="00EA4C32"/>
    <w:rsid w:val="00EA4E47"/>
    <w:rsid w:val="00EA5016"/>
    <w:rsid w:val="00EA50FA"/>
    <w:rsid w:val="00EA540F"/>
    <w:rsid w:val="00EA56B0"/>
    <w:rsid w:val="00EA570A"/>
    <w:rsid w:val="00EA58D7"/>
    <w:rsid w:val="00EA5CA2"/>
    <w:rsid w:val="00EA5CD7"/>
    <w:rsid w:val="00EA5E41"/>
    <w:rsid w:val="00EA5F4A"/>
    <w:rsid w:val="00EA60BF"/>
    <w:rsid w:val="00EA61B2"/>
    <w:rsid w:val="00EA62FA"/>
    <w:rsid w:val="00EA6363"/>
    <w:rsid w:val="00EA644C"/>
    <w:rsid w:val="00EA654E"/>
    <w:rsid w:val="00EA6E6F"/>
    <w:rsid w:val="00EA6EAE"/>
    <w:rsid w:val="00EA6F6D"/>
    <w:rsid w:val="00EA71BF"/>
    <w:rsid w:val="00EA754C"/>
    <w:rsid w:val="00EA76F3"/>
    <w:rsid w:val="00EA7A77"/>
    <w:rsid w:val="00EA7F4C"/>
    <w:rsid w:val="00EB01CE"/>
    <w:rsid w:val="00EB02B3"/>
    <w:rsid w:val="00EB0328"/>
    <w:rsid w:val="00EB036E"/>
    <w:rsid w:val="00EB03FC"/>
    <w:rsid w:val="00EB0539"/>
    <w:rsid w:val="00EB053C"/>
    <w:rsid w:val="00EB06B3"/>
    <w:rsid w:val="00EB0850"/>
    <w:rsid w:val="00EB09D0"/>
    <w:rsid w:val="00EB09E2"/>
    <w:rsid w:val="00EB0A20"/>
    <w:rsid w:val="00EB0B0B"/>
    <w:rsid w:val="00EB0C0E"/>
    <w:rsid w:val="00EB0D02"/>
    <w:rsid w:val="00EB0D04"/>
    <w:rsid w:val="00EB0D1A"/>
    <w:rsid w:val="00EB0E0F"/>
    <w:rsid w:val="00EB12CC"/>
    <w:rsid w:val="00EB14E8"/>
    <w:rsid w:val="00EB179B"/>
    <w:rsid w:val="00EB1803"/>
    <w:rsid w:val="00EB19D9"/>
    <w:rsid w:val="00EB1A92"/>
    <w:rsid w:val="00EB1B24"/>
    <w:rsid w:val="00EB1D3C"/>
    <w:rsid w:val="00EB1E4F"/>
    <w:rsid w:val="00EB1EB0"/>
    <w:rsid w:val="00EB209F"/>
    <w:rsid w:val="00EB2296"/>
    <w:rsid w:val="00EB25B0"/>
    <w:rsid w:val="00EB26BA"/>
    <w:rsid w:val="00EB2814"/>
    <w:rsid w:val="00EB2931"/>
    <w:rsid w:val="00EB29A9"/>
    <w:rsid w:val="00EB2A2F"/>
    <w:rsid w:val="00EB2A32"/>
    <w:rsid w:val="00EB2A4E"/>
    <w:rsid w:val="00EB2ABA"/>
    <w:rsid w:val="00EB2ACF"/>
    <w:rsid w:val="00EB2BCF"/>
    <w:rsid w:val="00EB2BF4"/>
    <w:rsid w:val="00EB2F81"/>
    <w:rsid w:val="00EB2FBB"/>
    <w:rsid w:val="00EB3072"/>
    <w:rsid w:val="00EB335D"/>
    <w:rsid w:val="00EB357B"/>
    <w:rsid w:val="00EB35DB"/>
    <w:rsid w:val="00EB380A"/>
    <w:rsid w:val="00EB39D9"/>
    <w:rsid w:val="00EB3AD1"/>
    <w:rsid w:val="00EB3B4A"/>
    <w:rsid w:val="00EB3C71"/>
    <w:rsid w:val="00EB3CEA"/>
    <w:rsid w:val="00EB3DF7"/>
    <w:rsid w:val="00EB3F59"/>
    <w:rsid w:val="00EB402C"/>
    <w:rsid w:val="00EB443E"/>
    <w:rsid w:val="00EB4545"/>
    <w:rsid w:val="00EB47B8"/>
    <w:rsid w:val="00EB47BF"/>
    <w:rsid w:val="00EB48F3"/>
    <w:rsid w:val="00EB49E9"/>
    <w:rsid w:val="00EB4C44"/>
    <w:rsid w:val="00EB4DC8"/>
    <w:rsid w:val="00EB4DE8"/>
    <w:rsid w:val="00EB4FD6"/>
    <w:rsid w:val="00EB50AB"/>
    <w:rsid w:val="00EB5123"/>
    <w:rsid w:val="00EB5226"/>
    <w:rsid w:val="00EB54D1"/>
    <w:rsid w:val="00EB5724"/>
    <w:rsid w:val="00EB596B"/>
    <w:rsid w:val="00EB5BE9"/>
    <w:rsid w:val="00EB5D6C"/>
    <w:rsid w:val="00EB5DE2"/>
    <w:rsid w:val="00EB5EB1"/>
    <w:rsid w:val="00EB5F6F"/>
    <w:rsid w:val="00EB61B1"/>
    <w:rsid w:val="00EB620B"/>
    <w:rsid w:val="00EB656F"/>
    <w:rsid w:val="00EB673B"/>
    <w:rsid w:val="00EB6D89"/>
    <w:rsid w:val="00EB713F"/>
    <w:rsid w:val="00EB7152"/>
    <w:rsid w:val="00EB7287"/>
    <w:rsid w:val="00EB72A9"/>
    <w:rsid w:val="00EB73AB"/>
    <w:rsid w:val="00EB7409"/>
    <w:rsid w:val="00EB74AD"/>
    <w:rsid w:val="00EB74F6"/>
    <w:rsid w:val="00EB7768"/>
    <w:rsid w:val="00EB77B1"/>
    <w:rsid w:val="00EB7B2B"/>
    <w:rsid w:val="00EB7D41"/>
    <w:rsid w:val="00EB7E47"/>
    <w:rsid w:val="00EB7EDB"/>
    <w:rsid w:val="00EB7FD5"/>
    <w:rsid w:val="00EC002E"/>
    <w:rsid w:val="00EC00D6"/>
    <w:rsid w:val="00EC027C"/>
    <w:rsid w:val="00EC02CA"/>
    <w:rsid w:val="00EC0341"/>
    <w:rsid w:val="00EC03BB"/>
    <w:rsid w:val="00EC03D5"/>
    <w:rsid w:val="00EC048A"/>
    <w:rsid w:val="00EC04C7"/>
    <w:rsid w:val="00EC08CB"/>
    <w:rsid w:val="00EC08EF"/>
    <w:rsid w:val="00EC0DCD"/>
    <w:rsid w:val="00EC0F12"/>
    <w:rsid w:val="00EC101F"/>
    <w:rsid w:val="00EC1083"/>
    <w:rsid w:val="00EC1673"/>
    <w:rsid w:val="00EC169B"/>
    <w:rsid w:val="00EC16BF"/>
    <w:rsid w:val="00EC16D9"/>
    <w:rsid w:val="00EC1774"/>
    <w:rsid w:val="00EC201A"/>
    <w:rsid w:val="00EC20D8"/>
    <w:rsid w:val="00EC2273"/>
    <w:rsid w:val="00EC2853"/>
    <w:rsid w:val="00EC292F"/>
    <w:rsid w:val="00EC2FF6"/>
    <w:rsid w:val="00EC3054"/>
    <w:rsid w:val="00EC3397"/>
    <w:rsid w:val="00EC33BD"/>
    <w:rsid w:val="00EC37BF"/>
    <w:rsid w:val="00EC380A"/>
    <w:rsid w:val="00EC3A79"/>
    <w:rsid w:val="00EC3B60"/>
    <w:rsid w:val="00EC3C98"/>
    <w:rsid w:val="00EC439A"/>
    <w:rsid w:val="00EC455A"/>
    <w:rsid w:val="00EC472D"/>
    <w:rsid w:val="00EC479D"/>
    <w:rsid w:val="00EC48F1"/>
    <w:rsid w:val="00EC4947"/>
    <w:rsid w:val="00EC495E"/>
    <w:rsid w:val="00EC49A3"/>
    <w:rsid w:val="00EC49BC"/>
    <w:rsid w:val="00EC4BE3"/>
    <w:rsid w:val="00EC4C15"/>
    <w:rsid w:val="00EC4C1F"/>
    <w:rsid w:val="00EC4C8E"/>
    <w:rsid w:val="00EC4E9F"/>
    <w:rsid w:val="00EC4F19"/>
    <w:rsid w:val="00EC4F5E"/>
    <w:rsid w:val="00EC5120"/>
    <w:rsid w:val="00EC5146"/>
    <w:rsid w:val="00EC52F2"/>
    <w:rsid w:val="00EC534E"/>
    <w:rsid w:val="00EC54D0"/>
    <w:rsid w:val="00EC56DB"/>
    <w:rsid w:val="00EC57AF"/>
    <w:rsid w:val="00EC57D7"/>
    <w:rsid w:val="00EC5AB6"/>
    <w:rsid w:val="00EC5B50"/>
    <w:rsid w:val="00EC5C46"/>
    <w:rsid w:val="00EC5D06"/>
    <w:rsid w:val="00EC5E84"/>
    <w:rsid w:val="00EC5F46"/>
    <w:rsid w:val="00EC609F"/>
    <w:rsid w:val="00EC622F"/>
    <w:rsid w:val="00EC62D0"/>
    <w:rsid w:val="00EC660E"/>
    <w:rsid w:val="00EC6632"/>
    <w:rsid w:val="00EC69B1"/>
    <w:rsid w:val="00EC6ACA"/>
    <w:rsid w:val="00EC6B59"/>
    <w:rsid w:val="00EC6BFB"/>
    <w:rsid w:val="00EC6D91"/>
    <w:rsid w:val="00EC7101"/>
    <w:rsid w:val="00EC7214"/>
    <w:rsid w:val="00EC7218"/>
    <w:rsid w:val="00EC7253"/>
    <w:rsid w:val="00EC72D4"/>
    <w:rsid w:val="00EC763D"/>
    <w:rsid w:val="00EC7777"/>
    <w:rsid w:val="00EC77C1"/>
    <w:rsid w:val="00EC786A"/>
    <w:rsid w:val="00EC7909"/>
    <w:rsid w:val="00EC7C28"/>
    <w:rsid w:val="00EC7CB4"/>
    <w:rsid w:val="00EC7D23"/>
    <w:rsid w:val="00EC7D95"/>
    <w:rsid w:val="00EC7FDC"/>
    <w:rsid w:val="00ED0170"/>
    <w:rsid w:val="00ED0552"/>
    <w:rsid w:val="00ED07D4"/>
    <w:rsid w:val="00ED09BD"/>
    <w:rsid w:val="00ED0A54"/>
    <w:rsid w:val="00ED0B08"/>
    <w:rsid w:val="00ED0B22"/>
    <w:rsid w:val="00ED0B7F"/>
    <w:rsid w:val="00ED0BEC"/>
    <w:rsid w:val="00ED0C38"/>
    <w:rsid w:val="00ED0DC2"/>
    <w:rsid w:val="00ED0E29"/>
    <w:rsid w:val="00ED1315"/>
    <w:rsid w:val="00ED163D"/>
    <w:rsid w:val="00ED1725"/>
    <w:rsid w:val="00ED1837"/>
    <w:rsid w:val="00ED194C"/>
    <w:rsid w:val="00ED1A44"/>
    <w:rsid w:val="00ED1B69"/>
    <w:rsid w:val="00ED1B8E"/>
    <w:rsid w:val="00ED1BBE"/>
    <w:rsid w:val="00ED1E1D"/>
    <w:rsid w:val="00ED1ED3"/>
    <w:rsid w:val="00ED20CA"/>
    <w:rsid w:val="00ED2207"/>
    <w:rsid w:val="00ED22D6"/>
    <w:rsid w:val="00ED24EB"/>
    <w:rsid w:val="00ED281D"/>
    <w:rsid w:val="00ED28CD"/>
    <w:rsid w:val="00ED28E7"/>
    <w:rsid w:val="00ED290A"/>
    <w:rsid w:val="00ED2911"/>
    <w:rsid w:val="00ED2941"/>
    <w:rsid w:val="00ED2AA3"/>
    <w:rsid w:val="00ED2AA9"/>
    <w:rsid w:val="00ED2AC5"/>
    <w:rsid w:val="00ED2BBD"/>
    <w:rsid w:val="00ED2C5D"/>
    <w:rsid w:val="00ED2D90"/>
    <w:rsid w:val="00ED2DA1"/>
    <w:rsid w:val="00ED2DC8"/>
    <w:rsid w:val="00ED2E47"/>
    <w:rsid w:val="00ED2F92"/>
    <w:rsid w:val="00ED3059"/>
    <w:rsid w:val="00ED320F"/>
    <w:rsid w:val="00ED33D2"/>
    <w:rsid w:val="00ED36E5"/>
    <w:rsid w:val="00ED373B"/>
    <w:rsid w:val="00ED3831"/>
    <w:rsid w:val="00ED38C1"/>
    <w:rsid w:val="00ED39BA"/>
    <w:rsid w:val="00ED3A47"/>
    <w:rsid w:val="00ED3B88"/>
    <w:rsid w:val="00ED3B94"/>
    <w:rsid w:val="00ED3C21"/>
    <w:rsid w:val="00ED3F1E"/>
    <w:rsid w:val="00ED3F98"/>
    <w:rsid w:val="00ED45F2"/>
    <w:rsid w:val="00ED4681"/>
    <w:rsid w:val="00ED47CE"/>
    <w:rsid w:val="00ED4956"/>
    <w:rsid w:val="00ED498F"/>
    <w:rsid w:val="00ED4997"/>
    <w:rsid w:val="00ED4A9B"/>
    <w:rsid w:val="00ED4AA7"/>
    <w:rsid w:val="00ED4C71"/>
    <w:rsid w:val="00ED4C7A"/>
    <w:rsid w:val="00ED4CE4"/>
    <w:rsid w:val="00ED4D63"/>
    <w:rsid w:val="00ED4D87"/>
    <w:rsid w:val="00ED4DBF"/>
    <w:rsid w:val="00ED4DCE"/>
    <w:rsid w:val="00ED4E2F"/>
    <w:rsid w:val="00ED553F"/>
    <w:rsid w:val="00ED5669"/>
    <w:rsid w:val="00ED57B7"/>
    <w:rsid w:val="00ED591F"/>
    <w:rsid w:val="00ED5922"/>
    <w:rsid w:val="00ED5AFD"/>
    <w:rsid w:val="00ED5C67"/>
    <w:rsid w:val="00ED5E84"/>
    <w:rsid w:val="00ED5F75"/>
    <w:rsid w:val="00ED6081"/>
    <w:rsid w:val="00ED6294"/>
    <w:rsid w:val="00ED673C"/>
    <w:rsid w:val="00ED677D"/>
    <w:rsid w:val="00ED682D"/>
    <w:rsid w:val="00ED69DB"/>
    <w:rsid w:val="00ED6C31"/>
    <w:rsid w:val="00ED6F1C"/>
    <w:rsid w:val="00ED6F98"/>
    <w:rsid w:val="00ED729D"/>
    <w:rsid w:val="00ED736B"/>
    <w:rsid w:val="00ED7412"/>
    <w:rsid w:val="00ED7442"/>
    <w:rsid w:val="00ED756A"/>
    <w:rsid w:val="00ED7876"/>
    <w:rsid w:val="00ED78BB"/>
    <w:rsid w:val="00ED7A53"/>
    <w:rsid w:val="00ED7C25"/>
    <w:rsid w:val="00EE013D"/>
    <w:rsid w:val="00EE04B2"/>
    <w:rsid w:val="00EE04FA"/>
    <w:rsid w:val="00EE0632"/>
    <w:rsid w:val="00EE067B"/>
    <w:rsid w:val="00EE06DB"/>
    <w:rsid w:val="00EE07F2"/>
    <w:rsid w:val="00EE0B68"/>
    <w:rsid w:val="00EE0CB9"/>
    <w:rsid w:val="00EE0E4C"/>
    <w:rsid w:val="00EE0FA3"/>
    <w:rsid w:val="00EE10D1"/>
    <w:rsid w:val="00EE11F0"/>
    <w:rsid w:val="00EE1314"/>
    <w:rsid w:val="00EE1499"/>
    <w:rsid w:val="00EE17D2"/>
    <w:rsid w:val="00EE1C63"/>
    <w:rsid w:val="00EE1C73"/>
    <w:rsid w:val="00EE1FA1"/>
    <w:rsid w:val="00EE1FB6"/>
    <w:rsid w:val="00EE2345"/>
    <w:rsid w:val="00EE2422"/>
    <w:rsid w:val="00EE24CE"/>
    <w:rsid w:val="00EE2681"/>
    <w:rsid w:val="00EE2AD9"/>
    <w:rsid w:val="00EE2BD7"/>
    <w:rsid w:val="00EE2F67"/>
    <w:rsid w:val="00EE324B"/>
    <w:rsid w:val="00EE329E"/>
    <w:rsid w:val="00EE32B3"/>
    <w:rsid w:val="00EE3676"/>
    <w:rsid w:val="00EE3A98"/>
    <w:rsid w:val="00EE3BFE"/>
    <w:rsid w:val="00EE3D09"/>
    <w:rsid w:val="00EE40F1"/>
    <w:rsid w:val="00EE413D"/>
    <w:rsid w:val="00EE4253"/>
    <w:rsid w:val="00EE4333"/>
    <w:rsid w:val="00EE4342"/>
    <w:rsid w:val="00EE43E4"/>
    <w:rsid w:val="00EE4606"/>
    <w:rsid w:val="00EE46AE"/>
    <w:rsid w:val="00EE485F"/>
    <w:rsid w:val="00EE4AC6"/>
    <w:rsid w:val="00EE4DAB"/>
    <w:rsid w:val="00EE4F2A"/>
    <w:rsid w:val="00EE5068"/>
    <w:rsid w:val="00EE507E"/>
    <w:rsid w:val="00EE50F2"/>
    <w:rsid w:val="00EE514A"/>
    <w:rsid w:val="00EE55A4"/>
    <w:rsid w:val="00EE5614"/>
    <w:rsid w:val="00EE564E"/>
    <w:rsid w:val="00EE571F"/>
    <w:rsid w:val="00EE588B"/>
    <w:rsid w:val="00EE5900"/>
    <w:rsid w:val="00EE5A47"/>
    <w:rsid w:val="00EE5B97"/>
    <w:rsid w:val="00EE5C22"/>
    <w:rsid w:val="00EE5C49"/>
    <w:rsid w:val="00EE5E3A"/>
    <w:rsid w:val="00EE5E6C"/>
    <w:rsid w:val="00EE5FA7"/>
    <w:rsid w:val="00EE5FC2"/>
    <w:rsid w:val="00EE5FD0"/>
    <w:rsid w:val="00EE61BF"/>
    <w:rsid w:val="00EE61F7"/>
    <w:rsid w:val="00EE66A4"/>
    <w:rsid w:val="00EE66F9"/>
    <w:rsid w:val="00EE6778"/>
    <w:rsid w:val="00EE681C"/>
    <w:rsid w:val="00EE68A0"/>
    <w:rsid w:val="00EE68B6"/>
    <w:rsid w:val="00EE69B5"/>
    <w:rsid w:val="00EE6D4E"/>
    <w:rsid w:val="00EE6E46"/>
    <w:rsid w:val="00EE6EFE"/>
    <w:rsid w:val="00EE6FA0"/>
    <w:rsid w:val="00EE7072"/>
    <w:rsid w:val="00EE71E7"/>
    <w:rsid w:val="00EE73BB"/>
    <w:rsid w:val="00EE7AC2"/>
    <w:rsid w:val="00EE7C64"/>
    <w:rsid w:val="00EE7E49"/>
    <w:rsid w:val="00EE7E77"/>
    <w:rsid w:val="00EF000B"/>
    <w:rsid w:val="00EF03AC"/>
    <w:rsid w:val="00EF03D4"/>
    <w:rsid w:val="00EF03DF"/>
    <w:rsid w:val="00EF03F2"/>
    <w:rsid w:val="00EF053F"/>
    <w:rsid w:val="00EF05B6"/>
    <w:rsid w:val="00EF0908"/>
    <w:rsid w:val="00EF095A"/>
    <w:rsid w:val="00EF099C"/>
    <w:rsid w:val="00EF0A26"/>
    <w:rsid w:val="00EF0C4C"/>
    <w:rsid w:val="00EF0DED"/>
    <w:rsid w:val="00EF13F9"/>
    <w:rsid w:val="00EF160C"/>
    <w:rsid w:val="00EF180E"/>
    <w:rsid w:val="00EF1828"/>
    <w:rsid w:val="00EF1A7C"/>
    <w:rsid w:val="00EF1C44"/>
    <w:rsid w:val="00EF1C76"/>
    <w:rsid w:val="00EF1EC3"/>
    <w:rsid w:val="00EF1F16"/>
    <w:rsid w:val="00EF2161"/>
    <w:rsid w:val="00EF21C8"/>
    <w:rsid w:val="00EF2440"/>
    <w:rsid w:val="00EF24B6"/>
    <w:rsid w:val="00EF2536"/>
    <w:rsid w:val="00EF2585"/>
    <w:rsid w:val="00EF2590"/>
    <w:rsid w:val="00EF26CE"/>
    <w:rsid w:val="00EF2AA3"/>
    <w:rsid w:val="00EF2AD1"/>
    <w:rsid w:val="00EF2B84"/>
    <w:rsid w:val="00EF2E3F"/>
    <w:rsid w:val="00EF2EC2"/>
    <w:rsid w:val="00EF3151"/>
    <w:rsid w:val="00EF34A3"/>
    <w:rsid w:val="00EF368B"/>
    <w:rsid w:val="00EF37D6"/>
    <w:rsid w:val="00EF382A"/>
    <w:rsid w:val="00EF3A29"/>
    <w:rsid w:val="00EF3B50"/>
    <w:rsid w:val="00EF3B58"/>
    <w:rsid w:val="00EF418E"/>
    <w:rsid w:val="00EF450B"/>
    <w:rsid w:val="00EF459B"/>
    <w:rsid w:val="00EF4CEE"/>
    <w:rsid w:val="00EF52C5"/>
    <w:rsid w:val="00EF52FE"/>
    <w:rsid w:val="00EF5855"/>
    <w:rsid w:val="00EF5856"/>
    <w:rsid w:val="00EF592F"/>
    <w:rsid w:val="00EF59BB"/>
    <w:rsid w:val="00EF5B1E"/>
    <w:rsid w:val="00EF603E"/>
    <w:rsid w:val="00EF60EA"/>
    <w:rsid w:val="00EF61A6"/>
    <w:rsid w:val="00EF61D9"/>
    <w:rsid w:val="00EF6329"/>
    <w:rsid w:val="00EF632D"/>
    <w:rsid w:val="00EF6872"/>
    <w:rsid w:val="00EF6A68"/>
    <w:rsid w:val="00EF6B93"/>
    <w:rsid w:val="00EF6BEC"/>
    <w:rsid w:val="00EF6D67"/>
    <w:rsid w:val="00EF6D6A"/>
    <w:rsid w:val="00EF6F98"/>
    <w:rsid w:val="00EF7107"/>
    <w:rsid w:val="00EF714A"/>
    <w:rsid w:val="00EF7152"/>
    <w:rsid w:val="00EF78B5"/>
    <w:rsid w:val="00EF794F"/>
    <w:rsid w:val="00EF7966"/>
    <w:rsid w:val="00EF797D"/>
    <w:rsid w:val="00EF7A85"/>
    <w:rsid w:val="00EF7C15"/>
    <w:rsid w:val="00EF7E6A"/>
    <w:rsid w:val="00EF7F5F"/>
    <w:rsid w:val="00F00192"/>
    <w:rsid w:val="00F0026D"/>
    <w:rsid w:val="00F00298"/>
    <w:rsid w:val="00F00390"/>
    <w:rsid w:val="00F0042E"/>
    <w:rsid w:val="00F0056C"/>
    <w:rsid w:val="00F00617"/>
    <w:rsid w:val="00F00C80"/>
    <w:rsid w:val="00F00D27"/>
    <w:rsid w:val="00F00FAD"/>
    <w:rsid w:val="00F010CF"/>
    <w:rsid w:val="00F0118D"/>
    <w:rsid w:val="00F01194"/>
    <w:rsid w:val="00F01375"/>
    <w:rsid w:val="00F01965"/>
    <w:rsid w:val="00F01F01"/>
    <w:rsid w:val="00F020DD"/>
    <w:rsid w:val="00F021B1"/>
    <w:rsid w:val="00F02213"/>
    <w:rsid w:val="00F02339"/>
    <w:rsid w:val="00F023F3"/>
    <w:rsid w:val="00F025B9"/>
    <w:rsid w:val="00F028CE"/>
    <w:rsid w:val="00F029D1"/>
    <w:rsid w:val="00F02A2D"/>
    <w:rsid w:val="00F02C2D"/>
    <w:rsid w:val="00F03027"/>
    <w:rsid w:val="00F03068"/>
    <w:rsid w:val="00F03490"/>
    <w:rsid w:val="00F034DE"/>
    <w:rsid w:val="00F0356F"/>
    <w:rsid w:val="00F035FC"/>
    <w:rsid w:val="00F03875"/>
    <w:rsid w:val="00F03946"/>
    <w:rsid w:val="00F03B24"/>
    <w:rsid w:val="00F03F38"/>
    <w:rsid w:val="00F03FC8"/>
    <w:rsid w:val="00F0446C"/>
    <w:rsid w:val="00F04724"/>
    <w:rsid w:val="00F04821"/>
    <w:rsid w:val="00F049D8"/>
    <w:rsid w:val="00F04A69"/>
    <w:rsid w:val="00F04A89"/>
    <w:rsid w:val="00F04C4C"/>
    <w:rsid w:val="00F04CC4"/>
    <w:rsid w:val="00F04F27"/>
    <w:rsid w:val="00F051C9"/>
    <w:rsid w:val="00F05420"/>
    <w:rsid w:val="00F054C0"/>
    <w:rsid w:val="00F056C0"/>
    <w:rsid w:val="00F056DC"/>
    <w:rsid w:val="00F057A4"/>
    <w:rsid w:val="00F059C4"/>
    <w:rsid w:val="00F05A40"/>
    <w:rsid w:val="00F05C01"/>
    <w:rsid w:val="00F05C93"/>
    <w:rsid w:val="00F06225"/>
    <w:rsid w:val="00F06360"/>
    <w:rsid w:val="00F06395"/>
    <w:rsid w:val="00F06761"/>
    <w:rsid w:val="00F069E0"/>
    <w:rsid w:val="00F06A4E"/>
    <w:rsid w:val="00F06E5C"/>
    <w:rsid w:val="00F07160"/>
    <w:rsid w:val="00F07243"/>
    <w:rsid w:val="00F07258"/>
    <w:rsid w:val="00F072D7"/>
    <w:rsid w:val="00F073BD"/>
    <w:rsid w:val="00F0757F"/>
    <w:rsid w:val="00F07AFC"/>
    <w:rsid w:val="00F07C03"/>
    <w:rsid w:val="00F1018C"/>
    <w:rsid w:val="00F10225"/>
    <w:rsid w:val="00F102F7"/>
    <w:rsid w:val="00F1038D"/>
    <w:rsid w:val="00F10449"/>
    <w:rsid w:val="00F10558"/>
    <w:rsid w:val="00F10897"/>
    <w:rsid w:val="00F10974"/>
    <w:rsid w:val="00F10AC1"/>
    <w:rsid w:val="00F10B2C"/>
    <w:rsid w:val="00F10B40"/>
    <w:rsid w:val="00F10C06"/>
    <w:rsid w:val="00F10DC5"/>
    <w:rsid w:val="00F113A4"/>
    <w:rsid w:val="00F1150E"/>
    <w:rsid w:val="00F1156B"/>
    <w:rsid w:val="00F11618"/>
    <w:rsid w:val="00F11664"/>
    <w:rsid w:val="00F11685"/>
    <w:rsid w:val="00F117BB"/>
    <w:rsid w:val="00F117D2"/>
    <w:rsid w:val="00F1184A"/>
    <w:rsid w:val="00F11896"/>
    <w:rsid w:val="00F119C2"/>
    <w:rsid w:val="00F11EC5"/>
    <w:rsid w:val="00F11F8E"/>
    <w:rsid w:val="00F120E9"/>
    <w:rsid w:val="00F1220E"/>
    <w:rsid w:val="00F12A16"/>
    <w:rsid w:val="00F12A52"/>
    <w:rsid w:val="00F13060"/>
    <w:rsid w:val="00F130E1"/>
    <w:rsid w:val="00F13183"/>
    <w:rsid w:val="00F131C3"/>
    <w:rsid w:val="00F132C5"/>
    <w:rsid w:val="00F134CE"/>
    <w:rsid w:val="00F134EB"/>
    <w:rsid w:val="00F1361D"/>
    <w:rsid w:val="00F13653"/>
    <w:rsid w:val="00F138E6"/>
    <w:rsid w:val="00F138EC"/>
    <w:rsid w:val="00F13B10"/>
    <w:rsid w:val="00F13D17"/>
    <w:rsid w:val="00F13DBA"/>
    <w:rsid w:val="00F13E6E"/>
    <w:rsid w:val="00F13EA5"/>
    <w:rsid w:val="00F13F52"/>
    <w:rsid w:val="00F14359"/>
    <w:rsid w:val="00F1471A"/>
    <w:rsid w:val="00F147A6"/>
    <w:rsid w:val="00F14A03"/>
    <w:rsid w:val="00F14A2D"/>
    <w:rsid w:val="00F14A9D"/>
    <w:rsid w:val="00F14E0E"/>
    <w:rsid w:val="00F14E8C"/>
    <w:rsid w:val="00F151E3"/>
    <w:rsid w:val="00F151F6"/>
    <w:rsid w:val="00F15247"/>
    <w:rsid w:val="00F15348"/>
    <w:rsid w:val="00F154A6"/>
    <w:rsid w:val="00F15702"/>
    <w:rsid w:val="00F15871"/>
    <w:rsid w:val="00F1591F"/>
    <w:rsid w:val="00F1595A"/>
    <w:rsid w:val="00F15A13"/>
    <w:rsid w:val="00F15C39"/>
    <w:rsid w:val="00F15E07"/>
    <w:rsid w:val="00F15E1C"/>
    <w:rsid w:val="00F15ED7"/>
    <w:rsid w:val="00F15F9C"/>
    <w:rsid w:val="00F160B5"/>
    <w:rsid w:val="00F160C0"/>
    <w:rsid w:val="00F161DB"/>
    <w:rsid w:val="00F16287"/>
    <w:rsid w:val="00F1679C"/>
    <w:rsid w:val="00F167CA"/>
    <w:rsid w:val="00F1682B"/>
    <w:rsid w:val="00F1688E"/>
    <w:rsid w:val="00F1691E"/>
    <w:rsid w:val="00F16A5C"/>
    <w:rsid w:val="00F16B29"/>
    <w:rsid w:val="00F16C11"/>
    <w:rsid w:val="00F16C35"/>
    <w:rsid w:val="00F16C81"/>
    <w:rsid w:val="00F16E2B"/>
    <w:rsid w:val="00F1725F"/>
    <w:rsid w:val="00F177E8"/>
    <w:rsid w:val="00F17D98"/>
    <w:rsid w:val="00F20124"/>
    <w:rsid w:val="00F20226"/>
    <w:rsid w:val="00F20298"/>
    <w:rsid w:val="00F20646"/>
    <w:rsid w:val="00F20673"/>
    <w:rsid w:val="00F20853"/>
    <w:rsid w:val="00F208A7"/>
    <w:rsid w:val="00F20A6E"/>
    <w:rsid w:val="00F20CA5"/>
    <w:rsid w:val="00F20CD1"/>
    <w:rsid w:val="00F21069"/>
    <w:rsid w:val="00F2127A"/>
    <w:rsid w:val="00F2141D"/>
    <w:rsid w:val="00F21428"/>
    <w:rsid w:val="00F2160F"/>
    <w:rsid w:val="00F21797"/>
    <w:rsid w:val="00F218AF"/>
    <w:rsid w:val="00F21A07"/>
    <w:rsid w:val="00F21ACA"/>
    <w:rsid w:val="00F21B5B"/>
    <w:rsid w:val="00F22126"/>
    <w:rsid w:val="00F22170"/>
    <w:rsid w:val="00F22334"/>
    <w:rsid w:val="00F22681"/>
    <w:rsid w:val="00F22DFC"/>
    <w:rsid w:val="00F22F9F"/>
    <w:rsid w:val="00F23201"/>
    <w:rsid w:val="00F23434"/>
    <w:rsid w:val="00F236A8"/>
    <w:rsid w:val="00F237BB"/>
    <w:rsid w:val="00F2393A"/>
    <w:rsid w:val="00F23A09"/>
    <w:rsid w:val="00F23D20"/>
    <w:rsid w:val="00F240C5"/>
    <w:rsid w:val="00F2438B"/>
    <w:rsid w:val="00F243FB"/>
    <w:rsid w:val="00F248C0"/>
    <w:rsid w:val="00F249D3"/>
    <w:rsid w:val="00F24D14"/>
    <w:rsid w:val="00F250E8"/>
    <w:rsid w:val="00F25244"/>
    <w:rsid w:val="00F25252"/>
    <w:rsid w:val="00F255B9"/>
    <w:rsid w:val="00F25770"/>
    <w:rsid w:val="00F25C37"/>
    <w:rsid w:val="00F25C65"/>
    <w:rsid w:val="00F25E5D"/>
    <w:rsid w:val="00F25EA9"/>
    <w:rsid w:val="00F25ED6"/>
    <w:rsid w:val="00F25EF7"/>
    <w:rsid w:val="00F25F1A"/>
    <w:rsid w:val="00F25FE1"/>
    <w:rsid w:val="00F261C8"/>
    <w:rsid w:val="00F264DA"/>
    <w:rsid w:val="00F26749"/>
    <w:rsid w:val="00F26881"/>
    <w:rsid w:val="00F26A3D"/>
    <w:rsid w:val="00F26E12"/>
    <w:rsid w:val="00F26EF5"/>
    <w:rsid w:val="00F26F2F"/>
    <w:rsid w:val="00F27032"/>
    <w:rsid w:val="00F270AC"/>
    <w:rsid w:val="00F27205"/>
    <w:rsid w:val="00F27247"/>
    <w:rsid w:val="00F278A5"/>
    <w:rsid w:val="00F27F8A"/>
    <w:rsid w:val="00F30012"/>
    <w:rsid w:val="00F301E4"/>
    <w:rsid w:val="00F3071F"/>
    <w:rsid w:val="00F30B6B"/>
    <w:rsid w:val="00F30CC1"/>
    <w:rsid w:val="00F30D63"/>
    <w:rsid w:val="00F31104"/>
    <w:rsid w:val="00F31213"/>
    <w:rsid w:val="00F31252"/>
    <w:rsid w:val="00F3126D"/>
    <w:rsid w:val="00F314E7"/>
    <w:rsid w:val="00F31678"/>
    <w:rsid w:val="00F31AA9"/>
    <w:rsid w:val="00F31BA9"/>
    <w:rsid w:val="00F31CD3"/>
    <w:rsid w:val="00F31D07"/>
    <w:rsid w:val="00F31EB4"/>
    <w:rsid w:val="00F31F53"/>
    <w:rsid w:val="00F32069"/>
    <w:rsid w:val="00F32148"/>
    <w:rsid w:val="00F321D4"/>
    <w:rsid w:val="00F32214"/>
    <w:rsid w:val="00F3245C"/>
    <w:rsid w:val="00F3253F"/>
    <w:rsid w:val="00F326A1"/>
    <w:rsid w:val="00F32CFA"/>
    <w:rsid w:val="00F32E34"/>
    <w:rsid w:val="00F32E40"/>
    <w:rsid w:val="00F32EA9"/>
    <w:rsid w:val="00F32FC8"/>
    <w:rsid w:val="00F33208"/>
    <w:rsid w:val="00F33267"/>
    <w:rsid w:val="00F333B3"/>
    <w:rsid w:val="00F33497"/>
    <w:rsid w:val="00F334DB"/>
    <w:rsid w:val="00F336F5"/>
    <w:rsid w:val="00F33718"/>
    <w:rsid w:val="00F339D8"/>
    <w:rsid w:val="00F33BDB"/>
    <w:rsid w:val="00F33C4B"/>
    <w:rsid w:val="00F33CDD"/>
    <w:rsid w:val="00F33D30"/>
    <w:rsid w:val="00F340FE"/>
    <w:rsid w:val="00F3414A"/>
    <w:rsid w:val="00F3423E"/>
    <w:rsid w:val="00F343BA"/>
    <w:rsid w:val="00F344C9"/>
    <w:rsid w:val="00F34802"/>
    <w:rsid w:val="00F34C26"/>
    <w:rsid w:val="00F34D22"/>
    <w:rsid w:val="00F352B9"/>
    <w:rsid w:val="00F3531C"/>
    <w:rsid w:val="00F35395"/>
    <w:rsid w:val="00F3547E"/>
    <w:rsid w:val="00F35498"/>
    <w:rsid w:val="00F355F6"/>
    <w:rsid w:val="00F356AF"/>
    <w:rsid w:val="00F3576F"/>
    <w:rsid w:val="00F35834"/>
    <w:rsid w:val="00F35841"/>
    <w:rsid w:val="00F35911"/>
    <w:rsid w:val="00F35950"/>
    <w:rsid w:val="00F3598C"/>
    <w:rsid w:val="00F35AF0"/>
    <w:rsid w:val="00F35B9B"/>
    <w:rsid w:val="00F35BF2"/>
    <w:rsid w:val="00F36213"/>
    <w:rsid w:val="00F36293"/>
    <w:rsid w:val="00F363F8"/>
    <w:rsid w:val="00F36826"/>
    <w:rsid w:val="00F3682A"/>
    <w:rsid w:val="00F36D24"/>
    <w:rsid w:val="00F36E2F"/>
    <w:rsid w:val="00F36EB5"/>
    <w:rsid w:val="00F36F30"/>
    <w:rsid w:val="00F36FB0"/>
    <w:rsid w:val="00F3734D"/>
    <w:rsid w:val="00F37623"/>
    <w:rsid w:val="00F376D3"/>
    <w:rsid w:val="00F376E1"/>
    <w:rsid w:val="00F3772D"/>
    <w:rsid w:val="00F377E0"/>
    <w:rsid w:val="00F37831"/>
    <w:rsid w:val="00F378C2"/>
    <w:rsid w:val="00F378E9"/>
    <w:rsid w:val="00F37C58"/>
    <w:rsid w:val="00F37F1D"/>
    <w:rsid w:val="00F37F8A"/>
    <w:rsid w:val="00F37F94"/>
    <w:rsid w:val="00F403EF"/>
    <w:rsid w:val="00F404EF"/>
    <w:rsid w:val="00F40693"/>
    <w:rsid w:val="00F406DA"/>
    <w:rsid w:val="00F40722"/>
    <w:rsid w:val="00F40AA2"/>
    <w:rsid w:val="00F40C5D"/>
    <w:rsid w:val="00F40DE4"/>
    <w:rsid w:val="00F40E56"/>
    <w:rsid w:val="00F414BD"/>
    <w:rsid w:val="00F4167E"/>
    <w:rsid w:val="00F418DE"/>
    <w:rsid w:val="00F41DDB"/>
    <w:rsid w:val="00F41EBF"/>
    <w:rsid w:val="00F42026"/>
    <w:rsid w:val="00F42116"/>
    <w:rsid w:val="00F4248D"/>
    <w:rsid w:val="00F424DE"/>
    <w:rsid w:val="00F426FC"/>
    <w:rsid w:val="00F42703"/>
    <w:rsid w:val="00F427A8"/>
    <w:rsid w:val="00F42AC0"/>
    <w:rsid w:val="00F42B04"/>
    <w:rsid w:val="00F42CF0"/>
    <w:rsid w:val="00F42F52"/>
    <w:rsid w:val="00F43064"/>
    <w:rsid w:val="00F43115"/>
    <w:rsid w:val="00F43309"/>
    <w:rsid w:val="00F43397"/>
    <w:rsid w:val="00F433BA"/>
    <w:rsid w:val="00F4348C"/>
    <w:rsid w:val="00F4386B"/>
    <w:rsid w:val="00F43954"/>
    <w:rsid w:val="00F43A3A"/>
    <w:rsid w:val="00F43AB0"/>
    <w:rsid w:val="00F43D8F"/>
    <w:rsid w:val="00F44052"/>
    <w:rsid w:val="00F4414A"/>
    <w:rsid w:val="00F44739"/>
    <w:rsid w:val="00F44840"/>
    <w:rsid w:val="00F44910"/>
    <w:rsid w:val="00F449DC"/>
    <w:rsid w:val="00F44E0D"/>
    <w:rsid w:val="00F4513F"/>
    <w:rsid w:val="00F45194"/>
    <w:rsid w:val="00F4577B"/>
    <w:rsid w:val="00F4585D"/>
    <w:rsid w:val="00F45C35"/>
    <w:rsid w:val="00F45CDA"/>
    <w:rsid w:val="00F45CEF"/>
    <w:rsid w:val="00F45F90"/>
    <w:rsid w:val="00F4611F"/>
    <w:rsid w:val="00F464A2"/>
    <w:rsid w:val="00F4653F"/>
    <w:rsid w:val="00F46611"/>
    <w:rsid w:val="00F46712"/>
    <w:rsid w:val="00F4672D"/>
    <w:rsid w:val="00F46A79"/>
    <w:rsid w:val="00F46BCA"/>
    <w:rsid w:val="00F46E9A"/>
    <w:rsid w:val="00F470C3"/>
    <w:rsid w:val="00F470DB"/>
    <w:rsid w:val="00F47298"/>
    <w:rsid w:val="00F473C1"/>
    <w:rsid w:val="00F4741E"/>
    <w:rsid w:val="00F47433"/>
    <w:rsid w:val="00F4764D"/>
    <w:rsid w:val="00F47740"/>
    <w:rsid w:val="00F4790F"/>
    <w:rsid w:val="00F47BBD"/>
    <w:rsid w:val="00F47D2B"/>
    <w:rsid w:val="00F5004D"/>
    <w:rsid w:val="00F50162"/>
    <w:rsid w:val="00F50746"/>
    <w:rsid w:val="00F5077B"/>
    <w:rsid w:val="00F50E10"/>
    <w:rsid w:val="00F50E32"/>
    <w:rsid w:val="00F50ECA"/>
    <w:rsid w:val="00F5118A"/>
    <w:rsid w:val="00F51295"/>
    <w:rsid w:val="00F512A3"/>
    <w:rsid w:val="00F514B8"/>
    <w:rsid w:val="00F517EC"/>
    <w:rsid w:val="00F51824"/>
    <w:rsid w:val="00F51862"/>
    <w:rsid w:val="00F51C4F"/>
    <w:rsid w:val="00F51D30"/>
    <w:rsid w:val="00F51DD0"/>
    <w:rsid w:val="00F520D6"/>
    <w:rsid w:val="00F520F7"/>
    <w:rsid w:val="00F524B1"/>
    <w:rsid w:val="00F527DB"/>
    <w:rsid w:val="00F5280A"/>
    <w:rsid w:val="00F52AE1"/>
    <w:rsid w:val="00F52CFB"/>
    <w:rsid w:val="00F52DC6"/>
    <w:rsid w:val="00F52EE9"/>
    <w:rsid w:val="00F53029"/>
    <w:rsid w:val="00F53472"/>
    <w:rsid w:val="00F539D1"/>
    <w:rsid w:val="00F53A43"/>
    <w:rsid w:val="00F53DF2"/>
    <w:rsid w:val="00F5413F"/>
    <w:rsid w:val="00F541E6"/>
    <w:rsid w:val="00F54228"/>
    <w:rsid w:val="00F54393"/>
    <w:rsid w:val="00F54724"/>
    <w:rsid w:val="00F54988"/>
    <w:rsid w:val="00F549D0"/>
    <w:rsid w:val="00F54A5D"/>
    <w:rsid w:val="00F54BFF"/>
    <w:rsid w:val="00F54CDF"/>
    <w:rsid w:val="00F5504D"/>
    <w:rsid w:val="00F551AF"/>
    <w:rsid w:val="00F5522D"/>
    <w:rsid w:val="00F5547F"/>
    <w:rsid w:val="00F554DF"/>
    <w:rsid w:val="00F55824"/>
    <w:rsid w:val="00F55905"/>
    <w:rsid w:val="00F55933"/>
    <w:rsid w:val="00F55989"/>
    <w:rsid w:val="00F56008"/>
    <w:rsid w:val="00F56169"/>
    <w:rsid w:val="00F56244"/>
    <w:rsid w:val="00F5625C"/>
    <w:rsid w:val="00F562C0"/>
    <w:rsid w:val="00F563FC"/>
    <w:rsid w:val="00F564E5"/>
    <w:rsid w:val="00F5668B"/>
    <w:rsid w:val="00F56690"/>
    <w:rsid w:val="00F567FC"/>
    <w:rsid w:val="00F568D6"/>
    <w:rsid w:val="00F56931"/>
    <w:rsid w:val="00F5699C"/>
    <w:rsid w:val="00F56B3F"/>
    <w:rsid w:val="00F56C0B"/>
    <w:rsid w:val="00F56DF4"/>
    <w:rsid w:val="00F5727F"/>
    <w:rsid w:val="00F57405"/>
    <w:rsid w:val="00F57837"/>
    <w:rsid w:val="00F57852"/>
    <w:rsid w:val="00F57AFC"/>
    <w:rsid w:val="00F57AFF"/>
    <w:rsid w:val="00F57D55"/>
    <w:rsid w:val="00F57E54"/>
    <w:rsid w:val="00F6009C"/>
    <w:rsid w:val="00F6035C"/>
    <w:rsid w:val="00F604A7"/>
    <w:rsid w:val="00F605E3"/>
    <w:rsid w:val="00F6085E"/>
    <w:rsid w:val="00F6089B"/>
    <w:rsid w:val="00F6089C"/>
    <w:rsid w:val="00F608A4"/>
    <w:rsid w:val="00F608EB"/>
    <w:rsid w:val="00F60944"/>
    <w:rsid w:val="00F60B23"/>
    <w:rsid w:val="00F60B84"/>
    <w:rsid w:val="00F60BDD"/>
    <w:rsid w:val="00F60BFC"/>
    <w:rsid w:val="00F60DA1"/>
    <w:rsid w:val="00F60E9F"/>
    <w:rsid w:val="00F60FD4"/>
    <w:rsid w:val="00F61425"/>
    <w:rsid w:val="00F61473"/>
    <w:rsid w:val="00F618DF"/>
    <w:rsid w:val="00F619F7"/>
    <w:rsid w:val="00F61AE4"/>
    <w:rsid w:val="00F61F0B"/>
    <w:rsid w:val="00F61F32"/>
    <w:rsid w:val="00F61F56"/>
    <w:rsid w:val="00F61F80"/>
    <w:rsid w:val="00F622F1"/>
    <w:rsid w:val="00F62306"/>
    <w:rsid w:val="00F62652"/>
    <w:rsid w:val="00F62797"/>
    <w:rsid w:val="00F62924"/>
    <w:rsid w:val="00F62942"/>
    <w:rsid w:val="00F6297E"/>
    <w:rsid w:val="00F629D0"/>
    <w:rsid w:val="00F629D4"/>
    <w:rsid w:val="00F62CFE"/>
    <w:rsid w:val="00F62D14"/>
    <w:rsid w:val="00F62D9F"/>
    <w:rsid w:val="00F62EEF"/>
    <w:rsid w:val="00F63104"/>
    <w:rsid w:val="00F63386"/>
    <w:rsid w:val="00F634FC"/>
    <w:rsid w:val="00F635D8"/>
    <w:rsid w:val="00F6362C"/>
    <w:rsid w:val="00F6397A"/>
    <w:rsid w:val="00F63D89"/>
    <w:rsid w:val="00F63D96"/>
    <w:rsid w:val="00F63DAF"/>
    <w:rsid w:val="00F63E85"/>
    <w:rsid w:val="00F63F0D"/>
    <w:rsid w:val="00F6418C"/>
    <w:rsid w:val="00F64238"/>
    <w:rsid w:val="00F6425F"/>
    <w:rsid w:val="00F64414"/>
    <w:rsid w:val="00F6448D"/>
    <w:rsid w:val="00F644BF"/>
    <w:rsid w:val="00F644FD"/>
    <w:rsid w:val="00F64733"/>
    <w:rsid w:val="00F64BA2"/>
    <w:rsid w:val="00F64C78"/>
    <w:rsid w:val="00F64CDE"/>
    <w:rsid w:val="00F64F6C"/>
    <w:rsid w:val="00F64FAD"/>
    <w:rsid w:val="00F64FEC"/>
    <w:rsid w:val="00F64FF3"/>
    <w:rsid w:val="00F65014"/>
    <w:rsid w:val="00F65098"/>
    <w:rsid w:val="00F651EB"/>
    <w:rsid w:val="00F654D1"/>
    <w:rsid w:val="00F6562C"/>
    <w:rsid w:val="00F65641"/>
    <w:rsid w:val="00F65702"/>
    <w:rsid w:val="00F65797"/>
    <w:rsid w:val="00F65844"/>
    <w:rsid w:val="00F6588D"/>
    <w:rsid w:val="00F65BDD"/>
    <w:rsid w:val="00F65CF2"/>
    <w:rsid w:val="00F6616C"/>
    <w:rsid w:val="00F66194"/>
    <w:rsid w:val="00F66290"/>
    <w:rsid w:val="00F66295"/>
    <w:rsid w:val="00F6636C"/>
    <w:rsid w:val="00F66595"/>
    <w:rsid w:val="00F668B5"/>
    <w:rsid w:val="00F66D63"/>
    <w:rsid w:val="00F66DED"/>
    <w:rsid w:val="00F672BA"/>
    <w:rsid w:val="00F675FE"/>
    <w:rsid w:val="00F67947"/>
    <w:rsid w:val="00F67C43"/>
    <w:rsid w:val="00F67FA6"/>
    <w:rsid w:val="00F700C4"/>
    <w:rsid w:val="00F7016B"/>
    <w:rsid w:val="00F7026E"/>
    <w:rsid w:val="00F70288"/>
    <w:rsid w:val="00F70484"/>
    <w:rsid w:val="00F70A60"/>
    <w:rsid w:val="00F70C10"/>
    <w:rsid w:val="00F70C27"/>
    <w:rsid w:val="00F70FFD"/>
    <w:rsid w:val="00F7107B"/>
    <w:rsid w:val="00F710DA"/>
    <w:rsid w:val="00F71230"/>
    <w:rsid w:val="00F714C3"/>
    <w:rsid w:val="00F714FB"/>
    <w:rsid w:val="00F71818"/>
    <w:rsid w:val="00F7199B"/>
    <w:rsid w:val="00F71A00"/>
    <w:rsid w:val="00F71A68"/>
    <w:rsid w:val="00F71CD8"/>
    <w:rsid w:val="00F71D1F"/>
    <w:rsid w:val="00F71DE0"/>
    <w:rsid w:val="00F71EC1"/>
    <w:rsid w:val="00F71F4F"/>
    <w:rsid w:val="00F71FFE"/>
    <w:rsid w:val="00F7211F"/>
    <w:rsid w:val="00F72282"/>
    <w:rsid w:val="00F7229B"/>
    <w:rsid w:val="00F7231F"/>
    <w:rsid w:val="00F723DC"/>
    <w:rsid w:val="00F72729"/>
    <w:rsid w:val="00F728F4"/>
    <w:rsid w:val="00F72B2B"/>
    <w:rsid w:val="00F72B45"/>
    <w:rsid w:val="00F72BB8"/>
    <w:rsid w:val="00F72E8F"/>
    <w:rsid w:val="00F72F36"/>
    <w:rsid w:val="00F7334E"/>
    <w:rsid w:val="00F733CB"/>
    <w:rsid w:val="00F7347D"/>
    <w:rsid w:val="00F7364E"/>
    <w:rsid w:val="00F73777"/>
    <w:rsid w:val="00F73E28"/>
    <w:rsid w:val="00F73E38"/>
    <w:rsid w:val="00F73E85"/>
    <w:rsid w:val="00F741B1"/>
    <w:rsid w:val="00F74383"/>
    <w:rsid w:val="00F74507"/>
    <w:rsid w:val="00F74578"/>
    <w:rsid w:val="00F7471A"/>
    <w:rsid w:val="00F747F4"/>
    <w:rsid w:val="00F74807"/>
    <w:rsid w:val="00F74AA7"/>
    <w:rsid w:val="00F74D92"/>
    <w:rsid w:val="00F75087"/>
    <w:rsid w:val="00F7508A"/>
    <w:rsid w:val="00F751EA"/>
    <w:rsid w:val="00F7533E"/>
    <w:rsid w:val="00F754E1"/>
    <w:rsid w:val="00F754EA"/>
    <w:rsid w:val="00F756DF"/>
    <w:rsid w:val="00F75738"/>
    <w:rsid w:val="00F75988"/>
    <w:rsid w:val="00F75A31"/>
    <w:rsid w:val="00F75A76"/>
    <w:rsid w:val="00F75A99"/>
    <w:rsid w:val="00F75B4A"/>
    <w:rsid w:val="00F75DCA"/>
    <w:rsid w:val="00F7639A"/>
    <w:rsid w:val="00F766D6"/>
    <w:rsid w:val="00F767D0"/>
    <w:rsid w:val="00F76932"/>
    <w:rsid w:val="00F76D4D"/>
    <w:rsid w:val="00F77288"/>
    <w:rsid w:val="00F772BA"/>
    <w:rsid w:val="00F773A8"/>
    <w:rsid w:val="00F7763E"/>
    <w:rsid w:val="00F77723"/>
    <w:rsid w:val="00F777D8"/>
    <w:rsid w:val="00F77901"/>
    <w:rsid w:val="00F779F2"/>
    <w:rsid w:val="00F779F9"/>
    <w:rsid w:val="00F77AD5"/>
    <w:rsid w:val="00F77C3C"/>
    <w:rsid w:val="00F8000E"/>
    <w:rsid w:val="00F80275"/>
    <w:rsid w:val="00F80337"/>
    <w:rsid w:val="00F8078D"/>
    <w:rsid w:val="00F80875"/>
    <w:rsid w:val="00F80914"/>
    <w:rsid w:val="00F809E9"/>
    <w:rsid w:val="00F809F1"/>
    <w:rsid w:val="00F80A5B"/>
    <w:rsid w:val="00F80C1F"/>
    <w:rsid w:val="00F80C21"/>
    <w:rsid w:val="00F80C5F"/>
    <w:rsid w:val="00F80EC9"/>
    <w:rsid w:val="00F80FB9"/>
    <w:rsid w:val="00F813DA"/>
    <w:rsid w:val="00F81663"/>
    <w:rsid w:val="00F8174C"/>
    <w:rsid w:val="00F817FF"/>
    <w:rsid w:val="00F81825"/>
    <w:rsid w:val="00F818F5"/>
    <w:rsid w:val="00F81EF8"/>
    <w:rsid w:val="00F81F1F"/>
    <w:rsid w:val="00F820DD"/>
    <w:rsid w:val="00F82432"/>
    <w:rsid w:val="00F827BC"/>
    <w:rsid w:val="00F828F5"/>
    <w:rsid w:val="00F82B3C"/>
    <w:rsid w:val="00F82BE8"/>
    <w:rsid w:val="00F82BEA"/>
    <w:rsid w:val="00F82FF0"/>
    <w:rsid w:val="00F83002"/>
    <w:rsid w:val="00F830C7"/>
    <w:rsid w:val="00F83306"/>
    <w:rsid w:val="00F83484"/>
    <w:rsid w:val="00F83727"/>
    <w:rsid w:val="00F837C2"/>
    <w:rsid w:val="00F83A83"/>
    <w:rsid w:val="00F83B68"/>
    <w:rsid w:val="00F83CBB"/>
    <w:rsid w:val="00F83F58"/>
    <w:rsid w:val="00F83FD8"/>
    <w:rsid w:val="00F84410"/>
    <w:rsid w:val="00F844B7"/>
    <w:rsid w:val="00F845E8"/>
    <w:rsid w:val="00F84891"/>
    <w:rsid w:val="00F848A4"/>
    <w:rsid w:val="00F849CB"/>
    <w:rsid w:val="00F84E5A"/>
    <w:rsid w:val="00F84EB0"/>
    <w:rsid w:val="00F85206"/>
    <w:rsid w:val="00F853B1"/>
    <w:rsid w:val="00F854A7"/>
    <w:rsid w:val="00F85601"/>
    <w:rsid w:val="00F85767"/>
    <w:rsid w:val="00F85859"/>
    <w:rsid w:val="00F8592A"/>
    <w:rsid w:val="00F859C1"/>
    <w:rsid w:val="00F85A70"/>
    <w:rsid w:val="00F85AC8"/>
    <w:rsid w:val="00F85B90"/>
    <w:rsid w:val="00F85C4B"/>
    <w:rsid w:val="00F85E0B"/>
    <w:rsid w:val="00F86165"/>
    <w:rsid w:val="00F8618E"/>
    <w:rsid w:val="00F86193"/>
    <w:rsid w:val="00F861C3"/>
    <w:rsid w:val="00F86211"/>
    <w:rsid w:val="00F8633B"/>
    <w:rsid w:val="00F865CE"/>
    <w:rsid w:val="00F8677D"/>
    <w:rsid w:val="00F867C8"/>
    <w:rsid w:val="00F86811"/>
    <w:rsid w:val="00F868B3"/>
    <w:rsid w:val="00F8696E"/>
    <w:rsid w:val="00F86C38"/>
    <w:rsid w:val="00F86DA4"/>
    <w:rsid w:val="00F86E07"/>
    <w:rsid w:val="00F870AD"/>
    <w:rsid w:val="00F87145"/>
    <w:rsid w:val="00F87503"/>
    <w:rsid w:val="00F8771C"/>
    <w:rsid w:val="00F877FC"/>
    <w:rsid w:val="00F87888"/>
    <w:rsid w:val="00F87986"/>
    <w:rsid w:val="00F87AA2"/>
    <w:rsid w:val="00F87ACA"/>
    <w:rsid w:val="00F87CE4"/>
    <w:rsid w:val="00F87D22"/>
    <w:rsid w:val="00F87DA4"/>
    <w:rsid w:val="00F87E1A"/>
    <w:rsid w:val="00F90074"/>
    <w:rsid w:val="00F9016C"/>
    <w:rsid w:val="00F9022B"/>
    <w:rsid w:val="00F90A77"/>
    <w:rsid w:val="00F90AEF"/>
    <w:rsid w:val="00F90B4D"/>
    <w:rsid w:val="00F90B64"/>
    <w:rsid w:val="00F90B85"/>
    <w:rsid w:val="00F90DBA"/>
    <w:rsid w:val="00F90E68"/>
    <w:rsid w:val="00F912A6"/>
    <w:rsid w:val="00F914F9"/>
    <w:rsid w:val="00F91867"/>
    <w:rsid w:val="00F919DA"/>
    <w:rsid w:val="00F91B15"/>
    <w:rsid w:val="00F91D53"/>
    <w:rsid w:val="00F9216A"/>
    <w:rsid w:val="00F9247D"/>
    <w:rsid w:val="00F9249C"/>
    <w:rsid w:val="00F92520"/>
    <w:rsid w:val="00F92B75"/>
    <w:rsid w:val="00F92C6B"/>
    <w:rsid w:val="00F92E67"/>
    <w:rsid w:val="00F9311A"/>
    <w:rsid w:val="00F933B9"/>
    <w:rsid w:val="00F93506"/>
    <w:rsid w:val="00F936CE"/>
    <w:rsid w:val="00F93943"/>
    <w:rsid w:val="00F93A94"/>
    <w:rsid w:val="00F93B89"/>
    <w:rsid w:val="00F93C56"/>
    <w:rsid w:val="00F93E95"/>
    <w:rsid w:val="00F93EA8"/>
    <w:rsid w:val="00F93FD4"/>
    <w:rsid w:val="00F94170"/>
    <w:rsid w:val="00F9459F"/>
    <w:rsid w:val="00F94625"/>
    <w:rsid w:val="00F94767"/>
    <w:rsid w:val="00F94844"/>
    <w:rsid w:val="00F94883"/>
    <w:rsid w:val="00F949FD"/>
    <w:rsid w:val="00F94AA9"/>
    <w:rsid w:val="00F94AE1"/>
    <w:rsid w:val="00F94AF0"/>
    <w:rsid w:val="00F94B3D"/>
    <w:rsid w:val="00F94B4D"/>
    <w:rsid w:val="00F94B5F"/>
    <w:rsid w:val="00F94F68"/>
    <w:rsid w:val="00F94FD0"/>
    <w:rsid w:val="00F951FB"/>
    <w:rsid w:val="00F95372"/>
    <w:rsid w:val="00F9545A"/>
    <w:rsid w:val="00F95B23"/>
    <w:rsid w:val="00F95BEA"/>
    <w:rsid w:val="00F95C54"/>
    <w:rsid w:val="00F95C60"/>
    <w:rsid w:val="00F95C97"/>
    <w:rsid w:val="00F95E96"/>
    <w:rsid w:val="00F95EAB"/>
    <w:rsid w:val="00F95EAE"/>
    <w:rsid w:val="00F96083"/>
    <w:rsid w:val="00F962A6"/>
    <w:rsid w:val="00F962C1"/>
    <w:rsid w:val="00F96627"/>
    <w:rsid w:val="00F96ADD"/>
    <w:rsid w:val="00F96BBB"/>
    <w:rsid w:val="00F97044"/>
    <w:rsid w:val="00F9733F"/>
    <w:rsid w:val="00F973F2"/>
    <w:rsid w:val="00F97546"/>
    <w:rsid w:val="00F975A4"/>
    <w:rsid w:val="00F978FF"/>
    <w:rsid w:val="00F979F8"/>
    <w:rsid w:val="00F97A01"/>
    <w:rsid w:val="00F97DCC"/>
    <w:rsid w:val="00FA0003"/>
    <w:rsid w:val="00FA0037"/>
    <w:rsid w:val="00FA00C3"/>
    <w:rsid w:val="00FA015B"/>
    <w:rsid w:val="00FA0175"/>
    <w:rsid w:val="00FA01AE"/>
    <w:rsid w:val="00FA0387"/>
    <w:rsid w:val="00FA06C3"/>
    <w:rsid w:val="00FA07AE"/>
    <w:rsid w:val="00FA0B31"/>
    <w:rsid w:val="00FA0C21"/>
    <w:rsid w:val="00FA0D0F"/>
    <w:rsid w:val="00FA1228"/>
    <w:rsid w:val="00FA13A6"/>
    <w:rsid w:val="00FA13D3"/>
    <w:rsid w:val="00FA14FF"/>
    <w:rsid w:val="00FA160B"/>
    <w:rsid w:val="00FA1621"/>
    <w:rsid w:val="00FA1651"/>
    <w:rsid w:val="00FA16F1"/>
    <w:rsid w:val="00FA1817"/>
    <w:rsid w:val="00FA185B"/>
    <w:rsid w:val="00FA188D"/>
    <w:rsid w:val="00FA18A3"/>
    <w:rsid w:val="00FA18C4"/>
    <w:rsid w:val="00FA18DE"/>
    <w:rsid w:val="00FA1994"/>
    <w:rsid w:val="00FA199A"/>
    <w:rsid w:val="00FA1B1B"/>
    <w:rsid w:val="00FA1B35"/>
    <w:rsid w:val="00FA1B38"/>
    <w:rsid w:val="00FA1DDD"/>
    <w:rsid w:val="00FA1F01"/>
    <w:rsid w:val="00FA1F67"/>
    <w:rsid w:val="00FA1F6B"/>
    <w:rsid w:val="00FA1F82"/>
    <w:rsid w:val="00FA2039"/>
    <w:rsid w:val="00FA20E9"/>
    <w:rsid w:val="00FA2136"/>
    <w:rsid w:val="00FA232C"/>
    <w:rsid w:val="00FA243B"/>
    <w:rsid w:val="00FA2789"/>
    <w:rsid w:val="00FA28C6"/>
    <w:rsid w:val="00FA28EA"/>
    <w:rsid w:val="00FA2B98"/>
    <w:rsid w:val="00FA2C64"/>
    <w:rsid w:val="00FA2CDC"/>
    <w:rsid w:val="00FA2D39"/>
    <w:rsid w:val="00FA2D62"/>
    <w:rsid w:val="00FA2D86"/>
    <w:rsid w:val="00FA2DE4"/>
    <w:rsid w:val="00FA2ED7"/>
    <w:rsid w:val="00FA3436"/>
    <w:rsid w:val="00FA3472"/>
    <w:rsid w:val="00FA352B"/>
    <w:rsid w:val="00FA3628"/>
    <w:rsid w:val="00FA3712"/>
    <w:rsid w:val="00FA3771"/>
    <w:rsid w:val="00FA3991"/>
    <w:rsid w:val="00FA3A09"/>
    <w:rsid w:val="00FA3B2F"/>
    <w:rsid w:val="00FA3BDB"/>
    <w:rsid w:val="00FA3E16"/>
    <w:rsid w:val="00FA4135"/>
    <w:rsid w:val="00FA435A"/>
    <w:rsid w:val="00FA44FE"/>
    <w:rsid w:val="00FA45E7"/>
    <w:rsid w:val="00FA484A"/>
    <w:rsid w:val="00FA4AFA"/>
    <w:rsid w:val="00FA4B90"/>
    <w:rsid w:val="00FA4BC3"/>
    <w:rsid w:val="00FA4BF3"/>
    <w:rsid w:val="00FA4CE6"/>
    <w:rsid w:val="00FA4D76"/>
    <w:rsid w:val="00FA4D90"/>
    <w:rsid w:val="00FA4E0C"/>
    <w:rsid w:val="00FA5106"/>
    <w:rsid w:val="00FA5886"/>
    <w:rsid w:val="00FA59E0"/>
    <w:rsid w:val="00FA5A7C"/>
    <w:rsid w:val="00FA61B8"/>
    <w:rsid w:val="00FA6308"/>
    <w:rsid w:val="00FA6327"/>
    <w:rsid w:val="00FA6462"/>
    <w:rsid w:val="00FA64F4"/>
    <w:rsid w:val="00FA658F"/>
    <w:rsid w:val="00FA6802"/>
    <w:rsid w:val="00FA6887"/>
    <w:rsid w:val="00FA69E8"/>
    <w:rsid w:val="00FA6A35"/>
    <w:rsid w:val="00FA70C3"/>
    <w:rsid w:val="00FA717F"/>
    <w:rsid w:val="00FA71F8"/>
    <w:rsid w:val="00FA72B0"/>
    <w:rsid w:val="00FA72E3"/>
    <w:rsid w:val="00FA73A3"/>
    <w:rsid w:val="00FA7427"/>
    <w:rsid w:val="00FA7F70"/>
    <w:rsid w:val="00FB01E4"/>
    <w:rsid w:val="00FB02AD"/>
    <w:rsid w:val="00FB0361"/>
    <w:rsid w:val="00FB0393"/>
    <w:rsid w:val="00FB050F"/>
    <w:rsid w:val="00FB067B"/>
    <w:rsid w:val="00FB0692"/>
    <w:rsid w:val="00FB077B"/>
    <w:rsid w:val="00FB0873"/>
    <w:rsid w:val="00FB0882"/>
    <w:rsid w:val="00FB09B4"/>
    <w:rsid w:val="00FB0A8A"/>
    <w:rsid w:val="00FB0B0C"/>
    <w:rsid w:val="00FB0E82"/>
    <w:rsid w:val="00FB11F6"/>
    <w:rsid w:val="00FB120C"/>
    <w:rsid w:val="00FB14AC"/>
    <w:rsid w:val="00FB14C6"/>
    <w:rsid w:val="00FB1603"/>
    <w:rsid w:val="00FB160C"/>
    <w:rsid w:val="00FB1698"/>
    <w:rsid w:val="00FB16C1"/>
    <w:rsid w:val="00FB16DF"/>
    <w:rsid w:val="00FB1724"/>
    <w:rsid w:val="00FB17C8"/>
    <w:rsid w:val="00FB1857"/>
    <w:rsid w:val="00FB1BC7"/>
    <w:rsid w:val="00FB1CB6"/>
    <w:rsid w:val="00FB1E79"/>
    <w:rsid w:val="00FB1EBE"/>
    <w:rsid w:val="00FB1F99"/>
    <w:rsid w:val="00FB2056"/>
    <w:rsid w:val="00FB224A"/>
    <w:rsid w:val="00FB2251"/>
    <w:rsid w:val="00FB2265"/>
    <w:rsid w:val="00FB2362"/>
    <w:rsid w:val="00FB2367"/>
    <w:rsid w:val="00FB2479"/>
    <w:rsid w:val="00FB2906"/>
    <w:rsid w:val="00FB2914"/>
    <w:rsid w:val="00FB29A7"/>
    <w:rsid w:val="00FB2B41"/>
    <w:rsid w:val="00FB2CEE"/>
    <w:rsid w:val="00FB2EBE"/>
    <w:rsid w:val="00FB2EFA"/>
    <w:rsid w:val="00FB2FC3"/>
    <w:rsid w:val="00FB33C9"/>
    <w:rsid w:val="00FB34A9"/>
    <w:rsid w:val="00FB34B6"/>
    <w:rsid w:val="00FB369F"/>
    <w:rsid w:val="00FB3795"/>
    <w:rsid w:val="00FB3832"/>
    <w:rsid w:val="00FB3BE7"/>
    <w:rsid w:val="00FB3C61"/>
    <w:rsid w:val="00FB3C79"/>
    <w:rsid w:val="00FB3D39"/>
    <w:rsid w:val="00FB3DE1"/>
    <w:rsid w:val="00FB3EB8"/>
    <w:rsid w:val="00FB3F3C"/>
    <w:rsid w:val="00FB40F2"/>
    <w:rsid w:val="00FB4298"/>
    <w:rsid w:val="00FB429E"/>
    <w:rsid w:val="00FB433F"/>
    <w:rsid w:val="00FB450C"/>
    <w:rsid w:val="00FB47AB"/>
    <w:rsid w:val="00FB4C4C"/>
    <w:rsid w:val="00FB4DF9"/>
    <w:rsid w:val="00FB4F01"/>
    <w:rsid w:val="00FB4F10"/>
    <w:rsid w:val="00FB5096"/>
    <w:rsid w:val="00FB5197"/>
    <w:rsid w:val="00FB527F"/>
    <w:rsid w:val="00FB5504"/>
    <w:rsid w:val="00FB5688"/>
    <w:rsid w:val="00FB56BE"/>
    <w:rsid w:val="00FB57EF"/>
    <w:rsid w:val="00FB58AE"/>
    <w:rsid w:val="00FB5A12"/>
    <w:rsid w:val="00FB608A"/>
    <w:rsid w:val="00FB621B"/>
    <w:rsid w:val="00FB6340"/>
    <w:rsid w:val="00FB6384"/>
    <w:rsid w:val="00FB6395"/>
    <w:rsid w:val="00FB6399"/>
    <w:rsid w:val="00FB63C6"/>
    <w:rsid w:val="00FB6565"/>
    <w:rsid w:val="00FB6755"/>
    <w:rsid w:val="00FB682D"/>
    <w:rsid w:val="00FB6833"/>
    <w:rsid w:val="00FB693B"/>
    <w:rsid w:val="00FB6B18"/>
    <w:rsid w:val="00FB6EA4"/>
    <w:rsid w:val="00FB6EE6"/>
    <w:rsid w:val="00FB6F56"/>
    <w:rsid w:val="00FB7B68"/>
    <w:rsid w:val="00FB7C1C"/>
    <w:rsid w:val="00FB7EC9"/>
    <w:rsid w:val="00FB7F35"/>
    <w:rsid w:val="00FC00D9"/>
    <w:rsid w:val="00FC037C"/>
    <w:rsid w:val="00FC04F0"/>
    <w:rsid w:val="00FC0574"/>
    <w:rsid w:val="00FC05D5"/>
    <w:rsid w:val="00FC0662"/>
    <w:rsid w:val="00FC06C6"/>
    <w:rsid w:val="00FC06EF"/>
    <w:rsid w:val="00FC0A71"/>
    <w:rsid w:val="00FC0AA8"/>
    <w:rsid w:val="00FC0AD6"/>
    <w:rsid w:val="00FC0B9A"/>
    <w:rsid w:val="00FC0C82"/>
    <w:rsid w:val="00FC0D71"/>
    <w:rsid w:val="00FC0E57"/>
    <w:rsid w:val="00FC0FC9"/>
    <w:rsid w:val="00FC1273"/>
    <w:rsid w:val="00FC1374"/>
    <w:rsid w:val="00FC18C0"/>
    <w:rsid w:val="00FC1986"/>
    <w:rsid w:val="00FC198B"/>
    <w:rsid w:val="00FC1B0B"/>
    <w:rsid w:val="00FC1E84"/>
    <w:rsid w:val="00FC1EB7"/>
    <w:rsid w:val="00FC216B"/>
    <w:rsid w:val="00FC218E"/>
    <w:rsid w:val="00FC2301"/>
    <w:rsid w:val="00FC23BE"/>
    <w:rsid w:val="00FC272D"/>
    <w:rsid w:val="00FC294B"/>
    <w:rsid w:val="00FC2B29"/>
    <w:rsid w:val="00FC2DA2"/>
    <w:rsid w:val="00FC2DDE"/>
    <w:rsid w:val="00FC2E5D"/>
    <w:rsid w:val="00FC2EBC"/>
    <w:rsid w:val="00FC2EEA"/>
    <w:rsid w:val="00FC2F8D"/>
    <w:rsid w:val="00FC303F"/>
    <w:rsid w:val="00FC34D9"/>
    <w:rsid w:val="00FC372F"/>
    <w:rsid w:val="00FC37A3"/>
    <w:rsid w:val="00FC38EC"/>
    <w:rsid w:val="00FC3EAB"/>
    <w:rsid w:val="00FC3EC8"/>
    <w:rsid w:val="00FC4168"/>
    <w:rsid w:val="00FC4188"/>
    <w:rsid w:val="00FC41C6"/>
    <w:rsid w:val="00FC42B4"/>
    <w:rsid w:val="00FC4623"/>
    <w:rsid w:val="00FC464E"/>
    <w:rsid w:val="00FC467E"/>
    <w:rsid w:val="00FC46F6"/>
    <w:rsid w:val="00FC477E"/>
    <w:rsid w:val="00FC4852"/>
    <w:rsid w:val="00FC486F"/>
    <w:rsid w:val="00FC4912"/>
    <w:rsid w:val="00FC49D4"/>
    <w:rsid w:val="00FC4A52"/>
    <w:rsid w:val="00FC4BB3"/>
    <w:rsid w:val="00FC4BFC"/>
    <w:rsid w:val="00FC4D54"/>
    <w:rsid w:val="00FC4E2C"/>
    <w:rsid w:val="00FC4E94"/>
    <w:rsid w:val="00FC4F6B"/>
    <w:rsid w:val="00FC4F7D"/>
    <w:rsid w:val="00FC5011"/>
    <w:rsid w:val="00FC525D"/>
    <w:rsid w:val="00FC5727"/>
    <w:rsid w:val="00FC5798"/>
    <w:rsid w:val="00FC5801"/>
    <w:rsid w:val="00FC586C"/>
    <w:rsid w:val="00FC5C22"/>
    <w:rsid w:val="00FC5CFA"/>
    <w:rsid w:val="00FC5E65"/>
    <w:rsid w:val="00FC60C6"/>
    <w:rsid w:val="00FC64BA"/>
    <w:rsid w:val="00FC6529"/>
    <w:rsid w:val="00FC68ED"/>
    <w:rsid w:val="00FC6984"/>
    <w:rsid w:val="00FC6B45"/>
    <w:rsid w:val="00FC6D56"/>
    <w:rsid w:val="00FC6E20"/>
    <w:rsid w:val="00FC70E6"/>
    <w:rsid w:val="00FC71CC"/>
    <w:rsid w:val="00FC736D"/>
    <w:rsid w:val="00FC74D7"/>
    <w:rsid w:val="00FC74DE"/>
    <w:rsid w:val="00FC752F"/>
    <w:rsid w:val="00FC79A1"/>
    <w:rsid w:val="00FC7A96"/>
    <w:rsid w:val="00FC7DD0"/>
    <w:rsid w:val="00FC7E89"/>
    <w:rsid w:val="00FD01C7"/>
    <w:rsid w:val="00FD0298"/>
    <w:rsid w:val="00FD033B"/>
    <w:rsid w:val="00FD03F8"/>
    <w:rsid w:val="00FD05C2"/>
    <w:rsid w:val="00FD05D6"/>
    <w:rsid w:val="00FD07C8"/>
    <w:rsid w:val="00FD07E2"/>
    <w:rsid w:val="00FD09DB"/>
    <w:rsid w:val="00FD0AAA"/>
    <w:rsid w:val="00FD0DA0"/>
    <w:rsid w:val="00FD1089"/>
    <w:rsid w:val="00FD118F"/>
    <w:rsid w:val="00FD13FB"/>
    <w:rsid w:val="00FD146B"/>
    <w:rsid w:val="00FD151D"/>
    <w:rsid w:val="00FD17C6"/>
    <w:rsid w:val="00FD18D2"/>
    <w:rsid w:val="00FD1A4D"/>
    <w:rsid w:val="00FD1E84"/>
    <w:rsid w:val="00FD21B7"/>
    <w:rsid w:val="00FD21BF"/>
    <w:rsid w:val="00FD2207"/>
    <w:rsid w:val="00FD23BB"/>
    <w:rsid w:val="00FD2645"/>
    <w:rsid w:val="00FD270B"/>
    <w:rsid w:val="00FD27F2"/>
    <w:rsid w:val="00FD29DE"/>
    <w:rsid w:val="00FD2A66"/>
    <w:rsid w:val="00FD2AF0"/>
    <w:rsid w:val="00FD2BA1"/>
    <w:rsid w:val="00FD2CB0"/>
    <w:rsid w:val="00FD2CBF"/>
    <w:rsid w:val="00FD2D73"/>
    <w:rsid w:val="00FD2EBB"/>
    <w:rsid w:val="00FD2F23"/>
    <w:rsid w:val="00FD2F2E"/>
    <w:rsid w:val="00FD3350"/>
    <w:rsid w:val="00FD3476"/>
    <w:rsid w:val="00FD388F"/>
    <w:rsid w:val="00FD3BA4"/>
    <w:rsid w:val="00FD3BF9"/>
    <w:rsid w:val="00FD3C04"/>
    <w:rsid w:val="00FD3C15"/>
    <w:rsid w:val="00FD3CF1"/>
    <w:rsid w:val="00FD3DE7"/>
    <w:rsid w:val="00FD4065"/>
    <w:rsid w:val="00FD418A"/>
    <w:rsid w:val="00FD41CE"/>
    <w:rsid w:val="00FD43F6"/>
    <w:rsid w:val="00FD4491"/>
    <w:rsid w:val="00FD44F2"/>
    <w:rsid w:val="00FD466E"/>
    <w:rsid w:val="00FD4B5E"/>
    <w:rsid w:val="00FD5077"/>
    <w:rsid w:val="00FD545C"/>
    <w:rsid w:val="00FD554A"/>
    <w:rsid w:val="00FD5622"/>
    <w:rsid w:val="00FD563D"/>
    <w:rsid w:val="00FD59F5"/>
    <w:rsid w:val="00FD5B66"/>
    <w:rsid w:val="00FD5E03"/>
    <w:rsid w:val="00FD639E"/>
    <w:rsid w:val="00FD64D3"/>
    <w:rsid w:val="00FD67D4"/>
    <w:rsid w:val="00FD67E1"/>
    <w:rsid w:val="00FD6B59"/>
    <w:rsid w:val="00FD6CBC"/>
    <w:rsid w:val="00FD6CE4"/>
    <w:rsid w:val="00FD6D65"/>
    <w:rsid w:val="00FD6FB8"/>
    <w:rsid w:val="00FD6FE1"/>
    <w:rsid w:val="00FD7134"/>
    <w:rsid w:val="00FD7203"/>
    <w:rsid w:val="00FD7206"/>
    <w:rsid w:val="00FD74AF"/>
    <w:rsid w:val="00FD74FB"/>
    <w:rsid w:val="00FD77F7"/>
    <w:rsid w:val="00FD7A85"/>
    <w:rsid w:val="00FD7C01"/>
    <w:rsid w:val="00FD7C1A"/>
    <w:rsid w:val="00FD7C21"/>
    <w:rsid w:val="00FD7D64"/>
    <w:rsid w:val="00FD7EFA"/>
    <w:rsid w:val="00FD7FEB"/>
    <w:rsid w:val="00FE007D"/>
    <w:rsid w:val="00FE0126"/>
    <w:rsid w:val="00FE0176"/>
    <w:rsid w:val="00FE020A"/>
    <w:rsid w:val="00FE047B"/>
    <w:rsid w:val="00FE0533"/>
    <w:rsid w:val="00FE0C37"/>
    <w:rsid w:val="00FE1147"/>
    <w:rsid w:val="00FE15AE"/>
    <w:rsid w:val="00FE1751"/>
    <w:rsid w:val="00FE1958"/>
    <w:rsid w:val="00FE1963"/>
    <w:rsid w:val="00FE19ED"/>
    <w:rsid w:val="00FE1D03"/>
    <w:rsid w:val="00FE1D7B"/>
    <w:rsid w:val="00FE1D92"/>
    <w:rsid w:val="00FE1FC8"/>
    <w:rsid w:val="00FE221E"/>
    <w:rsid w:val="00FE2525"/>
    <w:rsid w:val="00FE2884"/>
    <w:rsid w:val="00FE296D"/>
    <w:rsid w:val="00FE2996"/>
    <w:rsid w:val="00FE2B3E"/>
    <w:rsid w:val="00FE2BD0"/>
    <w:rsid w:val="00FE2BD1"/>
    <w:rsid w:val="00FE2CE0"/>
    <w:rsid w:val="00FE2D7F"/>
    <w:rsid w:val="00FE312A"/>
    <w:rsid w:val="00FE32DF"/>
    <w:rsid w:val="00FE32E6"/>
    <w:rsid w:val="00FE335B"/>
    <w:rsid w:val="00FE3455"/>
    <w:rsid w:val="00FE345F"/>
    <w:rsid w:val="00FE3470"/>
    <w:rsid w:val="00FE3500"/>
    <w:rsid w:val="00FE3628"/>
    <w:rsid w:val="00FE36D4"/>
    <w:rsid w:val="00FE370E"/>
    <w:rsid w:val="00FE3989"/>
    <w:rsid w:val="00FE3A91"/>
    <w:rsid w:val="00FE3AD8"/>
    <w:rsid w:val="00FE3CDF"/>
    <w:rsid w:val="00FE3DDB"/>
    <w:rsid w:val="00FE4087"/>
    <w:rsid w:val="00FE410D"/>
    <w:rsid w:val="00FE46AB"/>
    <w:rsid w:val="00FE46CF"/>
    <w:rsid w:val="00FE4725"/>
    <w:rsid w:val="00FE4D29"/>
    <w:rsid w:val="00FE4D2B"/>
    <w:rsid w:val="00FE4DC4"/>
    <w:rsid w:val="00FE526A"/>
    <w:rsid w:val="00FE5487"/>
    <w:rsid w:val="00FE5668"/>
    <w:rsid w:val="00FE579E"/>
    <w:rsid w:val="00FE59E2"/>
    <w:rsid w:val="00FE5D69"/>
    <w:rsid w:val="00FE5D6B"/>
    <w:rsid w:val="00FE5DE6"/>
    <w:rsid w:val="00FE5F94"/>
    <w:rsid w:val="00FE601D"/>
    <w:rsid w:val="00FE621F"/>
    <w:rsid w:val="00FE6304"/>
    <w:rsid w:val="00FE6794"/>
    <w:rsid w:val="00FE68FE"/>
    <w:rsid w:val="00FE6B8B"/>
    <w:rsid w:val="00FE6C4C"/>
    <w:rsid w:val="00FE70FC"/>
    <w:rsid w:val="00FE7199"/>
    <w:rsid w:val="00FE73C4"/>
    <w:rsid w:val="00FE7465"/>
    <w:rsid w:val="00FE7551"/>
    <w:rsid w:val="00FE775A"/>
    <w:rsid w:val="00FE7A25"/>
    <w:rsid w:val="00FE7CA8"/>
    <w:rsid w:val="00FE7F0E"/>
    <w:rsid w:val="00FF005A"/>
    <w:rsid w:val="00FF030B"/>
    <w:rsid w:val="00FF040C"/>
    <w:rsid w:val="00FF05A6"/>
    <w:rsid w:val="00FF0661"/>
    <w:rsid w:val="00FF0A25"/>
    <w:rsid w:val="00FF0C5F"/>
    <w:rsid w:val="00FF0CA2"/>
    <w:rsid w:val="00FF0D0A"/>
    <w:rsid w:val="00FF1120"/>
    <w:rsid w:val="00FF1184"/>
    <w:rsid w:val="00FF11B6"/>
    <w:rsid w:val="00FF11CB"/>
    <w:rsid w:val="00FF11CF"/>
    <w:rsid w:val="00FF13F0"/>
    <w:rsid w:val="00FF1782"/>
    <w:rsid w:val="00FF1879"/>
    <w:rsid w:val="00FF18A3"/>
    <w:rsid w:val="00FF19A5"/>
    <w:rsid w:val="00FF1BFF"/>
    <w:rsid w:val="00FF1E68"/>
    <w:rsid w:val="00FF1F42"/>
    <w:rsid w:val="00FF224C"/>
    <w:rsid w:val="00FF2251"/>
    <w:rsid w:val="00FF22C3"/>
    <w:rsid w:val="00FF24CD"/>
    <w:rsid w:val="00FF2573"/>
    <w:rsid w:val="00FF26C7"/>
    <w:rsid w:val="00FF27A2"/>
    <w:rsid w:val="00FF27AE"/>
    <w:rsid w:val="00FF2816"/>
    <w:rsid w:val="00FF28D2"/>
    <w:rsid w:val="00FF2A6E"/>
    <w:rsid w:val="00FF2BB6"/>
    <w:rsid w:val="00FF2EF2"/>
    <w:rsid w:val="00FF3137"/>
    <w:rsid w:val="00FF32FB"/>
    <w:rsid w:val="00FF345F"/>
    <w:rsid w:val="00FF3A4D"/>
    <w:rsid w:val="00FF3AB6"/>
    <w:rsid w:val="00FF3ADD"/>
    <w:rsid w:val="00FF3B1C"/>
    <w:rsid w:val="00FF3BCA"/>
    <w:rsid w:val="00FF3C12"/>
    <w:rsid w:val="00FF3D40"/>
    <w:rsid w:val="00FF4008"/>
    <w:rsid w:val="00FF40E4"/>
    <w:rsid w:val="00FF4170"/>
    <w:rsid w:val="00FF4181"/>
    <w:rsid w:val="00FF41CA"/>
    <w:rsid w:val="00FF432E"/>
    <w:rsid w:val="00FF43DE"/>
    <w:rsid w:val="00FF44A1"/>
    <w:rsid w:val="00FF455A"/>
    <w:rsid w:val="00FF4739"/>
    <w:rsid w:val="00FF4927"/>
    <w:rsid w:val="00FF498A"/>
    <w:rsid w:val="00FF4A92"/>
    <w:rsid w:val="00FF4B5A"/>
    <w:rsid w:val="00FF4D10"/>
    <w:rsid w:val="00FF4E4F"/>
    <w:rsid w:val="00FF4EBE"/>
    <w:rsid w:val="00FF4F40"/>
    <w:rsid w:val="00FF4FB2"/>
    <w:rsid w:val="00FF5068"/>
    <w:rsid w:val="00FF5345"/>
    <w:rsid w:val="00FF54B3"/>
    <w:rsid w:val="00FF59B9"/>
    <w:rsid w:val="00FF5AD7"/>
    <w:rsid w:val="00FF5AF5"/>
    <w:rsid w:val="00FF5B0B"/>
    <w:rsid w:val="00FF5C2D"/>
    <w:rsid w:val="00FF5EB3"/>
    <w:rsid w:val="00FF6022"/>
    <w:rsid w:val="00FF63D7"/>
    <w:rsid w:val="00FF63DC"/>
    <w:rsid w:val="00FF646C"/>
    <w:rsid w:val="00FF652C"/>
    <w:rsid w:val="00FF6590"/>
    <w:rsid w:val="00FF6873"/>
    <w:rsid w:val="00FF6BD7"/>
    <w:rsid w:val="00FF6D84"/>
    <w:rsid w:val="00FF6E12"/>
    <w:rsid w:val="00FF6FA2"/>
    <w:rsid w:val="00FF726B"/>
    <w:rsid w:val="00FF7312"/>
    <w:rsid w:val="00FF7505"/>
    <w:rsid w:val="00FF773E"/>
    <w:rsid w:val="00FF7842"/>
    <w:rsid w:val="00FF796D"/>
    <w:rsid w:val="00FF7D14"/>
    <w:rsid w:val="00FF7D24"/>
    <w:rsid w:val="014630C4"/>
    <w:rsid w:val="01999906"/>
    <w:rsid w:val="01CCB9D0"/>
    <w:rsid w:val="021E10C1"/>
    <w:rsid w:val="02337230"/>
    <w:rsid w:val="02385225"/>
    <w:rsid w:val="0238D44C"/>
    <w:rsid w:val="02936984"/>
    <w:rsid w:val="0369B7A2"/>
    <w:rsid w:val="03BDABEB"/>
    <w:rsid w:val="07591FF3"/>
    <w:rsid w:val="0785F940"/>
    <w:rsid w:val="07CBEF8B"/>
    <w:rsid w:val="080F89C3"/>
    <w:rsid w:val="0871E07F"/>
    <w:rsid w:val="08B40CBD"/>
    <w:rsid w:val="093876C0"/>
    <w:rsid w:val="095C3F6B"/>
    <w:rsid w:val="099694A4"/>
    <w:rsid w:val="0BDE3B2E"/>
    <w:rsid w:val="0CD28536"/>
    <w:rsid w:val="0CFB6DF2"/>
    <w:rsid w:val="0CFEE296"/>
    <w:rsid w:val="0D3123CD"/>
    <w:rsid w:val="0D599E38"/>
    <w:rsid w:val="0D9F893E"/>
    <w:rsid w:val="0E094226"/>
    <w:rsid w:val="0E61BE09"/>
    <w:rsid w:val="0E667684"/>
    <w:rsid w:val="0EC4F527"/>
    <w:rsid w:val="0EFD171A"/>
    <w:rsid w:val="0F5FD9BC"/>
    <w:rsid w:val="0F70CFC8"/>
    <w:rsid w:val="0FE2DFC3"/>
    <w:rsid w:val="118D2FD1"/>
    <w:rsid w:val="11D776B0"/>
    <w:rsid w:val="11FC15A1"/>
    <w:rsid w:val="1367BB37"/>
    <w:rsid w:val="13A06A87"/>
    <w:rsid w:val="13DD225E"/>
    <w:rsid w:val="13EB3145"/>
    <w:rsid w:val="149D193A"/>
    <w:rsid w:val="175FD6FE"/>
    <w:rsid w:val="1762DA8C"/>
    <w:rsid w:val="177A8FD3"/>
    <w:rsid w:val="184AEA99"/>
    <w:rsid w:val="1881D2BC"/>
    <w:rsid w:val="189592A5"/>
    <w:rsid w:val="18B229EE"/>
    <w:rsid w:val="190EA168"/>
    <w:rsid w:val="191C9DFE"/>
    <w:rsid w:val="19B3DC2B"/>
    <w:rsid w:val="19BA45AA"/>
    <w:rsid w:val="19FE5046"/>
    <w:rsid w:val="1A335539"/>
    <w:rsid w:val="1A47484E"/>
    <w:rsid w:val="1A48488A"/>
    <w:rsid w:val="1A915E81"/>
    <w:rsid w:val="1ADA09E0"/>
    <w:rsid w:val="1AF9AB24"/>
    <w:rsid w:val="1B2D8A27"/>
    <w:rsid w:val="1B9706E3"/>
    <w:rsid w:val="1B9C970C"/>
    <w:rsid w:val="1BC592FC"/>
    <w:rsid w:val="1BDC337F"/>
    <w:rsid w:val="1C1EF9BC"/>
    <w:rsid w:val="1D4F444E"/>
    <w:rsid w:val="1DC1C686"/>
    <w:rsid w:val="1E6877C2"/>
    <w:rsid w:val="1EB2272B"/>
    <w:rsid w:val="1ED4DFA6"/>
    <w:rsid w:val="1F2DDD49"/>
    <w:rsid w:val="1FE84910"/>
    <w:rsid w:val="2088D5D4"/>
    <w:rsid w:val="20A98E54"/>
    <w:rsid w:val="20BFB38D"/>
    <w:rsid w:val="21C0EC2A"/>
    <w:rsid w:val="21D3B8E1"/>
    <w:rsid w:val="21D4EA5B"/>
    <w:rsid w:val="21F9A6B7"/>
    <w:rsid w:val="22013AB5"/>
    <w:rsid w:val="223C3953"/>
    <w:rsid w:val="227CFB2D"/>
    <w:rsid w:val="22BAECBB"/>
    <w:rsid w:val="22DF53D9"/>
    <w:rsid w:val="246A3B01"/>
    <w:rsid w:val="256D630F"/>
    <w:rsid w:val="258A9602"/>
    <w:rsid w:val="25F17197"/>
    <w:rsid w:val="26113074"/>
    <w:rsid w:val="26453ABD"/>
    <w:rsid w:val="269C22A7"/>
    <w:rsid w:val="26A567E5"/>
    <w:rsid w:val="27C6D2D9"/>
    <w:rsid w:val="281C93AE"/>
    <w:rsid w:val="285CFC5D"/>
    <w:rsid w:val="29EB0751"/>
    <w:rsid w:val="29ECF276"/>
    <w:rsid w:val="2A4D9A91"/>
    <w:rsid w:val="2A6EBCB7"/>
    <w:rsid w:val="2A819225"/>
    <w:rsid w:val="2B0370B9"/>
    <w:rsid w:val="2B525CCF"/>
    <w:rsid w:val="2B692D54"/>
    <w:rsid w:val="2C80AC96"/>
    <w:rsid w:val="2D50E025"/>
    <w:rsid w:val="2D742871"/>
    <w:rsid w:val="2E18FB9E"/>
    <w:rsid w:val="2E368B65"/>
    <w:rsid w:val="2E38F6C8"/>
    <w:rsid w:val="2E59FE36"/>
    <w:rsid w:val="2EAB1980"/>
    <w:rsid w:val="2F1A5A91"/>
    <w:rsid w:val="2F6825CB"/>
    <w:rsid w:val="3009FE98"/>
    <w:rsid w:val="304A1B9D"/>
    <w:rsid w:val="3075C9F0"/>
    <w:rsid w:val="3081305A"/>
    <w:rsid w:val="30FDFF3D"/>
    <w:rsid w:val="31093864"/>
    <w:rsid w:val="3152B566"/>
    <w:rsid w:val="31917F4A"/>
    <w:rsid w:val="31B5C553"/>
    <w:rsid w:val="320E94CC"/>
    <w:rsid w:val="32ED3C4A"/>
    <w:rsid w:val="32F4C240"/>
    <w:rsid w:val="33CD4648"/>
    <w:rsid w:val="342B751A"/>
    <w:rsid w:val="34553D3D"/>
    <w:rsid w:val="34569351"/>
    <w:rsid w:val="358153A0"/>
    <w:rsid w:val="35A3E0EF"/>
    <w:rsid w:val="35BB7534"/>
    <w:rsid w:val="3676A481"/>
    <w:rsid w:val="36829E86"/>
    <w:rsid w:val="36BDC9FD"/>
    <w:rsid w:val="36CA871C"/>
    <w:rsid w:val="378392A6"/>
    <w:rsid w:val="37B7BF44"/>
    <w:rsid w:val="37D8CE61"/>
    <w:rsid w:val="381F3B87"/>
    <w:rsid w:val="385A0B8D"/>
    <w:rsid w:val="38699051"/>
    <w:rsid w:val="3888A059"/>
    <w:rsid w:val="389C9E98"/>
    <w:rsid w:val="390A981E"/>
    <w:rsid w:val="3A11883E"/>
    <w:rsid w:val="3A3C726C"/>
    <w:rsid w:val="3A44EE93"/>
    <w:rsid w:val="3A69A7F0"/>
    <w:rsid w:val="3A95E9C5"/>
    <w:rsid w:val="3AA22BC1"/>
    <w:rsid w:val="3B10ECDE"/>
    <w:rsid w:val="3B383E7A"/>
    <w:rsid w:val="3B707C37"/>
    <w:rsid w:val="3B9A5BAA"/>
    <w:rsid w:val="3BA3402B"/>
    <w:rsid w:val="3C50B9DF"/>
    <w:rsid w:val="3C5F174C"/>
    <w:rsid w:val="3CE298F8"/>
    <w:rsid w:val="3D18BDCA"/>
    <w:rsid w:val="3DB3ECC1"/>
    <w:rsid w:val="3E1904FE"/>
    <w:rsid w:val="3E22571C"/>
    <w:rsid w:val="3F12241B"/>
    <w:rsid w:val="404563F2"/>
    <w:rsid w:val="4090D61F"/>
    <w:rsid w:val="4099E14D"/>
    <w:rsid w:val="4121722E"/>
    <w:rsid w:val="41592106"/>
    <w:rsid w:val="41EEB406"/>
    <w:rsid w:val="42126925"/>
    <w:rsid w:val="424A2E52"/>
    <w:rsid w:val="42AAAB0F"/>
    <w:rsid w:val="42CCCC43"/>
    <w:rsid w:val="42CD4890"/>
    <w:rsid w:val="42CE8577"/>
    <w:rsid w:val="446453FE"/>
    <w:rsid w:val="446F1761"/>
    <w:rsid w:val="4499B6AA"/>
    <w:rsid w:val="45405975"/>
    <w:rsid w:val="45A3CEF3"/>
    <w:rsid w:val="46304006"/>
    <w:rsid w:val="465903C8"/>
    <w:rsid w:val="466A9926"/>
    <w:rsid w:val="46C4D15D"/>
    <w:rsid w:val="46DF8418"/>
    <w:rsid w:val="4787E77C"/>
    <w:rsid w:val="47EE5B03"/>
    <w:rsid w:val="480E7EE9"/>
    <w:rsid w:val="482DE9DD"/>
    <w:rsid w:val="484C6AA5"/>
    <w:rsid w:val="488FC01B"/>
    <w:rsid w:val="48AF433D"/>
    <w:rsid w:val="49023C86"/>
    <w:rsid w:val="49319336"/>
    <w:rsid w:val="4959FB3D"/>
    <w:rsid w:val="4967D36B"/>
    <w:rsid w:val="4984FE63"/>
    <w:rsid w:val="4A2426EB"/>
    <w:rsid w:val="4AE691C9"/>
    <w:rsid w:val="4AEDD83D"/>
    <w:rsid w:val="4B21BD45"/>
    <w:rsid w:val="4B35F6A7"/>
    <w:rsid w:val="4B9FC687"/>
    <w:rsid w:val="4C1E9F68"/>
    <w:rsid w:val="4C999524"/>
    <w:rsid w:val="4D9741E5"/>
    <w:rsid w:val="4DDB6869"/>
    <w:rsid w:val="4E4D98D6"/>
    <w:rsid w:val="4EC91322"/>
    <w:rsid w:val="4F1C0D74"/>
    <w:rsid w:val="4F34F7BE"/>
    <w:rsid w:val="4FA58126"/>
    <w:rsid w:val="500AA385"/>
    <w:rsid w:val="5098C7DA"/>
    <w:rsid w:val="513BCAD1"/>
    <w:rsid w:val="5174153E"/>
    <w:rsid w:val="51C3AE02"/>
    <w:rsid w:val="51E12B93"/>
    <w:rsid w:val="521FFC3F"/>
    <w:rsid w:val="5233275C"/>
    <w:rsid w:val="52A27B53"/>
    <w:rsid w:val="52A5AC1D"/>
    <w:rsid w:val="53127B2E"/>
    <w:rsid w:val="531500E8"/>
    <w:rsid w:val="531FD73C"/>
    <w:rsid w:val="53370B44"/>
    <w:rsid w:val="542F1F0E"/>
    <w:rsid w:val="54BC8847"/>
    <w:rsid w:val="54DC0902"/>
    <w:rsid w:val="54F1A76D"/>
    <w:rsid w:val="552690C7"/>
    <w:rsid w:val="56070A71"/>
    <w:rsid w:val="562F5880"/>
    <w:rsid w:val="5685B18F"/>
    <w:rsid w:val="569CA5E1"/>
    <w:rsid w:val="575A2CFF"/>
    <w:rsid w:val="576768FD"/>
    <w:rsid w:val="57B468FC"/>
    <w:rsid w:val="58040E37"/>
    <w:rsid w:val="582ABDD9"/>
    <w:rsid w:val="589C20F2"/>
    <w:rsid w:val="5A347BAD"/>
    <w:rsid w:val="5B531225"/>
    <w:rsid w:val="5BFF53ED"/>
    <w:rsid w:val="5C1228A6"/>
    <w:rsid w:val="5C6DF4C2"/>
    <w:rsid w:val="5D25378F"/>
    <w:rsid w:val="5D42C210"/>
    <w:rsid w:val="5D963DDC"/>
    <w:rsid w:val="5D9856C8"/>
    <w:rsid w:val="5E47069A"/>
    <w:rsid w:val="5E9C76A2"/>
    <w:rsid w:val="5EE4A0CB"/>
    <w:rsid w:val="5F710A0F"/>
    <w:rsid w:val="5F7B4118"/>
    <w:rsid w:val="5F9A9F86"/>
    <w:rsid w:val="5FA56D8E"/>
    <w:rsid w:val="606F09C7"/>
    <w:rsid w:val="6072CDE4"/>
    <w:rsid w:val="60A87C47"/>
    <w:rsid w:val="60BAD55F"/>
    <w:rsid w:val="60E4FD3E"/>
    <w:rsid w:val="61F918B4"/>
    <w:rsid w:val="621ABF7F"/>
    <w:rsid w:val="6332583F"/>
    <w:rsid w:val="6372A3C1"/>
    <w:rsid w:val="638D1C9F"/>
    <w:rsid w:val="639281F0"/>
    <w:rsid w:val="643CB8BD"/>
    <w:rsid w:val="65309637"/>
    <w:rsid w:val="65425536"/>
    <w:rsid w:val="654925A0"/>
    <w:rsid w:val="65618F10"/>
    <w:rsid w:val="65FFAEB0"/>
    <w:rsid w:val="66D17DFF"/>
    <w:rsid w:val="673B4559"/>
    <w:rsid w:val="67558DC2"/>
    <w:rsid w:val="67BE63E4"/>
    <w:rsid w:val="67CF505E"/>
    <w:rsid w:val="68741715"/>
    <w:rsid w:val="68C763AC"/>
    <w:rsid w:val="68E2C49A"/>
    <w:rsid w:val="69355ADE"/>
    <w:rsid w:val="69686FE8"/>
    <w:rsid w:val="69A68930"/>
    <w:rsid w:val="69EF4F52"/>
    <w:rsid w:val="6A0EA71C"/>
    <w:rsid w:val="6A44BCF8"/>
    <w:rsid w:val="6A453158"/>
    <w:rsid w:val="6B5165AA"/>
    <w:rsid w:val="6B83F5AF"/>
    <w:rsid w:val="6BA9D457"/>
    <w:rsid w:val="6BB0F741"/>
    <w:rsid w:val="6C6FF24A"/>
    <w:rsid w:val="6C7241E0"/>
    <w:rsid w:val="6D50C35C"/>
    <w:rsid w:val="6D5A6D5C"/>
    <w:rsid w:val="6DF53334"/>
    <w:rsid w:val="6E2852BA"/>
    <w:rsid w:val="6E88266F"/>
    <w:rsid w:val="6F47A4C6"/>
    <w:rsid w:val="6F828F5F"/>
    <w:rsid w:val="6F85ECCB"/>
    <w:rsid w:val="6FA4EB52"/>
    <w:rsid w:val="6FDAD268"/>
    <w:rsid w:val="7046AFF7"/>
    <w:rsid w:val="7050F562"/>
    <w:rsid w:val="7087AA46"/>
    <w:rsid w:val="7096F82B"/>
    <w:rsid w:val="715A1715"/>
    <w:rsid w:val="736A55EC"/>
    <w:rsid w:val="7440B350"/>
    <w:rsid w:val="74AD6893"/>
    <w:rsid w:val="74E4FB7E"/>
    <w:rsid w:val="75249B23"/>
    <w:rsid w:val="754DB2A9"/>
    <w:rsid w:val="755CD4B3"/>
    <w:rsid w:val="7561EA42"/>
    <w:rsid w:val="76176513"/>
    <w:rsid w:val="761BB68F"/>
    <w:rsid w:val="77159A0C"/>
    <w:rsid w:val="77D43B4B"/>
    <w:rsid w:val="77D78E5D"/>
    <w:rsid w:val="77EC9C3A"/>
    <w:rsid w:val="78546D79"/>
    <w:rsid w:val="788FB990"/>
    <w:rsid w:val="789B9D51"/>
    <w:rsid w:val="78BE7A07"/>
    <w:rsid w:val="793C4E0E"/>
    <w:rsid w:val="799894FC"/>
    <w:rsid w:val="79B0AF0C"/>
    <w:rsid w:val="7A5F79C2"/>
    <w:rsid w:val="7ADDC02D"/>
    <w:rsid w:val="7B404FF4"/>
    <w:rsid w:val="7B47AEF4"/>
    <w:rsid w:val="7BE11CB6"/>
    <w:rsid w:val="7C3F2E9E"/>
    <w:rsid w:val="7D0C502F"/>
    <w:rsid w:val="7D4034DE"/>
    <w:rsid w:val="7DDA8CB1"/>
    <w:rsid w:val="7DEDCC57"/>
    <w:rsid w:val="7E4712FE"/>
    <w:rsid w:val="7E5B55E3"/>
    <w:rsid w:val="7EC954B5"/>
    <w:rsid w:val="7F08D418"/>
    <w:rsid w:val="7F77464B"/>
    <w:rsid w:val="7F999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A061B"/>
  <w15:chartTrackingRefBased/>
  <w15:docId w15:val="{4BEB2413-4784-4963-8A83-9744382C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E6C75"/>
    <w:pPr>
      <w:spacing w:after="220" w:line="240" w:lineRule="auto"/>
      <w:jc w:val="both"/>
    </w:pPr>
    <w:rPr>
      <w:rFonts w:ascii="Times New Roman" w:hAnsi="Times New Roman"/>
      <w:szCs w:val="24"/>
    </w:rPr>
  </w:style>
  <w:style w:type="paragraph" w:styleId="Heading1">
    <w:name w:val="heading 1"/>
    <w:basedOn w:val="Normal"/>
    <w:next w:val="Normal"/>
    <w:link w:val="Heading1Char"/>
    <w:uiPriority w:val="9"/>
    <w:qFormat/>
    <w:rsid w:val="00A433F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qFormat/>
    <w:rsid w:val="00A433FC"/>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aliases w:val="Paragraph MAIN"/>
    <w:basedOn w:val="Normal"/>
    <w:next w:val="Normal"/>
    <w:link w:val="Heading3Char"/>
    <w:uiPriority w:val="9"/>
    <w:unhideWhenUsed/>
    <w:qFormat/>
    <w:rsid w:val="00A433FC"/>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A433FC"/>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33FC"/>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A433FC"/>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A433FC"/>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A433F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33F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3F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A433FC"/>
    <w:rPr>
      <w:rFonts w:asciiTheme="majorHAnsi" w:eastAsiaTheme="majorEastAsia" w:hAnsiTheme="majorHAnsi" w:cstheme="majorBidi"/>
      <w:color w:val="0F4761" w:themeColor="accent1" w:themeShade="BF"/>
      <w:sz w:val="26"/>
      <w:szCs w:val="26"/>
    </w:rPr>
  </w:style>
  <w:style w:type="character" w:customStyle="1" w:styleId="Heading3Char">
    <w:name w:val="Heading 3 Char"/>
    <w:aliases w:val="Paragraph MAIN Char"/>
    <w:basedOn w:val="DefaultParagraphFont"/>
    <w:link w:val="Heading3"/>
    <w:uiPriority w:val="9"/>
    <w:rsid w:val="00A433FC"/>
    <w:rPr>
      <w:rFonts w:asciiTheme="majorHAnsi" w:eastAsiaTheme="majorEastAsia" w:hAnsiTheme="majorHAnsi" w:cstheme="majorBidi"/>
      <w:color w:val="0A2F40" w:themeColor="accent1" w:themeShade="7F"/>
      <w:szCs w:val="24"/>
    </w:rPr>
  </w:style>
  <w:style w:type="character" w:customStyle="1" w:styleId="Heading4Char">
    <w:name w:val="Heading 4 Char"/>
    <w:basedOn w:val="DefaultParagraphFont"/>
    <w:link w:val="Heading4"/>
    <w:uiPriority w:val="9"/>
    <w:semiHidden/>
    <w:rsid w:val="00A433FC"/>
    <w:rPr>
      <w:rFonts w:asciiTheme="majorHAnsi" w:eastAsiaTheme="majorEastAsia" w:hAnsiTheme="majorHAnsi" w:cstheme="majorBidi"/>
      <w:i/>
      <w:iCs/>
      <w:color w:val="0F4761" w:themeColor="accent1" w:themeShade="BF"/>
      <w:szCs w:val="24"/>
    </w:rPr>
  </w:style>
  <w:style w:type="character" w:customStyle="1" w:styleId="Heading5Char">
    <w:name w:val="Heading 5 Char"/>
    <w:basedOn w:val="DefaultParagraphFont"/>
    <w:link w:val="Heading5"/>
    <w:uiPriority w:val="9"/>
    <w:semiHidden/>
    <w:rsid w:val="00A433FC"/>
    <w:rPr>
      <w:rFonts w:asciiTheme="majorHAnsi" w:eastAsiaTheme="majorEastAsia" w:hAnsiTheme="majorHAnsi" w:cstheme="majorBidi"/>
      <w:color w:val="0F4761" w:themeColor="accent1" w:themeShade="BF"/>
      <w:szCs w:val="24"/>
    </w:rPr>
  </w:style>
  <w:style w:type="character" w:customStyle="1" w:styleId="Heading6Char">
    <w:name w:val="Heading 6 Char"/>
    <w:basedOn w:val="DefaultParagraphFont"/>
    <w:link w:val="Heading6"/>
    <w:uiPriority w:val="9"/>
    <w:semiHidden/>
    <w:rsid w:val="00A433FC"/>
    <w:rPr>
      <w:rFonts w:asciiTheme="majorHAnsi" w:eastAsiaTheme="majorEastAsia" w:hAnsiTheme="majorHAnsi" w:cstheme="majorBidi"/>
      <w:color w:val="0A2F40" w:themeColor="accent1" w:themeShade="7F"/>
      <w:szCs w:val="24"/>
    </w:rPr>
  </w:style>
  <w:style w:type="character" w:customStyle="1" w:styleId="Heading7Char">
    <w:name w:val="Heading 7 Char"/>
    <w:basedOn w:val="DefaultParagraphFont"/>
    <w:link w:val="Heading7"/>
    <w:uiPriority w:val="9"/>
    <w:semiHidden/>
    <w:rsid w:val="00A433FC"/>
    <w:rPr>
      <w:rFonts w:asciiTheme="majorHAnsi" w:eastAsiaTheme="majorEastAsia" w:hAnsiTheme="majorHAnsi" w:cstheme="majorBidi"/>
      <w:i/>
      <w:iCs/>
      <w:color w:val="0A2F40" w:themeColor="accent1" w:themeShade="7F"/>
      <w:szCs w:val="24"/>
    </w:rPr>
  </w:style>
  <w:style w:type="character" w:customStyle="1" w:styleId="Heading8Char">
    <w:name w:val="Heading 8 Char"/>
    <w:basedOn w:val="DefaultParagraphFont"/>
    <w:link w:val="Heading8"/>
    <w:uiPriority w:val="9"/>
    <w:semiHidden/>
    <w:rsid w:val="00A433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33F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433F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3FC"/>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A433FC"/>
    <w:rPr>
      <w:rFonts w:eastAsiaTheme="minorEastAsia"/>
      <w:color w:val="5A5A5A" w:themeColor="text1" w:themeTint="A5"/>
      <w:spacing w:val="15"/>
    </w:rPr>
  </w:style>
  <w:style w:type="paragraph" w:styleId="Quote">
    <w:name w:val="Quote"/>
    <w:basedOn w:val="Normal"/>
    <w:next w:val="Normal"/>
    <w:link w:val="QuoteChar"/>
    <w:uiPriority w:val="29"/>
    <w:qFormat/>
    <w:rsid w:val="00A433FC"/>
    <w:rPr>
      <w:i/>
      <w:iCs/>
      <w:color w:val="000000" w:themeColor="text1"/>
    </w:rPr>
  </w:style>
  <w:style w:type="character" w:customStyle="1" w:styleId="QuoteChar">
    <w:name w:val="Quote Char"/>
    <w:basedOn w:val="DefaultParagraphFont"/>
    <w:link w:val="Quote"/>
    <w:uiPriority w:val="29"/>
    <w:rsid w:val="00A433FC"/>
    <w:rPr>
      <w:rFonts w:ascii="Times New Roman" w:hAnsi="Times New Roman"/>
      <w:i/>
      <w:iCs/>
      <w:color w:val="000000" w:themeColor="text1"/>
      <w:szCs w:val="24"/>
    </w:rPr>
  </w:style>
  <w:style w:type="paragraph" w:styleId="ListParagraph">
    <w:name w:val="List Paragraph"/>
    <w:basedOn w:val="Normal"/>
    <w:uiPriority w:val="34"/>
    <w:qFormat/>
    <w:rsid w:val="00A433FC"/>
    <w:pPr>
      <w:ind w:left="720"/>
      <w:contextualSpacing/>
    </w:pPr>
  </w:style>
  <w:style w:type="character" w:styleId="IntenseEmphasis">
    <w:name w:val="Intense Emphasis"/>
    <w:basedOn w:val="DefaultParagraphFont"/>
    <w:uiPriority w:val="21"/>
    <w:qFormat/>
    <w:rsid w:val="00A433FC"/>
    <w:rPr>
      <w:i/>
      <w:iCs/>
      <w:color w:val="156082" w:themeColor="accent1"/>
    </w:rPr>
  </w:style>
  <w:style w:type="paragraph" w:styleId="IntenseQuote">
    <w:name w:val="Intense Quote"/>
    <w:basedOn w:val="Normal"/>
    <w:next w:val="Normal"/>
    <w:link w:val="IntenseQuoteChar"/>
    <w:uiPriority w:val="30"/>
    <w:qFormat/>
    <w:rsid w:val="00A433FC"/>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A433FC"/>
    <w:rPr>
      <w:rFonts w:ascii="Times New Roman" w:hAnsi="Times New Roman"/>
      <w:i/>
      <w:iCs/>
      <w:color w:val="156082" w:themeColor="accent1"/>
      <w:szCs w:val="24"/>
    </w:rPr>
  </w:style>
  <w:style w:type="character" w:styleId="IntenseReference">
    <w:name w:val="Intense Reference"/>
    <w:basedOn w:val="DefaultParagraphFont"/>
    <w:uiPriority w:val="32"/>
    <w:qFormat/>
    <w:rsid w:val="00A433FC"/>
    <w:rPr>
      <w:b/>
      <w:bCs/>
      <w:smallCaps/>
      <w:color w:val="156082" w:themeColor="accent1"/>
      <w:spacing w:val="5"/>
    </w:rPr>
  </w:style>
  <w:style w:type="paragraph" w:customStyle="1" w:styleId="DotPointTLRI">
    <w:name w:val="Dot Point TLRI"/>
    <w:basedOn w:val="ListParagraph"/>
    <w:qFormat/>
    <w:rsid w:val="00A433FC"/>
    <w:pPr>
      <w:numPr>
        <w:numId w:val="1"/>
      </w:numPr>
      <w:spacing w:after="120"/>
      <w:contextualSpacing w:val="0"/>
    </w:pPr>
    <w:rPr>
      <w:rFonts w:eastAsia="Times New Roman" w:cs="Times New Roman"/>
    </w:rPr>
  </w:style>
  <w:style w:type="paragraph" w:customStyle="1" w:styleId="PartNoTLRI">
    <w:name w:val="Part No TLRI"/>
    <w:basedOn w:val="Normal"/>
    <w:link w:val="PartNoTLRIChar"/>
    <w:qFormat/>
    <w:rsid w:val="00A433FC"/>
    <w:pPr>
      <w:numPr>
        <w:numId w:val="62"/>
      </w:numPr>
      <w:jc w:val="center"/>
    </w:pPr>
    <w:rPr>
      <w:rFonts w:eastAsia="Times" w:cs="Times New Roman"/>
      <w:b/>
      <w:sz w:val="36"/>
      <w:szCs w:val="20"/>
    </w:rPr>
  </w:style>
  <w:style w:type="character" w:customStyle="1" w:styleId="PartNoTLRIChar">
    <w:name w:val="Part No TLRI Char"/>
    <w:basedOn w:val="DefaultParagraphFont"/>
    <w:link w:val="PartNoTLRI"/>
    <w:rsid w:val="00A433FC"/>
    <w:rPr>
      <w:rFonts w:ascii="Times New Roman" w:eastAsia="Times" w:hAnsi="Times New Roman" w:cs="Times New Roman"/>
      <w:b/>
      <w:sz w:val="36"/>
      <w:szCs w:val="20"/>
    </w:rPr>
  </w:style>
  <w:style w:type="paragraph" w:customStyle="1" w:styleId="PartHeadingTLRI">
    <w:name w:val="Part Heading TLRI"/>
    <w:basedOn w:val="Normal"/>
    <w:link w:val="PartHeadingTLRIChar"/>
    <w:qFormat/>
    <w:rsid w:val="00450781"/>
    <w:pPr>
      <w:tabs>
        <w:tab w:val="num" w:pos="0"/>
      </w:tabs>
      <w:spacing w:before="480" w:after="640"/>
      <w:jc w:val="center"/>
    </w:pPr>
    <w:rPr>
      <w:rFonts w:eastAsia="Times" w:cs="Times New Roman"/>
      <w:b/>
      <w:sz w:val="52"/>
      <w:szCs w:val="20"/>
    </w:rPr>
  </w:style>
  <w:style w:type="character" w:customStyle="1" w:styleId="PartHeadingTLRIChar">
    <w:name w:val="Part Heading TLRI Char"/>
    <w:basedOn w:val="DefaultParagraphFont"/>
    <w:link w:val="PartHeadingTLRI"/>
    <w:rsid w:val="00450781"/>
    <w:rPr>
      <w:rFonts w:ascii="Times New Roman" w:eastAsia="Times" w:hAnsi="Times New Roman" w:cs="Times New Roman"/>
      <w:b/>
      <w:sz w:val="52"/>
      <w:szCs w:val="20"/>
    </w:rPr>
  </w:style>
  <w:style w:type="paragraph" w:customStyle="1" w:styleId="NormalNumberedTextTLRI">
    <w:name w:val="Normal Numbered Text TLRI"/>
    <w:basedOn w:val="Normal"/>
    <w:link w:val="NormalNumberedTextTLRIChar"/>
    <w:qFormat/>
    <w:rsid w:val="002F0007"/>
    <w:pPr>
      <w:numPr>
        <w:ilvl w:val="2"/>
        <w:numId w:val="62"/>
      </w:numPr>
      <w:tabs>
        <w:tab w:val="left" w:pos="851"/>
      </w:tabs>
      <w:spacing w:before="220"/>
    </w:pPr>
    <w:rPr>
      <w:rFonts w:eastAsia="Times" w:cs="Times New Roman"/>
      <w:szCs w:val="20"/>
    </w:rPr>
  </w:style>
  <w:style w:type="character" w:customStyle="1" w:styleId="NormalNumberedTextTLRIChar">
    <w:name w:val="Normal Numbered Text TLRI Char"/>
    <w:basedOn w:val="DefaultParagraphFont"/>
    <w:link w:val="NormalNumberedTextTLRI"/>
    <w:rsid w:val="002F0007"/>
    <w:rPr>
      <w:rFonts w:ascii="Times New Roman" w:eastAsia="Times" w:hAnsi="Times New Roman" w:cs="Times New Roman"/>
      <w:szCs w:val="20"/>
    </w:rPr>
  </w:style>
  <w:style w:type="paragraph" w:customStyle="1" w:styleId="NumberedHeadingTLRI">
    <w:name w:val="Numbered Heading TLRI"/>
    <w:basedOn w:val="Normal"/>
    <w:next w:val="NormalNumberedTextTLRI"/>
    <w:link w:val="NumberedHeadingTLRIChar"/>
    <w:qFormat/>
    <w:rsid w:val="001B595A"/>
    <w:pPr>
      <w:numPr>
        <w:ilvl w:val="1"/>
        <w:numId w:val="62"/>
      </w:numPr>
      <w:spacing w:before="240" w:after="240"/>
    </w:pPr>
    <w:rPr>
      <w:rFonts w:eastAsia="Times" w:cs="Times New Roman"/>
      <w:b/>
      <w:sz w:val="32"/>
      <w:szCs w:val="20"/>
    </w:rPr>
  </w:style>
  <w:style w:type="character" w:customStyle="1" w:styleId="NumberedHeadingTLRIChar">
    <w:name w:val="Numbered Heading TLRI Char"/>
    <w:basedOn w:val="DefaultParagraphFont"/>
    <w:link w:val="NumberedHeadingTLRI"/>
    <w:rsid w:val="001B595A"/>
    <w:rPr>
      <w:rFonts w:ascii="Times New Roman" w:eastAsia="Times" w:hAnsi="Times New Roman" w:cs="Times New Roman"/>
      <w:b/>
      <w:sz w:val="32"/>
      <w:szCs w:val="20"/>
    </w:rPr>
  </w:style>
  <w:style w:type="paragraph" w:customStyle="1" w:styleId="Sub-HeadingTLRI">
    <w:name w:val="Sub-Heading TLRI"/>
    <w:basedOn w:val="Normal"/>
    <w:link w:val="Sub-HeadingTLRIChar"/>
    <w:qFormat/>
    <w:rsid w:val="00ED2E47"/>
    <w:pPr>
      <w:spacing w:before="240" w:after="240"/>
    </w:pPr>
    <w:rPr>
      <w:rFonts w:eastAsia="Times" w:cs="Times New Roman"/>
      <w:b/>
      <w:i/>
      <w:szCs w:val="20"/>
    </w:rPr>
  </w:style>
  <w:style w:type="character" w:customStyle="1" w:styleId="Sub-HeadingTLRIChar">
    <w:name w:val="Sub-Heading TLRI Char"/>
    <w:basedOn w:val="DefaultParagraphFont"/>
    <w:link w:val="Sub-HeadingTLRI"/>
    <w:rsid w:val="00ED2E47"/>
    <w:rPr>
      <w:rFonts w:ascii="Times New Roman" w:eastAsia="Times" w:hAnsi="Times New Roman" w:cs="Times New Roman"/>
      <w:b/>
      <w:i/>
      <w:szCs w:val="20"/>
    </w:rPr>
  </w:style>
  <w:style w:type="paragraph" w:customStyle="1" w:styleId="FootnoteTextTLRI">
    <w:name w:val="Footnote Text TLRI"/>
    <w:basedOn w:val="FootnoteText"/>
    <w:link w:val="FootnoteTextTLRIChar"/>
    <w:qFormat/>
    <w:rsid w:val="00395CD1"/>
  </w:style>
  <w:style w:type="character" w:customStyle="1" w:styleId="FootnoteTextTLRIChar">
    <w:name w:val="Footnote Text TLRI Char"/>
    <w:basedOn w:val="FootnoteTextChar"/>
    <w:link w:val="FootnoteTextTLRI"/>
    <w:rsid w:val="00395CD1"/>
    <w:rPr>
      <w:rFonts w:ascii="Times New Roman" w:hAnsi="Times New Roman"/>
      <w:sz w:val="20"/>
      <w:szCs w:val="20"/>
    </w:rPr>
  </w:style>
  <w:style w:type="paragraph" w:styleId="FootnoteText">
    <w:name w:val="footnote text"/>
    <w:basedOn w:val="Normal"/>
    <w:link w:val="FootnoteTextChar"/>
    <w:uiPriority w:val="99"/>
    <w:unhideWhenUsed/>
    <w:rsid w:val="00D817F8"/>
    <w:pPr>
      <w:spacing w:after="40"/>
    </w:pPr>
    <w:rPr>
      <w:sz w:val="20"/>
      <w:szCs w:val="20"/>
    </w:rPr>
  </w:style>
  <w:style w:type="character" w:customStyle="1" w:styleId="FootnoteTextChar">
    <w:name w:val="Footnote Text Char"/>
    <w:basedOn w:val="DefaultParagraphFont"/>
    <w:link w:val="FootnoteText"/>
    <w:uiPriority w:val="99"/>
    <w:rsid w:val="00D817F8"/>
    <w:rPr>
      <w:rFonts w:ascii="Times New Roman" w:hAnsi="Times New Roman"/>
      <w:sz w:val="20"/>
      <w:szCs w:val="20"/>
    </w:rPr>
  </w:style>
  <w:style w:type="paragraph" w:customStyle="1" w:styleId="Indentedquote">
    <w:name w:val="Indented quote"/>
    <w:basedOn w:val="Normal"/>
    <w:link w:val="IndentedquoteChar"/>
    <w:uiPriority w:val="1"/>
    <w:qFormat/>
    <w:rsid w:val="00A84ED8"/>
    <w:pPr>
      <w:spacing w:before="220"/>
      <w:ind w:left="720" w:right="720"/>
    </w:pPr>
    <w:rPr>
      <w:sz w:val="20"/>
    </w:rPr>
  </w:style>
  <w:style w:type="character" w:customStyle="1" w:styleId="IndentedquoteChar">
    <w:name w:val="Indented quote Char"/>
    <w:basedOn w:val="DefaultParagraphFont"/>
    <w:link w:val="Indentedquote"/>
    <w:uiPriority w:val="1"/>
    <w:rsid w:val="00A84ED8"/>
    <w:rPr>
      <w:rFonts w:ascii="Times New Roman" w:hAnsi="Times New Roman"/>
      <w:sz w:val="20"/>
      <w:szCs w:val="24"/>
    </w:rPr>
  </w:style>
  <w:style w:type="paragraph" w:customStyle="1" w:styleId="ExecSummaryandAppendixHeading">
    <w:name w:val="Exec Summary and Appendix Heading"/>
    <w:basedOn w:val="Normal"/>
    <w:next w:val="Normal"/>
    <w:link w:val="ExecSummaryandAppendixHeadingChar"/>
    <w:uiPriority w:val="1"/>
    <w:qFormat/>
    <w:rsid w:val="00A433FC"/>
    <w:rPr>
      <w:b/>
      <w:bCs/>
      <w:sz w:val="32"/>
      <w:szCs w:val="36"/>
    </w:rPr>
  </w:style>
  <w:style w:type="character" w:customStyle="1" w:styleId="ExecSummaryandAppendixHeadingChar">
    <w:name w:val="Exec Summary and Appendix Heading Char"/>
    <w:basedOn w:val="DefaultParagraphFont"/>
    <w:link w:val="ExecSummaryandAppendixHeading"/>
    <w:uiPriority w:val="1"/>
    <w:rsid w:val="00A433FC"/>
    <w:rPr>
      <w:rFonts w:ascii="Times New Roman" w:hAnsi="Times New Roman"/>
      <w:b/>
      <w:bCs/>
      <w:sz w:val="32"/>
      <w:szCs w:val="36"/>
    </w:rPr>
  </w:style>
  <w:style w:type="paragraph" w:customStyle="1" w:styleId="Recommendation">
    <w:name w:val="Recommendation"/>
    <w:basedOn w:val="ExecSummaryandAppendixHeading"/>
    <w:next w:val="Normal"/>
    <w:link w:val="RecommendationChar"/>
    <w:uiPriority w:val="1"/>
    <w:qFormat/>
    <w:rsid w:val="00A433FC"/>
  </w:style>
  <w:style w:type="character" w:customStyle="1" w:styleId="RecommendationChar">
    <w:name w:val="Recommendation Char"/>
    <w:basedOn w:val="ExecSummaryandAppendixHeadingChar"/>
    <w:link w:val="Recommendation"/>
    <w:uiPriority w:val="1"/>
    <w:rsid w:val="00A433FC"/>
    <w:rPr>
      <w:rFonts w:ascii="Times New Roman" w:hAnsi="Times New Roman"/>
      <w:b/>
      <w:bCs/>
      <w:sz w:val="32"/>
      <w:szCs w:val="36"/>
    </w:rPr>
  </w:style>
  <w:style w:type="character" w:styleId="PlaceholderText">
    <w:name w:val="Placeholder Text"/>
    <w:basedOn w:val="DefaultParagraphFont"/>
    <w:uiPriority w:val="99"/>
    <w:semiHidden/>
    <w:rsid w:val="000A3EC4"/>
    <w:rPr>
      <w:color w:val="666666"/>
    </w:rPr>
  </w:style>
  <w:style w:type="paragraph" w:styleId="BodyText">
    <w:name w:val="Body Text"/>
    <w:basedOn w:val="Normal"/>
    <w:link w:val="BodyTextChar"/>
    <w:rsid w:val="00986965"/>
    <w:pPr>
      <w:spacing w:before="120" w:after="120" w:line="259" w:lineRule="auto"/>
    </w:pPr>
    <w:rPr>
      <w:rFonts w:asciiTheme="minorHAnsi" w:hAnsiTheme="minorHAnsi"/>
      <w:b/>
      <w:sz w:val="28"/>
      <w:szCs w:val="20"/>
      <w:lang w:val="x-none"/>
    </w:rPr>
  </w:style>
  <w:style w:type="character" w:customStyle="1" w:styleId="BodyTextChar">
    <w:name w:val="Body Text Char"/>
    <w:basedOn w:val="DefaultParagraphFont"/>
    <w:link w:val="BodyText"/>
    <w:rsid w:val="00986965"/>
    <w:rPr>
      <w:b/>
      <w:sz w:val="28"/>
      <w:szCs w:val="20"/>
      <w:lang w:val="x-none"/>
    </w:rPr>
  </w:style>
  <w:style w:type="paragraph" w:styleId="TOC9">
    <w:name w:val="toc 9"/>
    <w:basedOn w:val="Normal"/>
    <w:next w:val="Normal"/>
    <w:autoRedefine/>
    <w:uiPriority w:val="39"/>
    <w:unhideWhenUsed/>
    <w:rsid w:val="002D0656"/>
    <w:pPr>
      <w:spacing w:after="100"/>
      <w:ind w:left="1760"/>
    </w:pPr>
  </w:style>
  <w:style w:type="paragraph" w:styleId="TOC1">
    <w:name w:val="toc 1"/>
    <w:basedOn w:val="Normal"/>
    <w:next w:val="Normal"/>
    <w:autoRedefine/>
    <w:uiPriority w:val="39"/>
    <w:unhideWhenUsed/>
    <w:rsid w:val="00667095"/>
    <w:pPr>
      <w:tabs>
        <w:tab w:val="left" w:pos="720"/>
        <w:tab w:val="right" w:leader="dot" w:pos="9016"/>
      </w:tabs>
      <w:spacing w:after="100"/>
      <w:ind w:left="1276" w:hanging="1276"/>
    </w:pPr>
    <w:rPr>
      <w:b/>
      <w:bCs/>
      <w:noProof/>
    </w:rPr>
  </w:style>
  <w:style w:type="paragraph" w:styleId="TOC3">
    <w:name w:val="toc 3"/>
    <w:basedOn w:val="Normal"/>
    <w:next w:val="Normal"/>
    <w:autoRedefine/>
    <w:uiPriority w:val="39"/>
    <w:unhideWhenUsed/>
    <w:rsid w:val="00921AA9"/>
    <w:pPr>
      <w:spacing w:after="100"/>
      <w:ind w:left="720"/>
    </w:pPr>
    <w:rPr>
      <w:rFonts w:cs="Times New Roman (Body CS)"/>
    </w:rPr>
  </w:style>
  <w:style w:type="paragraph" w:styleId="Footer">
    <w:name w:val="footer"/>
    <w:basedOn w:val="Normal"/>
    <w:link w:val="FooterChar"/>
    <w:uiPriority w:val="99"/>
    <w:unhideWhenUsed/>
    <w:rsid w:val="005B282A"/>
    <w:pPr>
      <w:tabs>
        <w:tab w:val="center" w:pos="4513"/>
        <w:tab w:val="right" w:pos="9026"/>
      </w:tabs>
      <w:spacing w:after="0"/>
      <w:jc w:val="left"/>
    </w:pPr>
    <w:rPr>
      <w:rFonts w:asciiTheme="minorHAnsi" w:eastAsiaTheme="minorEastAsia" w:hAnsiTheme="minorHAnsi"/>
      <w:szCs w:val="22"/>
    </w:rPr>
  </w:style>
  <w:style w:type="character" w:customStyle="1" w:styleId="FooterChar">
    <w:name w:val="Footer Char"/>
    <w:basedOn w:val="DefaultParagraphFont"/>
    <w:link w:val="Footer"/>
    <w:uiPriority w:val="99"/>
    <w:rsid w:val="005B282A"/>
    <w:rPr>
      <w:rFonts w:eastAsiaTheme="minorEastAsia"/>
    </w:rPr>
  </w:style>
  <w:style w:type="character" w:styleId="PageNumber">
    <w:name w:val="page number"/>
    <w:basedOn w:val="DefaultParagraphFont"/>
    <w:uiPriority w:val="99"/>
    <w:semiHidden/>
    <w:unhideWhenUsed/>
    <w:rsid w:val="005B282A"/>
  </w:style>
  <w:style w:type="paragraph" w:styleId="Header">
    <w:name w:val="header"/>
    <w:basedOn w:val="Normal"/>
    <w:link w:val="HeaderChar"/>
    <w:uiPriority w:val="99"/>
    <w:unhideWhenUsed/>
    <w:rsid w:val="00D8729E"/>
    <w:pPr>
      <w:tabs>
        <w:tab w:val="center" w:pos="4513"/>
        <w:tab w:val="right" w:pos="9026"/>
      </w:tabs>
      <w:spacing w:after="0"/>
    </w:pPr>
  </w:style>
  <w:style w:type="character" w:customStyle="1" w:styleId="HeaderChar">
    <w:name w:val="Header Char"/>
    <w:basedOn w:val="DefaultParagraphFont"/>
    <w:link w:val="Header"/>
    <w:uiPriority w:val="99"/>
    <w:rsid w:val="00D8729E"/>
    <w:rPr>
      <w:rFonts w:ascii="Times New Roman" w:hAnsi="Times New Roman"/>
      <w:szCs w:val="24"/>
    </w:rPr>
  </w:style>
  <w:style w:type="paragraph" w:styleId="CommentText">
    <w:name w:val="annotation text"/>
    <w:basedOn w:val="Normal"/>
    <w:link w:val="CommentTextChar"/>
    <w:uiPriority w:val="99"/>
    <w:unhideWhenUsed/>
    <w:rsid w:val="0034009B"/>
    <w:rPr>
      <w:sz w:val="20"/>
      <w:szCs w:val="20"/>
    </w:rPr>
  </w:style>
  <w:style w:type="character" w:customStyle="1" w:styleId="CommentTextChar">
    <w:name w:val="Comment Text Char"/>
    <w:basedOn w:val="DefaultParagraphFont"/>
    <w:link w:val="CommentText"/>
    <w:uiPriority w:val="99"/>
    <w:rsid w:val="0034009B"/>
    <w:rPr>
      <w:rFonts w:ascii="Times New Roman" w:hAnsi="Times New Roman"/>
      <w:sz w:val="20"/>
      <w:szCs w:val="20"/>
    </w:rPr>
  </w:style>
  <w:style w:type="character" w:styleId="CommentReference">
    <w:name w:val="annotation reference"/>
    <w:basedOn w:val="DefaultParagraphFont"/>
    <w:uiPriority w:val="99"/>
    <w:semiHidden/>
    <w:unhideWhenUsed/>
    <w:rsid w:val="0034009B"/>
    <w:rPr>
      <w:sz w:val="16"/>
      <w:szCs w:val="16"/>
    </w:rPr>
  </w:style>
  <w:style w:type="character" w:styleId="Hyperlink">
    <w:name w:val="Hyperlink"/>
    <w:basedOn w:val="DefaultParagraphFont"/>
    <w:uiPriority w:val="99"/>
    <w:unhideWhenUsed/>
    <w:rsid w:val="0034009B"/>
    <w:rPr>
      <w:color w:val="467886" w:themeColor="hyperlink"/>
      <w:u w:val="single"/>
    </w:rPr>
  </w:style>
  <w:style w:type="character" w:styleId="UnresolvedMention">
    <w:name w:val="Unresolved Mention"/>
    <w:basedOn w:val="DefaultParagraphFont"/>
    <w:uiPriority w:val="99"/>
    <w:semiHidden/>
    <w:unhideWhenUsed/>
    <w:rsid w:val="0034009B"/>
    <w:rPr>
      <w:color w:val="605E5C"/>
      <w:shd w:val="clear" w:color="auto" w:fill="E1DFDD"/>
    </w:rPr>
  </w:style>
  <w:style w:type="character" w:styleId="FootnoteReference">
    <w:name w:val="footnote reference"/>
    <w:basedOn w:val="DefaultParagraphFont"/>
    <w:uiPriority w:val="99"/>
    <w:unhideWhenUsed/>
    <w:rsid w:val="00216E2C"/>
    <w:rPr>
      <w:vertAlign w:val="superscript"/>
    </w:rPr>
  </w:style>
  <w:style w:type="paragraph" w:styleId="CommentSubject">
    <w:name w:val="annotation subject"/>
    <w:basedOn w:val="CommentText"/>
    <w:next w:val="CommentText"/>
    <w:link w:val="CommentSubjectChar"/>
    <w:uiPriority w:val="99"/>
    <w:semiHidden/>
    <w:unhideWhenUsed/>
    <w:rsid w:val="001E0402"/>
    <w:rPr>
      <w:b/>
      <w:bCs/>
    </w:rPr>
  </w:style>
  <w:style w:type="character" w:customStyle="1" w:styleId="CommentSubjectChar">
    <w:name w:val="Comment Subject Char"/>
    <w:basedOn w:val="CommentTextChar"/>
    <w:link w:val="CommentSubject"/>
    <w:uiPriority w:val="99"/>
    <w:semiHidden/>
    <w:rsid w:val="001E0402"/>
    <w:rPr>
      <w:rFonts w:ascii="Times New Roman" w:hAnsi="Times New Roman"/>
      <w:b/>
      <w:bCs/>
      <w:sz w:val="20"/>
      <w:szCs w:val="20"/>
    </w:rPr>
  </w:style>
  <w:style w:type="table" w:styleId="TableGrid">
    <w:name w:val="Table Grid"/>
    <w:basedOn w:val="TableNormal"/>
    <w:uiPriority w:val="39"/>
    <w:rsid w:val="00EB1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23E51"/>
    <w:pPr>
      <w:spacing w:after="0"/>
    </w:pPr>
    <w:rPr>
      <w:sz w:val="20"/>
      <w:szCs w:val="20"/>
    </w:rPr>
  </w:style>
  <w:style w:type="character" w:customStyle="1" w:styleId="EndnoteTextChar">
    <w:name w:val="Endnote Text Char"/>
    <w:basedOn w:val="DefaultParagraphFont"/>
    <w:link w:val="EndnoteText"/>
    <w:uiPriority w:val="99"/>
    <w:semiHidden/>
    <w:rsid w:val="00423E51"/>
    <w:rPr>
      <w:rFonts w:ascii="Times New Roman" w:hAnsi="Times New Roman"/>
      <w:sz w:val="20"/>
      <w:szCs w:val="20"/>
    </w:rPr>
  </w:style>
  <w:style w:type="character" w:styleId="EndnoteReference">
    <w:name w:val="endnote reference"/>
    <w:basedOn w:val="DefaultParagraphFont"/>
    <w:uiPriority w:val="99"/>
    <w:semiHidden/>
    <w:unhideWhenUsed/>
    <w:rsid w:val="00423E51"/>
    <w:rPr>
      <w:vertAlign w:val="superscript"/>
    </w:rPr>
  </w:style>
  <w:style w:type="character" w:styleId="FollowedHyperlink">
    <w:name w:val="FollowedHyperlink"/>
    <w:basedOn w:val="DefaultParagraphFont"/>
    <w:uiPriority w:val="99"/>
    <w:semiHidden/>
    <w:unhideWhenUsed/>
    <w:rsid w:val="0072029A"/>
    <w:rPr>
      <w:color w:val="96607D" w:themeColor="followedHyperlink"/>
      <w:u w:val="single"/>
    </w:rPr>
  </w:style>
  <w:style w:type="paragraph" w:customStyle="1" w:styleId="NumberlessNormalText">
    <w:name w:val="Numberless Normal Text"/>
    <w:basedOn w:val="NormalNumberedTextTLRI"/>
    <w:rsid w:val="002A74DA"/>
    <w:pPr>
      <w:numPr>
        <w:ilvl w:val="0"/>
        <w:numId w:val="24"/>
      </w:numPr>
    </w:pPr>
  </w:style>
  <w:style w:type="paragraph" w:styleId="BodyText2">
    <w:name w:val="Body Text 2"/>
    <w:basedOn w:val="Normal"/>
    <w:link w:val="BodyText2Char"/>
    <w:uiPriority w:val="99"/>
    <w:semiHidden/>
    <w:unhideWhenUsed/>
    <w:rsid w:val="001A28C5"/>
    <w:pPr>
      <w:spacing w:after="120" w:line="480" w:lineRule="auto"/>
    </w:pPr>
  </w:style>
  <w:style w:type="character" w:customStyle="1" w:styleId="BodyText2Char">
    <w:name w:val="Body Text 2 Char"/>
    <w:basedOn w:val="DefaultParagraphFont"/>
    <w:link w:val="BodyText2"/>
    <w:uiPriority w:val="99"/>
    <w:semiHidden/>
    <w:rsid w:val="001A28C5"/>
    <w:rPr>
      <w:rFonts w:ascii="Times New Roman" w:hAnsi="Times New Roman"/>
      <w:szCs w:val="24"/>
    </w:rPr>
  </w:style>
  <w:style w:type="paragraph" w:styleId="Caption">
    <w:name w:val="caption"/>
    <w:basedOn w:val="Normal"/>
    <w:next w:val="Normal"/>
    <w:uiPriority w:val="35"/>
    <w:semiHidden/>
    <w:unhideWhenUsed/>
    <w:qFormat/>
    <w:rsid w:val="00D2319A"/>
    <w:pPr>
      <w:spacing w:after="200"/>
      <w:jc w:val="left"/>
    </w:pPr>
    <w:rPr>
      <w:rFonts w:asciiTheme="minorHAnsi" w:hAnsiTheme="minorHAnsi"/>
      <w:i/>
      <w:iCs/>
      <w:color w:val="0E2841" w:themeColor="text2"/>
      <w:kern w:val="2"/>
      <w:sz w:val="18"/>
      <w:szCs w:val="18"/>
      <w14:ligatures w14:val="standardContextual"/>
    </w:rPr>
  </w:style>
  <w:style w:type="paragraph" w:styleId="Revision">
    <w:name w:val="Revision"/>
    <w:hidden/>
    <w:uiPriority w:val="99"/>
    <w:semiHidden/>
    <w:rsid w:val="006A2BBD"/>
    <w:pPr>
      <w:spacing w:after="0" w:line="240" w:lineRule="auto"/>
    </w:pPr>
    <w:rPr>
      <w:rFonts w:ascii="Times New Roman" w:hAnsi="Times New Roman"/>
      <w:szCs w:val="24"/>
    </w:rPr>
  </w:style>
  <w:style w:type="paragraph" w:customStyle="1" w:styleId="xmsonormal">
    <w:name w:val="x_msonormal"/>
    <w:basedOn w:val="Normal"/>
    <w:rsid w:val="00F64733"/>
    <w:pPr>
      <w:spacing w:before="100" w:beforeAutospacing="1" w:after="100" w:afterAutospacing="1"/>
      <w:jc w:val="left"/>
    </w:pPr>
    <w:rPr>
      <w:rFonts w:eastAsia="Times New Roman" w:cs="Times New Roman"/>
      <w:sz w:val="24"/>
      <w:lang w:eastAsia="en-AU"/>
    </w:rPr>
  </w:style>
  <w:style w:type="character" w:customStyle="1" w:styleId="frag-no">
    <w:name w:val="frag-no"/>
    <w:basedOn w:val="DefaultParagraphFont"/>
    <w:rsid w:val="00BB5C16"/>
  </w:style>
  <w:style w:type="character" w:customStyle="1" w:styleId="frag-heading">
    <w:name w:val="frag-heading"/>
    <w:basedOn w:val="DefaultParagraphFont"/>
    <w:rsid w:val="00BB5C16"/>
  </w:style>
  <w:style w:type="paragraph" w:styleId="NormalWeb">
    <w:name w:val="Normal (Web)"/>
    <w:basedOn w:val="Normal"/>
    <w:uiPriority w:val="99"/>
    <w:semiHidden/>
    <w:unhideWhenUsed/>
    <w:rsid w:val="00AD0DBB"/>
    <w:pPr>
      <w:spacing w:before="100" w:beforeAutospacing="1" w:after="100" w:afterAutospacing="1"/>
      <w:jc w:val="left"/>
    </w:pPr>
    <w:rPr>
      <w:rFonts w:eastAsia="Times New Roman" w:cs="Times New Roman"/>
      <w:sz w:val="24"/>
      <w:lang w:eastAsia="en-AU"/>
    </w:rPr>
  </w:style>
  <w:style w:type="character" w:styleId="Mention">
    <w:name w:val="Mention"/>
    <w:basedOn w:val="DefaultParagraphFont"/>
    <w:uiPriority w:val="99"/>
    <w:unhideWhenUsed/>
    <w:rsid w:val="00FF5345"/>
    <w:rPr>
      <w:color w:val="2B579A"/>
      <w:shd w:val="clear" w:color="auto" w:fill="E1DFDD"/>
    </w:rPr>
  </w:style>
  <w:style w:type="paragraph" w:styleId="TOC2">
    <w:name w:val="toc 2"/>
    <w:basedOn w:val="Normal"/>
    <w:next w:val="Normal"/>
    <w:autoRedefine/>
    <w:uiPriority w:val="39"/>
    <w:unhideWhenUsed/>
    <w:rsid w:val="00921AA9"/>
    <w:pPr>
      <w:spacing w:after="100"/>
      <w:ind w:left="720" w:hanging="720"/>
    </w:pPr>
  </w:style>
  <w:style w:type="paragraph" w:customStyle="1" w:styleId="Dotpointlist">
    <w:name w:val="Dot point list"/>
    <w:basedOn w:val="Normal"/>
    <w:rsid w:val="0058766F"/>
    <w:pPr>
      <w:numPr>
        <w:numId w:val="75"/>
      </w:numPr>
      <w:spacing w:after="120" w:line="259" w:lineRule="auto"/>
      <w:ind w:left="0" w:firstLine="0"/>
      <w:jc w:val="left"/>
    </w:pPr>
    <w:rPr>
      <w:rFonts w:ascii="Calibri" w:eastAsia="Calibri" w:hAnsi="Calibri" w:cs="Calibri"/>
      <w:szCs w:val="22"/>
    </w:rPr>
  </w:style>
  <w:style w:type="paragraph" w:customStyle="1" w:styleId="Blockquote">
    <w:name w:val="Block quote"/>
    <w:basedOn w:val="Normal"/>
    <w:rsid w:val="0058766F"/>
    <w:pPr>
      <w:spacing w:after="160" w:line="259" w:lineRule="auto"/>
      <w:ind w:left="720" w:right="720"/>
      <w:jc w:val="left"/>
    </w:pPr>
    <w:rPr>
      <w:rFonts w:asciiTheme="minorHAnsi" w:eastAsiaTheme="minorEastAsia" w:hAnsiTheme="minorHAnsi"/>
      <w:szCs w:val="22"/>
    </w:rPr>
  </w:style>
  <w:style w:type="paragraph" w:customStyle="1" w:styleId="Numberedlist">
    <w:name w:val="Numbered list"/>
    <w:basedOn w:val="Dotpointlist"/>
    <w:rsid w:val="0058766F"/>
    <w:pPr>
      <w:numPr>
        <w:numId w:val="78"/>
      </w:numPr>
      <w:ind w:left="0" w:firstLine="0"/>
    </w:pPr>
  </w:style>
  <w:style w:type="character" w:styleId="Emphasis">
    <w:name w:val="Emphasis"/>
    <w:basedOn w:val="DefaultParagraphFont"/>
    <w:uiPriority w:val="20"/>
    <w:qFormat/>
    <w:rsid w:val="0058766F"/>
    <w:rPr>
      <w:i/>
      <w:iCs/>
    </w:rPr>
  </w:style>
  <w:style w:type="paragraph" w:customStyle="1" w:styleId="subsection">
    <w:name w:val="subsection"/>
    <w:basedOn w:val="Normal"/>
    <w:rsid w:val="0058766F"/>
    <w:pPr>
      <w:spacing w:before="100" w:beforeAutospacing="1" w:after="100" w:afterAutospacing="1"/>
      <w:jc w:val="left"/>
    </w:pPr>
    <w:rPr>
      <w:rFonts w:eastAsia="Times New Roman" w:cs="Times New Roman"/>
      <w:sz w:val="24"/>
      <w:lang w:eastAsia="zh-TW"/>
    </w:rPr>
  </w:style>
  <w:style w:type="character" w:styleId="Strong">
    <w:name w:val="Strong"/>
    <w:basedOn w:val="DefaultParagraphFont"/>
    <w:uiPriority w:val="22"/>
    <w:qFormat/>
    <w:rsid w:val="0058766F"/>
    <w:rPr>
      <w:b/>
      <w:bCs/>
    </w:rPr>
  </w:style>
  <w:style w:type="paragraph" w:styleId="NoSpacing">
    <w:name w:val="No Spacing"/>
    <w:uiPriority w:val="1"/>
    <w:qFormat/>
    <w:rsid w:val="0058766F"/>
    <w:pPr>
      <w:spacing w:after="0" w:line="240" w:lineRule="auto"/>
      <w:jc w:val="both"/>
    </w:pPr>
    <w:rPr>
      <w:rFonts w:ascii="Times New Roman" w:hAnsi="Times New Roman"/>
      <w:szCs w:val="24"/>
    </w:rPr>
  </w:style>
  <w:style w:type="character" w:styleId="SubtleEmphasis">
    <w:name w:val="Subtle Emphasis"/>
    <w:basedOn w:val="DefaultParagraphFont"/>
    <w:uiPriority w:val="19"/>
    <w:qFormat/>
    <w:rsid w:val="0058766F"/>
    <w:rPr>
      <w:i/>
      <w:iCs/>
      <w:color w:val="404040" w:themeColor="text1" w:themeTint="BF"/>
    </w:rPr>
  </w:style>
  <w:style w:type="character" w:styleId="SubtleReference">
    <w:name w:val="Subtle Reference"/>
    <w:basedOn w:val="DefaultParagraphFont"/>
    <w:uiPriority w:val="31"/>
    <w:qFormat/>
    <w:rsid w:val="0058766F"/>
    <w:rPr>
      <w:smallCaps/>
      <w:color w:val="5A5A5A" w:themeColor="text1" w:themeTint="A5"/>
    </w:rPr>
  </w:style>
  <w:style w:type="character" w:styleId="BookTitle">
    <w:name w:val="Book Title"/>
    <w:basedOn w:val="DefaultParagraphFont"/>
    <w:uiPriority w:val="33"/>
    <w:qFormat/>
    <w:rsid w:val="0058766F"/>
    <w:rPr>
      <w:b/>
      <w:bCs/>
      <w:i/>
      <w:iCs/>
      <w:spacing w:val="5"/>
    </w:rPr>
  </w:style>
  <w:style w:type="paragraph" w:styleId="TOCHeading">
    <w:name w:val="TOC Heading"/>
    <w:basedOn w:val="Heading1"/>
    <w:next w:val="Normal"/>
    <w:uiPriority w:val="39"/>
    <w:semiHidden/>
    <w:unhideWhenUsed/>
    <w:qFormat/>
    <w:rsid w:val="0058766F"/>
    <w:pPr>
      <w:spacing w:after="0"/>
      <w:outlineLvl w:val="9"/>
    </w:pPr>
  </w:style>
  <w:style w:type="paragraph" w:styleId="BalloonText">
    <w:name w:val="Balloon Text"/>
    <w:basedOn w:val="Normal"/>
    <w:link w:val="BalloonTextChar"/>
    <w:uiPriority w:val="99"/>
    <w:semiHidden/>
    <w:unhideWhenUsed/>
    <w:rsid w:val="0058766F"/>
    <w:pPr>
      <w:spacing w:after="0"/>
      <w:jc w:val="left"/>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58766F"/>
    <w:rPr>
      <w:rFonts w:ascii="Segoe UI" w:eastAsiaTheme="minorEastAsia" w:hAnsi="Segoe UI" w:cs="Segoe UI"/>
      <w:sz w:val="18"/>
      <w:szCs w:val="18"/>
    </w:rPr>
  </w:style>
  <w:style w:type="character" w:customStyle="1" w:styleId="UnresolvedMention1">
    <w:name w:val="Unresolved Mention1"/>
    <w:basedOn w:val="DefaultParagraphFont"/>
    <w:uiPriority w:val="99"/>
    <w:semiHidden/>
    <w:unhideWhenUsed/>
    <w:rsid w:val="0058766F"/>
    <w:rPr>
      <w:color w:val="605E5C"/>
      <w:shd w:val="clear" w:color="auto" w:fill="E1DFDD"/>
    </w:rPr>
  </w:style>
  <w:style w:type="character" w:customStyle="1" w:styleId="UnresolvedMention2">
    <w:name w:val="Unresolved Mention2"/>
    <w:basedOn w:val="DefaultParagraphFont"/>
    <w:uiPriority w:val="99"/>
    <w:semiHidden/>
    <w:unhideWhenUsed/>
    <w:rsid w:val="0058766F"/>
    <w:rPr>
      <w:color w:val="605E5C"/>
      <w:shd w:val="clear" w:color="auto" w:fill="E1DFDD"/>
    </w:rPr>
  </w:style>
  <w:style w:type="numbering" w:customStyle="1" w:styleId="CurrentList1">
    <w:name w:val="Current List1"/>
    <w:uiPriority w:val="99"/>
    <w:rsid w:val="0058766F"/>
    <w:pPr>
      <w:numPr>
        <w:numId w:val="83"/>
      </w:numPr>
    </w:pPr>
  </w:style>
  <w:style w:type="paragraph" w:styleId="Date">
    <w:name w:val="Date"/>
    <w:basedOn w:val="Normal"/>
    <w:next w:val="Normal"/>
    <w:link w:val="DateChar"/>
    <w:uiPriority w:val="99"/>
    <w:semiHidden/>
    <w:unhideWhenUsed/>
    <w:rsid w:val="0058766F"/>
    <w:pPr>
      <w:spacing w:after="160" w:line="259" w:lineRule="auto"/>
      <w:jc w:val="left"/>
    </w:pPr>
    <w:rPr>
      <w:rFonts w:asciiTheme="minorHAnsi" w:eastAsiaTheme="minorEastAsia" w:hAnsiTheme="minorHAnsi"/>
      <w:szCs w:val="22"/>
    </w:rPr>
  </w:style>
  <w:style w:type="character" w:customStyle="1" w:styleId="DateChar">
    <w:name w:val="Date Char"/>
    <w:basedOn w:val="DefaultParagraphFont"/>
    <w:link w:val="Date"/>
    <w:uiPriority w:val="99"/>
    <w:semiHidden/>
    <w:rsid w:val="0058766F"/>
    <w:rPr>
      <w:rFonts w:eastAsiaTheme="minorEastAsia"/>
    </w:rPr>
  </w:style>
  <w:style w:type="numbering" w:customStyle="1" w:styleId="CurrentList2">
    <w:name w:val="Current List2"/>
    <w:uiPriority w:val="99"/>
    <w:rsid w:val="0058766F"/>
    <w:pPr>
      <w:numPr>
        <w:numId w:val="84"/>
      </w:numPr>
    </w:pPr>
  </w:style>
  <w:style w:type="numbering" w:customStyle="1" w:styleId="CurrentList3">
    <w:name w:val="Current List3"/>
    <w:uiPriority w:val="99"/>
    <w:rsid w:val="0058766F"/>
    <w:pPr>
      <w:numPr>
        <w:numId w:val="85"/>
      </w:numPr>
    </w:pPr>
  </w:style>
  <w:style w:type="paragraph" w:customStyle="1" w:styleId="paragraph">
    <w:name w:val="paragraph"/>
    <w:basedOn w:val="Normal"/>
    <w:rsid w:val="0058766F"/>
    <w:pPr>
      <w:spacing w:before="100" w:beforeAutospacing="1" w:after="100" w:afterAutospacing="1"/>
      <w:jc w:val="left"/>
    </w:pPr>
    <w:rPr>
      <w:rFonts w:eastAsia="Times New Roman" w:cs="Times New Roman"/>
      <w:sz w:val="24"/>
      <w:lang w:eastAsia="zh-TW"/>
    </w:rPr>
  </w:style>
  <w:style w:type="numbering" w:customStyle="1" w:styleId="CurrentList4">
    <w:name w:val="Current List4"/>
    <w:uiPriority w:val="99"/>
    <w:rsid w:val="0058766F"/>
    <w:pPr>
      <w:numPr>
        <w:numId w:val="86"/>
      </w:numPr>
    </w:pPr>
  </w:style>
  <w:style w:type="numbering" w:customStyle="1" w:styleId="CurrentList5">
    <w:name w:val="Current List5"/>
    <w:uiPriority w:val="99"/>
    <w:rsid w:val="0058766F"/>
    <w:pPr>
      <w:numPr>
        <w:numId w:val="87"/>
      </w:numPr>
    </w:pPr>
  </w:style>
  <w:style w:type="numbering" w:customStyle="1" w:styleId="CurrentList6">
    <w:name w:val="Current List6"/>
    <w:uiPriority w:val="99"/>
    <w:rsid w:val="0058766F"/>
    <w:pPr>
      <w:numPr>
        <w:numId w:val="88"/>
      </w:numPr>
    </w:pPr>
  </w:style>
  <w:style w:type="numbering" w:customStyle="1" w:styleId="CurrentList7">
    <w:name w:val="Current List7"/>
    <w:uiPriority w:val="99"/>
    <w:rsid w:val="0058766F"/>
    <w:pPr>
      <w:numPr>
        <w:numId w:val="89"/>
      </w:numPr>
    </w:pPr>
  </w:style>
  <w:style w:type="numbering" w:customStyle="1" w:styleId="CurrentList8">
    <w:name w:val="Current List8"/>
    <w:uiPriority w:val="99"/>
    <w:rsid w:val="0058766F"/>
    <w:pPr>
      <w:numPr>
        <w:numId w:val="90"/>
      </w:numPr>
    </w:pPr>
  </w:style>
  <w:style w:type="paragraph" w:customStyle="1" w:styleId="DraftHeading2">
    <w:name w:val="Draft Heading 2"/>
    <w:basedOn w:val="Normal"/>
    <w:next w:val="Normal"/>
    <w:link w:val="DraftHeading2Char"/>
    <w:rsid w:val="0058766F"/>
    <w:pPr>
      <w:overflowPunct w:val="0"/>
      <w:autoSpaceDE w:val="0"/>
      <w:autoSpaceDN w:val="0"/>
      <w:adjustRightInd w:val="0"/>
      <w:spacing w:before="120" w:after="0"/>
      <w:jc w:val="left"/>
      <w:textAlignment w:val="baseline"/>
    </w:pPr>
    <w:rPr>
      <w:rFonts w:eastAsia="Times New Roman" w:cs="Times New Roman"/>
      <w:sz w:val="24"/>
      <w:szCs w:val="20"/>
    </w:rPr>
  </w:style>
  <w:style w:type="paragraph" w:customStyle="1" w:styleId="DraftHeading3">
    <w:name w:val="Draft Heading 3"/>
    <w:basedOn w:val="Normal"/>
    <w:next w:val="Normal"/>
    <w:rsid w:val="0058766F"/>
    <w:pPr>
      <w:overflowPunct w:val="0"/>
      <w:autoSpaceDE w:val="0"/>
      <w:autoSpaceDN w:val="0"/>
      <w:adjustRightInd w:val="0"/>
      <w:spacing w:before="120" w:after="0"/>
      <w:jc w:val="left"/>
      <w:textAlignment w:val="baseline"/>
    </w:pPr>
    <w:rPr>
      <w:rFonts w:eastAsia="Times New Roman" w:cs="Times New Roman"/>
      <w:sz w:val="24"/>
      <w:szCs w:val="20"/>
    </w:rPr>
  </w:style>
  <w:style w:type="character" w:customStyle="1" w:styleId="DraftHeading2Char">
    <w:name w:val="Draft Heading 2 Char"/>
    <w:basedOn w:val="DefaultParagraphFont"/>
    <w:link w:val="DraftHeading2"/>
    <w:rsid w:val="0058766F"/>
    <w:rPr>
      <w:rFonts w:ascii="Times New Roman" w:eastAsia="Times New Roman" w:hAnsi="Times New Roman" w:cs="Times New Roman"/>
      <w:sz w:val="24"/>
      <w:szCs w:val="20"/>
    </w:rPr>
  </w:style>
  <w:style w:type="paragraph" w:customStyle="1" w:styleId="definition">
    <w:name w:val="definition"/>
    <w:basedOn w:val="Normal"/>
    <w:rsid w:val="0058766F"/>
    <w:pPr>
      <w:spacing w:before="100" w:beforeAutospacing="1" w:after="100" w:afterAutospacing="1"/>
      <w:jc w:val="left"/>
    </w:pPr>
    <w:rPr>
      <w:rFonts w:eastAsia="Times New Roman" w:cs="Times New Roman"/>
      <w:sz w:val="24"/>
      <w:lang w:eastAsia="zh-TW"/>
    </w:rPr>
  </w:style>
  <w:style w:type="paragraph" w:customStyle="1" w:styleId="paragraphsub">
    <w:name w:val="paragraphsub"/>
    <w:basedOn w:val="Normal"/>
    <w:rsid w:val="0058766F"/>
    <w:pPr>
      <w:spacing w:before="100" w:beforeAutospacing="1" w:after="100" w:afterAutospacing="1"/>
      <w:jc w:val="left"/>
    </w:pPr>
    <w:rPr>
      <w:rFonts w:eastAsia="Times New Roman" w:cs="Times New Roman"/>
      <w:sz w:val="24"/>
      <w:lang w:eastAsia="zh-TW"/>
    </w:rPr>
  </w:style>
  <w:style w:type="paragraph" w:customStyle="1" w:styleId="gov-is-numbered-paragraph">
    <w:name w:val="gov-is-numbered-paragraph"/>
    <w:basedOn w:val="Normal"/>
    <w:rsid w:val="0058766F"/>
    <w:pPr>
      <w:spacing w:before="100" w:beforeAutospacing="1" w:after="100" w:afterAutospacing="1"/>
      <w:jc w:val="left"/>
    </w:pPr>
    <w:rPr>
      <w:rFonts w:eastAsia="Times New Roman" w:cs="Times New Roman"/>
      <w:sz w:val="24"/>
      <w:lang w:eastAsia="zh-TW"/>
    </w:rPr>
  </w:style>
  <w:style w:type="numbering" w:customStyle="1" w:styleId="CurrentList9">
    <w:name w:val="Current List9"/>
    <w:uiPriority w:val="99"/>
    <w:rsid w:val="0058766F"/>
    <w:pPr>
      <w:numPr>
        <w:numId w:val="91"/>
      </w:numPr>
    </w:pPr>
  </w:style>
  <w:style w:type="paragraph" w:customStyle="1" w:styleId="headingparagraph">
    <w:name w:val="headingparagraph"/>
    <w:basedOn w:val="Normal"/>
    <w:rsid w:val="0058766F"/>
    <w:pPr>
      <w:spacing w:before="100" w:beforeAutospacing="1" w:after="100" w:afterAutospacing="1"/>
      <w:jc w:val="left"/>
    </w:pPr>
    <w:rPr>
      <w:rFonts w:eastAsia="Times New Roman" w:cs="Times New Roman"/>
      <w:sz w:val="24"/>
      <w:lang w:eastAsia="zh-TW"/>
    </w:rPr>
  </w:style>
  <w:style w:type="paragraph" w:styleId="TOC4">
    <w:name w:val="toc 4"/>
    <w:basedOn w:val="Normal"/>
    <w:next w:val="Normal"/>
    <w:autoRedefine/>
    <w:uiPriority w:val="39"/>
    <w:unhideWhenUsed/>
    <w:rsid w:val="0058766F"/>
    <w:pPr>
      <w:spacing w:after="100"/>
      <w:ind w:left="720"/>
      <w:jc w:val="left"/>
    </w:pPr>
    <w:rPr>
      <w:rFonts w:asciiTheme="minorHAnsi" w:eastAsia="Heiti TC Light" w:hAnsiTheme="minorHAnsi"/>
      <w:sz w:val="24"/>
      <w:lang w:eastAsia="zh-TW"/>
    </w:rPr>
  </w:style>
  <w:style w:type="paragraph" w:styleId="TOC5">
    <w:name w:val="toc 5"/>
    <w:basedOn w:val="Normal"/>
    <w:next w:val="Normal"/>
    <w:autoRedefine/>
    <w:uiPriority w:val="39"/>
    <w:unhideWhenUsed/>
    <w:rsid w:val="0058766F"/>
    <w:pPr>
      <w:spacing w:after="100"/>
      <w:ind w:left="960"/>
      <w:jc w:val="left"/>
    </w:pPr>
    <w:rPr>
      <w:rFonts w:asciiTheme="minorHAnsi" w:eastAsia="Heiti TC Light" w:hAnsiTheme="minorHAnsi"/>
      <w:sz w:val="24"/>
      <w:lang w:eastAsia="zh-TW"/>
    </w:rPr>
  </w:style>
  <w:style w:type="paragraph" w:styleId="TOC6">
    <w:name w:val="toc 6"/>
    <w:basedOn w:val="Normal"/>
    <w:next w:val="Normal"/>
    <w:autoRedefine/>
    <w:uiPriority w:val="39"/>
    <w:unhideWhenUsed/>
    <w:rsid w:val="0058766F"/>
    <w:pPr>
      <w:spacing w:after="100"/>
      <w:ind w:left="1200"/>
      <w:jc w:val="left"/>
    </w:pPr>
    <w:rPr>
      <w:rFonts w:asciiTheme="minorHAnsi" w:eastAsia="Heiti TC Light" w:hAnsiTheme="minorHAnsi"/>
      <w:sz w:val="24"/>
      <w:lang w:eastAsia="zh-TW"/>
    </w:rPr>
  </w:style>
  <w:style w:type="paragraph" w:styleId="TOC7">
    <w:name w:val="toc 7"/>
    <w:basedOn w:val="Normal"/>
    <w:next w:val="Normal"/>
    <w:autoRedefine/>
    <w:uiPriority w:val="39"/>
    <w:unhideWhenUsed/>
    <w:rsid w:val="0058766F"/>
    <w:pPr>
      <w:spacing w:after="100"/>
      <w:ind w:left="1440"/>
      <w:jc w:val="left"/>
    </w:pPr>
    <w:rPr>
      <w:rFonts w:asciiTheme="minorHAnsi" w:eastAsia="Heiti TC Light" w:hAnsiTheme="minorHAnsi"/>
      <w:sz w:val="24"/>
      <w:lang w:eastAsia="zh-TW"/>
    </w:rPr>
  </w:style>
  <w:style w:type="paragraph" w:styleId="TOC8">
    <w:name w:val="toc 8"/>
    <w:basedOn w:val="Normal"/>
    <w:next w:val="Normal"/>
    <w:autoRedefine/>
    <w:uiPriority w:val="39"/>
    <w:unhideWhenUsed/>
    <w:rsid w:val="0058766F"/>
    <w:pPr>
      <w:spacing w:after="100"/>
      <w:ind w:left="1680"/>
      <w:jc w:val="left"/>
    </w:pPr>
    <w:rPr>
      <w:rFonts w:asciiTheme="minorHAnsi" w:eastAsia="Heiti TC Light" w:hAnsiTheme="minorHAnsi"/>
      <w:sz w:val="24"/>
      <w:lang w:eastAsia="zh-TW"/>
    </w:rPr>
  </w:style>
  <w:style w:type="paragraph" w:styleId="ListBullet">
    <w:name w:val="List Bullet"/>
    <w:basedOn w:val="Normal"/>
    <w:rsid w:val="0058766F"/>
    <w:pPr>
      <w:numPr>
        <w:numId w:val="92"/>
      </w:numPr>
      <w:tabs>
        <w:tab w:val="clear" w:pos="360"/>
      </w:tabs>
      <w:spacing w:after="160" w:line="259" w:lineRule="auto"/>
      <w:ind w:left="0" w:firstLine="0"/>
      <w:contextualSpacing/>
      <w:jc w:val="left"/>
    </w:pPr>
    <w:rPr>
      <w:rFonts w:asciiTheme="minorHAnsi" w:hAnsiTheme="minorHAnsi"/>
      <w:szCs w:val="22"/>
    </w:rPr>
  </w:style>
  <w:style w:type="paragraph" w:customStyle="1" w:styleId="TLRIH1">
    <w:name w:val="TLRI H1"/>
    <w:basedOn w:val="Normal"/>
    <w:next w:val="NormalNumberedTextTLRI"/>
    <w:rsid w:val="0058766F"/>
    <w:pPr>
      <w:keepNext/>
      <w:numPr>
        <w:ilvl w:val="1"/>
        <w:numId w:val="93"/>
      </w:numPr>
      <w:spacing w:before="480" w:after="360"/>
      <w:ind w:left="0" w:firstLine="0"/>
      <w:jc w:val="left"/>
      <w:outlineLvl w:val="1"/>
    </w:pPr>
    <w:rPr>
      <w:rFonts w:ascii="Arial" w:eastAsia="Times" w:hAnsi="Arial"/>
      <w:b/>
      <w:sz w:val="32"/>
      <w:szCs w:val="20"/>
      <w:lang w:val="x-none"/>
    </w:rPr>
  </w:style>
  <w:style w:type="paragraph" w:customStyle="1" w:styleId="TLRIChapterno">
    <w:name w:val="TLRI Chapter no"/>
    <w:basedOn w:val="Normal"/>
    <w:rsid w:val="0058766F"/>
    <w:pPr>
      <w:numPr>
        <w:numId w:val="93"/>
      </w:numPr>
      <w:pBdr>
        <w:bottom w:val="single" w:sz="4" w:space="1" w:color="auto"/>
      </w:pBdr>
      <w:spacing w:after="120"/>
      <w:ind w:left="0"/>
      <w:jc w:val="left"/>
      <w:outlineLvl w:val="0"/>
    </w:pPr>
    <w:rPr>
      <w:rFonts w:ascii="Arial" w:eastAsia="Times" w:hAnsi="Arial" w:cs="Times New Roman"/>
      <w:b/>
      <w:sz w:val="28"/>
      <w:szCs w:val="20"/>
      <w:lang w:eastAsia="en-GB"/>
    </w:rPr>
  </w:style>
  <w:style w:type="paragraph" w:customStyle="1" w:styleId="TLRINormal">
    <w:name w:val="TLRI Normal"/>
    <w:basedOn w:val="Normal"/>
    <w:uiPriority w:val="1"/>
    <w:rsid w:val="0058766F"/>
    <w:pPr>
      <w:numPr>
        <w:ilvl w:val="2"/>
        <w:numId w:val="93"/>
      </w:numPr>
      <w:spacing w:before="120" w:after="120" w:line="360" w:lineRule="auto"/>
      <w:ind w:left="0" w:firstLine="0"/>
      <w:jc w:val="left"/>
    </w:pPr>
    <w:rPr>
      <w:rFonts w:eastAsia="Times New Roman" w:cs="Times New Roman"/>
      <w:szCs w:val="22"/>
      <w:lang w:eastAsia="en-GB"/>
    </w:rPr>
  </w:style>
  <w:style w:type="paragraph" w:customStyle="1" w:styleId="tablea">
    <w:name w:val="tablea"/>
    <w:basedOn w:val="Normal"/>
    <w:rsid w:val="0058766F"/>
    <w:pPr>
      <w:spacing w:before="100" w:beforeAutospacing="1" w:after="100" w:afterAutospacing="1"/>
      <w:jc w:val="left"/>
    </w:pPr>
    <w:rPr>
      <w:rFonts w:eastAsia="Times New Roman" w:cs="Times New Roman"/>
      <w:sz w:val="24"/>
      <w:lang w:eastAsia="en-AU"/>
    </w:rPr>
  </w:style>
  <w:style w:type="character" w:customStyle="1" w:styleId="cf01">
    <w:name w:val="cf01"/>
    <w:basedOn w:val="DefaultParagraphFont"/>
    <w:rsid w:val="0058766F"/>
    <w:rPr>
      <w:rFonts w:ascii="Segoe UI" w:hAnsi="Segoe UI" w:cs="Segoe UI" w:hint="default"/>
      <w:sz w:val="18"/>
      <w:szCs w:val="18"/>
    </w:rPr>
  </w:style>
  <w:style w:type="paragraph" w:customStyle="1" w:styleId="pf0">
    <w:name w:val="pf0"/>
    <w:basedOn w:val="Normal"/>
    <w:rsid w:val="0058766F"/>
    <w:pPr>
      <w:spacing w:before="100" w:beforeAutospacing="1" w:after="100" w:afterAutospacing="1"/>
      <w:ind w:left="1080"/>
      <w:jc w:val="left"/>
    </w:pPr>
    <w:rPr>
      <w:rFonts w:eastAsia="Times New Roman" w:cs="Times New Roman"/>
      <w:sz w:val="24"/>
      <w:lang w:eastAsia="en-AU"/>
    </w:rPr>
  </w:style>
  <w:style w:type="paragraph" w:customStyle="1" w:styleId="pf1">
    <w:name w:val="pf1"/>
    <w:basedOn w:val="Normal"/>
    <w:rsid w:val="0058766F"/>
    <w:pPr>
      <w:spacing w:before="100" w:beforeAutospacing="1" w:after="100" w:afterAutospacing="1"/>
      <w:ind w:left="1440"/>
      <w:jc w:val="left"/>
    </w:pPr>
    <w:rPr>
      <w:rFonts w:eastAsia="Times New Roman" w:cs="Times New Roman"/>
      <w:sz w:val="24"/>
      <w:lang w:eastAsia="en-AU"/>
    </w:rPr>
  </w:style>
  <w:style w:type="character" w:customStyle="1" w:styleId="normaltextrun">
    <w:name w:val="normaltextrun"/>
    <w:basedOn w:val="DefaultParagraphFont"/>
    <w:rsid w:val="0058766F"/>
  </w:style>
  <w:style w:type="character" w:customStyle="1" w:styleId="eop">
    <w:name w:val="eop"/>
    <w:basedOn w:val="DefaultParagraphFont"/>
    <w:rsid w:val="0058766F"/>
  </w:style>
  <w:style w:type="paragraph" w:customStyle="1" w:styleId="QuoteTLRI">
    <w:name w:val="Quote TLRI"/>
    <w:basedOn w:val="Normal"/>
    <w:rsid w:val="0058766F"/>
    <w:pPr>
      <w:ind w:left="851" w:right="851"/>
    </w:pPr>
    <w:rPr>
      <w:rFonts w:eastAsia="Times" w:cs="Times New Roman"/>
      <w:sz w:val="20"/>
      <w:szCs w:val="20"/>
    </w:rPr>
  </w:style>
  <w:style w:type="paragraph" w:customStyle="1" w:styleId="PartHeading">
    <w:name w:val="Part Heading"/>
    <w:basedOn w:val="PartHeadingTLRI"/>
    <w:link w:val="PartHeadingChar"/>
    <w:rsid w:val="0058766F"/>
    <w:pPr>
      <w:spacing w:before="600" w:after="720"/>
    </w:pPr>
    <w:rPr>
      <w:rFonts w:cs="Arial"/>
      <w:sz w:val="36"/>
      <w:szCs w:val="36"/>
    </w:rPr>
  </w:style>
  <w:style w:type="character" w:customStyle="1" w:styleId="PartHeadingChar">
    <w:name w:val="Part Heading Char"/>
    <w:basedOn w:val="PartHeadingTLRIChar"/>
    <w:link w:val="PartHeading"/>
    <w:rsid w:val="0058766F"/>
    <w:rPr>
      <w:rFonts w:ascii="Times New Roman" w:eastAsia="Times" w:hAnsi="Times New Roman" w:cs="Arial"/>
      <w:b/>
      <w:sz w:val="36"/>
      <w:szCs w:val="36"/>
    </w:rPr>
  </w:style>
  <w:style w:type="numbering" w:customStyle="1" w:styleId="CurrentList10">
    <w:name w:val="Current List10"/>
    <w:uiPriority w:val="99"/>
    <w:rsid w:val="00AE1FE0"/>
    <w:pPr>
      <w:numPr>
        <w:numId w:val="120"/>
      </w:numPr>
    </w:pPr>
  </w:style>
  <w:style w:type="paragraph" w:customStyle="1" w:styleId="Numberedinplaintext">
    <w:name w:val="Numbered in plain text"/>
    <w:basedOn w:val="Normal"/>
    <w:uiPriority w:val="1"/>
    <w:qFormat/>
    <w:rsid w:val="002A74DA"/>
    <w:pPr>
      <w:numPr>
        <w:numId w:val="129"/>
      </w:numPr>
      <w:spacing w:before="220"/>
    </w:pPr>
    <w:rPr>
      <w:rFonts w:eastAsia="Times" w:cs="Times New Roman"/>
      <w:szCs w:val="20"/>
    </w:rPr>
  </w:style>
  <w:style w:type="paragraph" w:customStyle="1" w:styleId="Letterednormalplaintext">
    <w:name w:val="Lettered normal plain text"/>
    <w:basedOn w:val="NormalNumberedTextTLRI"/>
    <w:uiPriority w:val="1"/>
    <w:qFormat/>
    <w:rsid w:val="00A01DDC"/>
    <w:pPr>
      <w:numPr>
        <w:ilvl w:val="0"/>
        <w:numId w:val="130"/>
      </w:numPr>
    </w:pPr>
  </w:style>
  <w:style w:type="paragraph" w:customStyle="1" w:styleId="p1">
    <w:name w:val="p1"/>
    <w:basedOn w:val="Normal"/>
    <w:rsid w:val="003C20D9"/>
    <w:pPr>
      <w:spacing w:before="100" w:beforeAutospacing="1" w:after="100" w:afterAutospacing="1"/>
      <w:jc w:val="left"/>
    </w:pPr>
    <w:rPr>
      <w:rFonts w:eastAsia="Times New Roman" w:cs="Times New Roman"/>
      <w:sz w:val="24"/>
      <w:lang w:eastAsia="en-GB"/>
    </w:rPr>
  </w:style>
  <w:style w:type="paragraph" w:customStyle="1" w:styleId="TLRISubheading">
    <w:name w:val="TLRI Subheading"/>
    <w:basedOn w:val="ExecSummaryandAppendixHeading"/>
    <w:uiPriority w:val="1"/>
    <w:qFormat/>
    <w:rsid w:val="00A52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1376">
      <w:bodyDiv w:val="1"/>
      <w:marLeft w:val="0"/>
      <w:marRight w:val="0"/>
      <w:marTop w:val="0"/>
      <w:marBottom w:val="0"/>
      <w:divBdr>
        <w:top w:val="none" w:sz="0" w:space="0" w:color="auto"/>
        <w:left w:val="none" w:sz="0" w:space="0" w:color="auto"/>
        <w:bottom w:val="none" w:sz="0" w:space="0" w:color="auto"/>
        <w:right w:val="none" w:sz="0" w:space="0" w:color="auto"/>
      </w:divBdr>
    </w:div>
    <w:div w:id="54862198">
      <w:bodyDiv w:val="1"/>
      <w:marLeft w:val="0"/>
      <w:marRight w:val="0"/>
      <w:marTop w:val="0"/>
      <w:marBottom w:val="0"/>
      <w:divBdr>
        <w:top w:val="none" w:sz="0" w:space="0" w:color="auto"/>
        <w:left w:val="none" w:sz="0" w:space="0" w:color="auto"/>
        <w:bottom w:val="none" w:sz="0" w:space="0" w:color="auto"/>
        <w:right w:val="none" w:sz="0" w:space="0" w:color="auto"/>
      </w:divBdr>
    </w:div>
    <w:div w:id="101076715">
      <w:bodyDiv w:val="1"/>
      <w:marLeft w:val="0"/>
      <w:marRight w:val="0"/>
      <w:marTop w:val="0"/>
      <w:marBottom w:val="0"/>
      <w:divBdr>
        <w:top w:val="none" w:sz="0" w:space="0" w:color="auto"/>
        <w:left w:val="none" w:sz="0" w:space="0" w:color="auto"/>
        <w:bottom w:val="none" w:sz="0" w:space="0" w:color="auto"/>
        <w:right w:val="none" w:sz="0" w:space="0" w:color="auto"/>
      </w:divBdr>
    </w:div>
    <w:div w:id="102069701">
      <w:bodyDiv w:val="1"/>
      <w:marLeft w:val="0"/>
      <w:marRight w:val="0"/>
      <w:marTop w:val="0"/>
      <w:marBottom w:val="0"/>
      <w:divBdr>
        <w:top w:val="none" w:sz="0" w:space="0" w:color="auto"/>
        <w:left w:val="none" w:sz="0" w:space="0" w:color="auto"/>
        <w:bottom w:val="none" w:sz="0" w:space="0" w:color="auto"/>
        <w:right w:val="none" w:sz="0" w:space="0" w:color="auto"/>
      </w:divBdr>
    </w:div>
    <w:div w:id="103351289">
      <w:bodyDiv w:val="1"/>
      <w:marLeft w:val="0"/>
      <w:marRight w:val="0"/>
      <w:marTop w:val="0"/>
      <w:marBottom w:val="0"/>
      <w:divBdr>
        <w:top w:val="none" w:sz="0" w:space="0" w:color="auto"/>
        <w:left w:val="none" w:sz="0" w:space="0" w:color="auto"/>
        <w:bottom w:val="none" w:sz="0" w:space="0" w:color="auto"/>
        <w:right w:val="none" w:sz="0" w:space="0" w:color="auto"/>
      </w:divBdr>
    </w:div>
    <w:div w:id="163395755">
      <w:bodyDiv w:val="1"/>
      <w:marLeft w:val="0"/>
      <w:marRight w:val="0"/>
      <w:marTop w:val="0"/>
      <w:marBottom w:val="0"/>
      <w:divBdr>
        <w:top w:val="none" w:sz="0" w:space="0" w:color="auto"/>
        <w:left w:val="none" w:sz="0" w:space="0" w:color="auto"/>
        <w:bottom w:val="none" w:sz="0" w:space="0" w:color="auto"/>
        <w:right w:val="none" w:sz="0" w:space="0" w:color="auto"/>
      </w:divBdr>
    </w:div>
    <w:div w:id="171726001">
      <w:bodyDiv w:val="1"/>
      <w:marLeft w:val="0"/>
      <w:marRight w:val="0"/>
      <w:marTop w:val="0"/>
      <w:marBottom w:val="0"/>
      <w:divBdr>
        <w:top w:val="none" w:sz="0" w:space="0" w:color="auto"/>
        <w:left w:val="none" w:sz="0" w:space="0" w:color="auto"/>
        <w:bottom w:val="none" w:sz="0" w:space="0" w:color="auto"/>
        <w:right w:val="none" w:sz="0" w:space="0" w:color="auto"/>
      </w:divBdr>
    </w:div>
    <w:div w:id="254166225">
      <w:bodyDiv w:val="1"/>
      <w:marLeft w:val="0"/>
      <w:marRight w:val="0"/>
      <w:marTop w:val="0"/>
      <w:marBottom w:val="0"/>
      <w:divBdr>
        <w:top w:val="none" w:sz="0" w:space="0" w:color="auto"/>
        <w:left w:val="none" w:sz="0" w:space="0" w:color="auto"/>
        <w:bottom w:val="none" w:sz="0" w:space="0" w:color="auto"/>
        <w:right w:val="none" w:sz="0" w:space="0" w:color="auto"/>
      </w:divBdr>
    </w:div>
    <w:div w:id="296768345">
      <w:bodyDiv w:val="1"/>
      <w:marLeft w:val="0"/>
      <w:marRight w:val="0"/>
      <w:marTop w:val="0"/>
      <w:marBottom w:val="0"/>
      <w:divBdr>
        <w:top w:val="none" w:sz="0" w:space="0" w:color="auto"/>
        <w:left w:val="none" w:sz="0" w:space="0" w:color="auto"/>
        <w:bottom w:val="none" w:sz="0" w:space="0" w:color="auto"/>
        <w:right w:val="none" w:sz="0" w:space="0" w:color="auto"/>
      </w:divBdr>
    </w:div>
    <w:div w:id="343947626">
      <w:bodyDiv w:val="1"/>
      <w:marLeft w:val="0"/>
      <w:marRight w:val="0"/>
      <w:marTop w:val="0"/>
      <w:marBottom w:val="0"/>
      <w:divBdr>
        <w:top w:val="none" w:sz="0" w:space="0" w:color="auto"/>
        <w:left w:val="none" w:sz="0" w:space="0" w:color="auto"/>
        <w:bottom w:val="none" w:sz="0" w:space="0" w:color="auto"/>
        <w:right w:val="none" w:sz="0" w:space="0" w:color="auto"/>
      </w:divBdr>
    </w:div>
    <w:div w:id="394665451">
      <w:bodyDiv w:val="1"/>
      <w:marLeft w:val="0"/>
      <w:marRight w:val="0"/>
      <w:marTop w:val="0"/>
      <w:marBottom w:val="0"/>
      <w:divBdr>
        <w:top w:val="none" w:sz="0" w:space="0" w:color="auto"/>
        <w:left w:val="none" w:sz="0" w:space="0" w:color="auto"/>
        <w:bottom w:val="none" w:sz="0" w:space="0" w:color="auto"/>
        <w:right w:val="none" w:sz="0" w:space="0" w:color="auto"/>
      </w:divBdr>
    </w:div>
    <w:div w:id="429350643">
      <w:bodyDiv w:val="1"/>
      <w:marLeft w:val="0"/>
      <w:marRight w:val="0"/>
      <w:marTop w:val="0"/>
      <w:marBottom w:val="0"/>
      <w:divBdr>
        <w:top w:val="none" w:sz="0" w:space="0" w:color="auto"/>
        <w:left w:val="none" w:sz="0" w:space="0" w:color="auto"/>
        <w:bottom w:val="none" w:sz="0" w:space="0" w:color="auto"/>
        <w:right w:val="none" w:sz="0" w:space="0" w:color="auto"/>
      </w:divBdr>
    </w:div>
    <w:div w:id="448402080">
      <w:bodyDiv w:val="1"/>
      <w:marLeft w:val="0"/>
      <w:marRight w:val="0"/>
      <w:marTop w:val="0"/>
      <w:marBottom w:val="0"/>
      <w:divBdr>
        <w:top w:val="none" w:sz="0" w:space="0" w:color="auto"/>
        <w:left w:val="none" w:sz="0" w:space="0" w:color="auto"/>
        <w:bottom w:val="none" w:sz="0" w:space="0" w:color="auto"/>
        <w:right w:val="none" w:sz="0" w:space="0" w:color="auto"/>
      </w:divBdr>
    </w:div>
    <w:div w:id="451630960">
      <w:bodyDiv w:val="1"/>
      <w:marLeft w:val="0"/>
      <w:marRight w:val="0"/>
      <w:marTop w:val="0"/>
      <w:marBottom w:val="0"/>
      <w:divBdr>
        <w:top w:val="none" w:sz="0" w:space="0" w:color="auto"/>
        <w:left w:val="none" w:sz="0" w:space="0" w:color="auto"/>
        <w:bottom w:val="none" w:sz="0" w:space="0" w:color="auto"/>
        <w:right w:val="none" w:sz="0" w:space="0" w:color="auto"/>
      </w:divBdr>
    </w:div>
    <w:div w:id="453448781">
      <w:bodyDiv w:val="1"/>
      <w:marLeft w:val="0"/>
      <w:marRight w:val="0"/>
      <w:marTop w:val="0"/>
      <w:marBottom w:val="0"/>
      <w:divBdr>
        <w:top w:val="none" w:sz="0" w:space="0" w:color="auto"/>
        <w:left w:val="none" w:sz="0" w:space="0" w:color="auto"/>
        <w:bottom w:val="none" w:sz="0" w:space="0" w:color="auto"/>
        <w:right w:val="none" w:sz="0" w:space="0" w:color="auto"/>
      </w:divBdr>
    </w:div>
    <w:div w:id="470483251">
      <w:bodyDiv w:val="1"/>
      <w:marLeft w:val="0"/>
      <w:marRight w:val="0"/>
      <w:marTop w:val="0"/>
      <w:marBottom w:val="0"/>
      <w:divBdr>
        <w:top w:val="none" w:sz="0" w:space="0" w:color="auto"/>
        <w:left w:val="none" w:sz="0" w:space="0" w:color="auto"/>
        <w:bottom w:val="none" w:sz="0" w:space="0" w:color="auto"/>
        <w:right w:val="none" w:sz="0" w:space="0" w:color="auto"/>
      </w:divBdr>
    </w:div>
    <w:div w:id="498623401">
      <w:bodyDiv w:val="1"/>
      <w:marLeft w:val="0"/>
      <w:marRight w:val="0"/>
      <w:marTop w:val="0"/>
      <w:marBottom w:val="0"/>
      <w:divBdr>
        <w:top w:val="none" w:sz="0" w:space="0" w:color="auto"/>
        <w:left w:val="none" w:sz="0" w:space="0" w:color="auto"/>
        <w:bottom w:val="none" w:sz="0" w:space="0" w:color="auto"/>
        <w:right w:val="none" w:sz="0" w:space="0" w:color="auto"/>
      </w:divBdr>
    </w:div>
    <w:div w:id="503592201">
      <w:bodyDiv w:val="1"/>
      <w:marLeft w:val="0"/>
      <w:marRight w:val="0"/>
      <w:marTop w:val="0"/>
      <w:marBottom w:val="0"/>
      <w:divBdr>
        <w:top w:val="none" w:sz="0" w:space="0" w:color="auto"/>
        <w:left w:val="none" w:sz="0" w:space="0" w:color="auto"/>
        <w:bottom w:val="none" w:sz="0" w:space="0" w:color="auto"/>
        <w:right w:val="none" w:sz="0" w:space="0" w:color="auto"/>
      </w:divBdr>
    </w:div>
    <w:div w:id="517232999">
      <w:bodyDiv w:val="1"/>
      <w:marLeft w:val="0"/>
      <w:marRight w:val="0"/>
      <w:marTop w:val="0"/>
      <w:marBottom w:val="0"/>
      <w:divBdr>
        <w:top w:val="none" w:sz="0" w:space="0" w:color="auto"/>
        <w:left w:val="none" w:sz="0" w:space="0" w:color="auto"/>
        <w:bottom w:val="none" w:sz="0" w:space="0" w:color="auto"/>
        <w:right w:val="none" w:sz="0" w:space="0" w:color="auto"/>
      </w:divBdr>
    </w:div>
    <w:div w:id="564687253">
      <w:bodyDiv w:val="1"/>
      <w:marLeft w:val="0"/>
      <w:marRight w:val="0"/>
      <w:marTop w:val="0"/>
      <w:marBottom w:val="0"/>
      <w:divBdr>
        <w:top w:val="none" w:sz="0" w:space="0" w:color="auto"/>
        <w:left w:val="none" w:sz="0" w:space="0" w:color="auto"/>
        <w:bottom w:val="none" w:sz="0" w:space="0" w:color="auto"/>
        <w:right w:val="none" w:sz="0" w:space="0" w:color="auto"/>
      </w:divBdr>
    </w:div>
    <w:div w:id="582760912">
      <w:bodyDiv w:val="1"/>
      <w:marLeft w:val="0"/>
      <w:marRight w:val="0"/>
      <w:marTop w:val="0"/>
      <w:marBottom w:val="0"/>
      <w:divBdr>
        <w:top w:val="none" w:sz="0" w:space="0" w:color="auto"/>
        <w:left w:val="none" w:sz="0" w:space="0" w:color="auto"/>
        <w:bottom w:val="none" w:sz="0" w:space="0" w:color="auto"/>
        <w:right w:val="none" w:sz="0" w:space="0" w:color="auto"/>
      </w:divBdr>
      <w:divsChild>
        <w:div w:id="155812436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9223801">
              <w:blockQuote w:val="1"/>
              <w:marLeft w:val="0"/>
              <w:marRight w:val="0"/>
              <w:marTop w:val="120"/>
              <w:marBottom w:val="120"/>
              <w:divBdr>
                <w:top w:val="none" w:sz="0" w:space="0" w:color="auto"/>
                <w:left w:val="none" w:sz="0" w:space="0" w:color="auto"/>
                <w:bottom w:val="none" w:sz="0" w:space="0" w:color="auto"/>
                <w:right w:val="none" w:sz="0" w:space="0" w:color="auto"/>
              </w:divBdr>
            </w:div>
            <w:div w:id="583495494">
              <w:blockQuote w:val="1"/>
              <w:marLeft w:val="0"/>
              <w:marRight w:val="0"/>
              <w:marTop w:val="120"/>
              <w:marBottom w:val="120"/>
              <w:divBdr>
                <w:top w:val="none" w:sz="0" w:space="0" w:color="auto"/>
                <w:left w:val="none" w:sz="0" w:space="0" w:color="auto"/>
                <w:bottom w:val="none" w:sz="0" w:space="0" w:color="auto"/>
                <w:right w:val="none" w:sz="0" w:space="0" w:color="auto"/>
              </w:divBdr>
            </w:div>
            <w:div w:id="657882976">
              <w:blockQuote w:val="1"/>
              <w:marLeft w:val="0"/>
              <w:marRight w:val="0"/>
              <w:marTop w:val="120"/>
              <w:marBottom w:val="120"/>
              <w:divBdr>
                <w:top w:val="none" w:sz="0" w:space="0" w:color="auto"/>
                <w:left w:val="none" w:sz="0" w:space="0" w:color="auto"/>
                <w:bottom w:val="none" w:sz="0" w:space="0" w:color="auto"/>
                <w:right w:val="none" w:sz="0" w:space="0" w:color="auto"/>
              </w:divBdr>
            </w:div>
            <w:div w:id="712197987">
              <w:blockQuote w:val="1"/>
              <w:marLeft w:val="0"/>
              <w:marRight w:val="0"/>
              <w:marTop w:val="120"/>
              <w:marBottom w:val="120"/>
              <w:divBdr>
                <w:top w:val="none" w:sz="0" w:space="0" w:color="auto"/>
                <w:left w:val="none" w:sz="0" w:space="0" w:color="auto"/>
                <w:bottom w:val="none" w:sz="0" w:space="0" w:color="auto"/>
                <w:right w:val="none" w:sz="0" w:space="0" w:color="auto"/>
              </w:divBdr>
            </w:div>
            <w:div w:id="955596305">
              <w:blockQuote w:val="1"/>
              <w:marLeft w:val="0"/>
              <w:marRight w:val="0"/>
              <w:marTop w:val="120"/>
              <w:marBottom w:val="120"/>
              <w:divBdr>
                <w:top w:val="none" w:sz="0" w:space="0" w:color="auto"/>
                <w:left w:val="none" w:sz="0" w:space="0" w:color="auto"/>
                <w:bottom w:val="none" w:sz="0" w:space="0" w:color="auto"/>
                <w:right w:val="none" w:sz="0" w:space="0" w:color="auto"/>
              </w:divBdr>
            </w:div>
            <w:div w:id="1055661864">
              <w:blockQuote w:val="1"/>
              <w:marLeft w:val="0"/>
              <w:marRight w:val="0"/>
              <w:marTop w:val="120"/>
              <w:marBottom w:val="120"/>
              <w:divBdr>
                <w:top w:val="none" w:sz="0" w:space="0" w:color="auto"/>
                <w:left w:val="none" w:sz="0" w:space="0" w:color="auto"/>
                <w:bottom w:val="none" w:sz="0" w:space="0" w:color="auto"/>
                <w:right w:val="none" w:sz="0" w:space="0" w:color="auto"/>
              </w:divBdr>
            </w:div>
            <w:div w:id="1059208366">
              <w:blockQuote w:val="1"/>
              <w:marLeft w:val="0"/>
              <w:marRight w:val="0"/>
              <w:marTop w:val="120"/>
              <w:marBottom w:val="120"/>
              <w:divBdr>
                <w:top w:val="none" w:sz="0" w:space="0" w:color="auto"/>
                <w:left w:val="none" w:sz="0" w:space="0" w:color="auto"/>
                <w:bottom w:val="none" w:sz="0" w:space="0" w:color="auto"/>
                <w:right w:val="none" w:sz="0" w:space="0" w:color="auto"/>
              </w:divBdr>
            </w:div>
            <w:div w:id="1152717329">
              <w:blockQuote w:val="1"/>
              <w:marLeft w:val="0"/>
              <w:marRight w:val="0"/>
              <w:marTop w:val="120"/>
              <w:marBottom w:val="120"/>
              <w:divBdr>
                <w:top w:val="none" w:sz="0" w:space="0" w:color="auto"/>
                <w:left w:val="none" w:sz="0" w:space="0" w:color="auto"/>
                <w:bottom w:val="none" w:sz="0" w:space="0" w:color="auto"/>
                <w:right w:val="none" w:sz="0" w:space="0" w:color="auto"/>
              </w:divBdr>
            </w:div>
            <w:div w:id="1485657780">
              <w:blockQuote w:val="1"/>
              <w:marLeft w:val="0"/>
              <w:marRight w:val="0"/>
              <w:marTop w:val="120"/>
              <w:marBottom w:val="120"/>
              <w:divBdr>
                <w:top w:val="none" w:sz="0" w:space="0" w:color="auto"/>
                <w:left w:val="none" w:sz="0" w:space="0" w:color="auto"/>
                <w:bottom w:val="none" w:sz="0" w:space="0" w:color="auto"/>
                <w:right w:val="none" w:sz="0" w:space="0" w:color="auto"/>
              </w:divBdr>
            </w:div>
            <w:div w:id="1643924821">
              <w:blockQuote w:val="1"/>
              <w:marLeft w:val="0"/>
              <w:marRight w:val="0"/>
              <w:marTop w:val="120"/>
              <w:marBottom w:val="120"/>
              <w:divBdr>
                <w:top w:val="none" w:sz="0" w:space="0" w:color="auto"/>
                <w:left w:val="none" w:sz="0" w:space="0" w:color="auto"/>
                <w:bottom w:val="none" w:sz="0" w:space="0" w:color="auto"/>
                <w:right w:val="none" w:sz="0" w:space="0" w:color="auto"/>
              </w:divBdr>
            </w:div>
            <w:div w:id="176772787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93636043">
      <w:bodyDiv w:val="1"/>
      <w:marLeft w:val="0"/>
      <w:marRight w:val="0"/>
      <w:marTop w:val="0"/>
      <w:marBottom w:val="0"/>
      <w:divBdr>
        <w:top w:val="none" w:sz="0" w:space="0" w:color="auto"/>
        <w:left w:val="none" w:sz="0" w:space="0" w:color="auto"/>
        <w:bottom w:val="none" w:sz="0" w:space="0" w:color="auto"/>
        <w:right w:val="none" w:sz="0" w:space="0" w:color="auto"/>
      </w:divBdr>
      <w:divsChild>
        <w:div w:id="433209793">
          <w:marLeft w:val="0"/>
          <w:marRight w:val="0"/>
          <w:marTop w:val="0"/>
          <w:marBottom w:val="0"/>
          <w:divBdr>
            <w:top w:val="none" w:sz="0" w:space="0" w:color="auto"/>
            <w:left w:val="none" w:sz="0" w:space="0" w:color="auto"/>
            <w:bottom w:val="none" w:sz="0" w:space="0" w:color="auto"/>
            <w:right w:val="none" w:sz="0" w:space="0" w:color="auto"/>
          </w:divBdr>
        </w:div>
        <w:div w:id="447823000">
          <w:marLeft w:val="0"/>
          <w:marRight w:val="0"/>
          <w:marTop w:val="0"/>
          <w:marBottom w:val="0"/>
          <w:divBdr>
            <w:top w:val="none" w:sz="0" w:space="0" w:color="auto"/>
            <w:left w:val="none" w:sz="0" w:space="0" w:color="auto"/>
            <w:bottom w:val="none" w:sz="0" w:space="0" w:color="auto"/>
            <w:right w:val="none" w:sz="0" w:space="0" w:color="auto"/>
          </w:divBdr>
        </w:div>
        <w:div w:id="970096232">
          <w:marLeft w:val="0"/>
          <w:marRight w:val="0"/>
          <w:marTop w:val="0"/>
          <w:marBottom w:val="0"/>
          <w:divBdr>
            <w:top w:val="none" w:sz="0" w:space="0" w:color="auto"/>
            <w:left w:val="none" w:sz="0" w:space="0" w:color="auto"/>
            <w:bottom w:val="none" w:sz="0" w:space="0" w:color="auto"/>
            <w:right w:val="none" w:sz="0" w:space="0" w:color="auto"/>
          </w:divBdr>
        </w:div>
        <w:div w:id="1560894488">
          <w:marLeft w:val="0"/>
          <w:marRight w:val="0"/>
          <w:marTop w:val="0"/>
          <w:marBottom w:val="0"/>
          <w:divBdr>
            <w:top w:val="none" w:sz="0" w:space="0" w:color="auto"/>
            <w:left w:val="none" w:sz="0" w:space="0" w:color="auto"/>
            <w:bottom w:val="none" w:sz="0" w:space="0" w:color="auto"/>
            <w:right w:val="none" w:sz="0" w:space="0" w:color="auto"/>
          </w:divBdr>
        </w:div>
      </w:divsChild>
    </w:div>
    <w:div w:id="613287844">
      <w:bodyDiv w:val="1"/>
      <w:marLeft w:val="0"/>
      <w:marRight w:val="0"/>
      <w:marTop w:val="0"/>
      <w:marBottom w:val="0"/>
      <w:divBdr>
        <w:top w:val="none" w:sz="0" w:space="0" w:color="auto"/>
        <w:left w:val="none" w:sz="0" w:space="0" w:color="auto"/>
        <w:bottom w:val="none" w:sz="0" w:space="0" w:color="auto"/>
        <w:right w:val="none" w:sz="0" w:space="0" w:color="auto"/>
      </w:divBdr>
    </w:div>
    <w:div w:id="663779991">
      <w:bodyDiv w:val="1"/>
      <w:marLeft w:val="0"/>
      <w:marRight w:val="0"/>
      <w:marTop w:val="0"/>
      <w:marBottom w:val="0"/>
      <w:divBdr>
        <w:top w:val="none" w:sz="0" w:space="0" w:color="auto"/>
        <w:left w:val="none" w:sz="0" w:space="0" w:color="auto"/>
        <w:bottom w:val="none" w:sz="0" w:space="0" w:color="auto"/>
        <w:right w:val="none" w:sz="0" w:space="0" w:color="auto"/>
      </w:divBdr>
    </w:div>
    <w:div w:id="707148116">
      <w:bodyDiv w:val="1"/>
      <w:marLeft w:val="0"/>
      <w:marRight w:val="0"/>
      <w:marTop w:val="0"/>
      <w:marBottom w:val="0"/>
      <w:divBdr>
        <w:top w:val="none" w:sz="0" w:space="0" w:color="auto"/>
        <w:left w:val="none" w:sz="0" w:space="0" w:color="auto"/>
        <w:bottom w:val="none" w:sz="0" w:space="0" w:color="auto"/>
        <w:right w:val="none" w:sz="0" w:space="0" w:color="auto"/>
      </w:divBdr>
    </w:div>
    <w:div w:id="747384574">
      <w:bodyDiv w:val="1"/>
      <w:marLeft w:val="0"/>
      <w:marRight w:val="0"/>
      <w:marTop w:val="0"/>
      <w:marBottom w:val="0"/>
      <w:divBdr>
        <w:top w:val="none" w:sz="0" w:space="0" w:color="auto"/>
        <w:left w:val="none" w:sz="0" w:space="0" w:color="auto"/>
        <w:bottom w:val="none" w:sz="0" w:space="0" w:color="auto"/>
        <w:right w:val="none" w:sz="0" w:space="0" w:color="auto"/>
      </w:divBdr>
    </w:div>
    <w:div w:id="751203868">
      <w:bodyDiv w:val="1"/>
      <w:marLeft w:val="0"/>
      <w:marRight w:val="0"/>
      <w:marTop w:val="0"/>
      <w:marBottom w:val="0"/>
      <w:divBdr>
        <w:top w:val="none" w:sz="0" w:space="0" w:color="auto"/>
        <w:left w:val="none" w:sz="0" w:space="0" w:color="auto"/>
        <w:bottom w:val="none" w:sz="0" w:space="0" w:color="auto"/>
        <w:right w:val="none" w:sz="0" w:space="0" w:color="auto"/>
      </w:divBdr>
    </w:div>
    <w:div w:id="812452779">
      <w:bodyDiv w:val="1"/>
      <w:marLeft w:val="0"/>
      <w:marRight w:val="0"/>
      <w:marTop w:val="0"/>
      <w:marBottom w:val="0"/>
      <w:divBdr>
        <w:top w:val="none" w:sz="0" w:space="0" w:color="auto"/>
        <w:left w:val="none" w:sz="0" w:space="0" w:color="auto"/>
        <w:bottom w:val="none" w:sz="0" w:space="0" w:color="auto"/>
        <w:right w:val="none" w:sz="0" w:space="0" w:color="auto"/>
      </w:divBdr>
    </w:div>
    <w:div w:id="827794137">
      <w:bodyDiv w:val="1"/>
      <w:marLeft w:val="0"/>
      <w:marRight w:val="0"/>
      <w:marTop w:val="0"/>
      <w:marBottom w:val="0"/>
      <w:divBdr>
        <w:top w:val="none" w:sz="0" w:space="0" w:color="auto"/>
        <w:left w:val="none" w:sz="0" w:space="0" w:color="auto"/>
        <w:bottom w:val="none" w:sz="0" w:space="0" w:color="auto"/>
        <w:right w:val="none" w:sz="0" w:space="0" w:color="auto"/>
      </w:divBdr>
    </w:div>
    <w:div w:id="846671240">
      <w:bodyDiv w:val="1"/>
      <w:marLeft w:val="0"/>
      <w:marRight w:val="0"/>
      <w:marTop w:val="0"/>
      <w:marBottom w:val="0"/>
      <w:divBdr>
        <w:top w:val="none" w:sz="0" w:space="0" w:color="auto"/>
        <w:left w:val="none" w:sz="0" w:space="0" w:color="auto"/>
        <w:bottom w:val="none" w:sz="0" w:space="0" w:color="auto"/>
        <w:right w:val="none" w:sz="0" w:space="0" w:color="auto"/>
      </w:divBdr>
    </w:div>
    <w:div w:id="872961174">
      <w:bodyDiv w:val="1"/>
      <w:marLeft w:val="0"/>
      <w:marRight w:val="0"/>
      <w:marTop w:val="0"/>
      <w:marBottom w:val="0"/>
      <w:divBdr>
        <w:top w:val="none" w:sz="0" w:space="0" w:color="auto"/>
        <w:left w:val="none" w:sz="0" w:space="0" w:color="auto"/>
        <w:bottom w:val="none" w:sz="0" w:space="0" w:color="auto"/>
        <w:right w:val="none" w:sz="0" w:space="0" w:color="auto"/>
      </w:divBdr>
    </w:div>
    <w:div w:id="896475460">
      <w:bodyDiv w:val="1"/>
      <w:marLeft w:val="0"/>
      <w:marRight w:val="0"/>
      <w:marTop w:val="0"/>
      <w:marBottom w:val="0"/>
      <w:divBdr>
        <w:top w:val="none" w:sz="0" w:space="0" w:color="auto"/>
        <w:left w:val="none" w:sz="0" w:space="0" w:color="auto"/>
        <w:bottom w:val="none" w:sz="0" w:space="0" w:color="auto"/>
        <w:right w:val="none" w:sz="0" w:space="0" w:color="auto"/>
      </w:divBdr>
    </w:div>
    <w:div w:id="914045280">
      <w:bodyDiv w:val="1"/>
      <w:marLeft w:val="0"/>
      <w:marRight w:val="0"/>
      <w:marTop w:val="0"/>
      <w:marBottom w:val="0"/>
      <w:divBdr>
        <w:top w:val="none" w:sz="0" w:space="0" w:color="auto"/>
        <w:left w:val="none" w:sz="0" w:space="0" w:color="auto"/>
        <w:bottom w:val="none" w:sz="0" w:space="0" w:color="auto"/>
        <w:right w:val="none" w:sz="0" w:space="0" w:color="auto"/>
      </w:divBdr>
    </w:div>
    <w:div w:id="938684512">
      <w:bodyDiv w:val="1"/>
      <w:marLeft w:val="0"/>
      <w:marRight w:val="0"/>
      <w:marTop w:val="0"/>
      <w:marBottom w:val="0"/>
      <w:divBdr>
        <w:top w:val="none" w:sz="0" w:space="0" w:color="auto"/>
        <w:left w:val="none" w:sz="0" w:space="0" w:color="auto"/>
        <w:bottom w:val="none" w:sz="0" w:space="0" w:color="auto"/>
        <w:right w:val="none" w:sz="0" w:space="0" w:color="auto"/>
      </w:divBdr>
    </w:div>
    <w:div w:id="959922875">
      <w:bodyDiv w:val="1"/>
      <w:marLeft w:val="0"/>
      <w:marRight w:val="0"/>
      <w:marTop w:val="0"/>
      <w:marBottom w:val="0"/>
      <w:divBdr>
        <w:top w:val="none" w:sz="0" w:space="0" w:color="auto"/>
        <w:left w:val="none" w:sz="0" w:space="0" w:color="auto"/>
        <w:bottom w:val="none" w:sz="0" w:space="0" w:color="auto"/>
        <w:right w:val="none" w:sz="0" w:space="0" w:color="auto"/>
      </w:divBdr>
    </w:div>
    <w:div w:id="1008410891">
      <w:bodyDiv w:val="1"/>
      <w:marLeft w:val="0"/>
      <w:marRight w:val="0"/>
      <w:marTop w:val="0"/>
      <w:marBottom w:val="0"/>
      <w:divBdr>
        <w:top w:val="none" w:sz="0" w:space="0" w:color="auto"/>
        <w:left w:val="none" w:sz="0" w:space="0" w:color="auto"/>
        <w:bottom w:val="none" w:sz="0" w:space="0" w:color="auto"/>
        <w:right w:val="none" w:sz="0" w:space="0" w:color="auto"/>
      </w:divBdr>
    </w:div>
    <w:div w:id="1023634112">
      <w:bodyDiv w:val="1"/>
      <w:marLeft w:val="0"/>
      <w:marRight w:val="0"/>
      <w:marTop w:val="0"/>
      <w:marBottom w:val="0"/>
      <w:divBdr>
        <w:top w:val="none" w:sz="0" w:space="0" w:color="auto"/>
        <w:left w:val="none" w:sz="0" w:space="0" w:color="auto"/>
        <w:bottom w:val="none" w:sz="0" w:space="0" w:color="auto"/>
        <w:right w:val="none" w:sz="0" w:space="0" w:color="auto"/>
      </w:divBdr>
    </w:div>
    <w:div w:id="1068843658">
      <w:bodyDiv w:val="1"/>
      <w:marLeft w:val="0"/>
      <w:marRight w:val="0"/>
      <w:marTop w:val="0"/>
      <w:marBottom w:val="0"/>
      <w:divBdr>
        <w:top w:val="none" w:sz="0" w:space="0" w:color="auto"/>
        <w:left w:val="none" w:sz="0" w:space="0" w:color="auto"/>
        <w:bottom w:val="none" w:sz="0" w:space="0" w:color="auto"/>
        <w:right w:val="none" w:sz="0" w:space="0" w:color="auto"/>
      </w:divBdr>
      <w:divsChild>
        <w:div w:id="208433187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52398578">
              <w:blockQuote w:val="1"/>
              <w:marLeft w:val="0"/>
              <w:marRight w:val="0"/>
              <w:marTop w:val="120"/>
              <w:marBottom w:val="120"/>
              <w:divBdr>
                <w:top w:val="none" w:sz="0" w:space="0" w:color="auto"/>
                <w:left w:val="none" w:sz="0" w:space="0" w:color="auto"/>
                <w:bottom w:val="none" w:sz="0" w:space="0" w:color="auto"/>
                <w:right w:val="none" w:sz="0" w:space="0" w:color="auto"/>
              </w:divBdr>
            </w:div>
            <w:div w:id="512719253">
              <w:blockQuote w:val="1"/>
              <w:marLeft w:val="0"/>
              <w:marRight w:val="0"/>
              <w:marTop w:val="120"/>
              <w:marBottom w:val="120"/>
              <w:divBdr>
                <w:top w:val="none" w:sz="0" w:space="0" w:color="auto"/>
                <w:left w:val="none" w:sz="0" w:space="0" w:color="auto"/>
                <w:bottom w:val="none" w:sz="0" w:space="0" w:color="auto"/>
                <w:right w:val="none" w:sz="0" w:space="0" w:color="auto"/>
              </w:divBdr>
            </w:div>
            <w:div w:id="534149614">
              <w:blockQuote w:val="1"/>
              <w:marLeft w:val="0"/>
              <w:marRight w:val="0"/>
              <w:marTop w:val="120"/>
              <w:marBottom w:val="120"/>
              <w:divBdr>
                <w:top w:val="none" w:sz="0" w:space="0" w:color="auto"/>
                <w:left w:val="none" w:sz="0" w:space="0" w:color="auto"/>
                <w:bottom w:val="none" w:sz="0" w:space="0" w:color="auto"/>
                <w:right w:val="none" w:sz="0" w:space="0" w:color="auto"/>
              </w:divBdr>
            </w:div>
            <w:div w:id="843126419">
              <w:blockQuote w:val="1"/>
              <w:marLeft w:val="0"/>
              <w:marRight w:val="0"/>
              <w:marTop w:val="120"/>
              <w:marBottom w:val="120"/>
              <w:divBdr>
                <w:top w:val="none" w:sz="0" w:space="0" w:color="auto"/>
                <w:left w:val="none" w:sz="0" w:space="0" w:color="auto"/>
                <w:bottom w:val="none" w:sz="0" w:space="0" w:color="auto"/>
                <w:right w:val="none" w:sz="0" w:space="0" w:color="auto"/>
              </w:divBdr>
            </w:div>
            <w:div w:id="1383098862">
              <w:blockQuote w:val="1"/>
              <w:marLeft w:val="0"/>
              <w:marRight w:val="0"/>
              <w:marTop w:val="120"/>
              <w:marBottom w:val="120"/>
              <w:divBdr>
                <w:top w:val="none" w:sz="0" w:space="0" w:color="auto"/>
                <w:left w:val="none" w:sz="0" w:space="0" w:color="auto"/>
                <w:bottom w:val="none" w:sz="0" w:space="0" w:color="auto"/>
                <w:right w:val="none" w:sz="0" w:space="0" w:color="auto"/>
              </w:divBdr>
            </w:div>
            <w:div w:id="1466001063">
              <w:blockQuote w:val="1"/>
              <w:marLeft w:val="0"/>
              <w:marRight w:val="0"/>
              <w:marTop w:val="120"/>
              <w:marBottom w:val="120"/>
              <w:divBdr>
                <w:top w:val="none" w:sz="0" w:space="0" w:color="auto"/>
                <w:left w:val="none" w:sz="0" w:space="0" w:color="auto"/>
                <w:bottom w:val="none" w:sz="0" w:space="0" w:color="auto"/>
                <w:right w:val="none" w:sz="0" w:space="0" w:color="auto"/>
              </w:divBdr>
            </w:div>
            <w:div w:id="1564024190">
              <w:blockQuote w:val="1"/>
              <w:marLeft w:val="0"/>
              <w:marRight w:val="0"/>
              <w:marTop w:val="120"/>
              <w:marBottom w:val="120"/>
              <w:divBdr>
                <w:top w:val="none" w:sz="0" w:space="0" w:color="auto"/>
                <w:left w:val="none" w:sz="0" w:space="0" w:color="auto"/>
                <w:bottom w:val="none" w:sz="0" w:space="0" w:color="auto"/>
                <w:right w:val="none" w:sz="0" w:space="0" w:color="auto"/>
              </w:divBdr>
            </w:div>
            <w:div w:id="1840271598">
              <w:blockQuote w:val="1"/>
              <w:marLeft w:val="0"/>
              <w:marRight w:val="0"/>
              <w:marTop w:val="120"/>
              <w:marBottom w:val="120"/>
              <w:divBdr>
                <w:top w:val="none" w:sz="0" w:space="0" w:color="auto"/>
                <w:left w:val="none" w:sz="0" w:space="0" w:color="auto"/>
                <w:bottom w:val="none" w:sz="0" w:space="0" w:color="auto"/>
                <w:right w:val="none" w:sz="0" w:space="0" w:color="auto"/>
              </w:divBdr>
            </w:div>
            <w:div w:id="1942489569">
              <w:blockQuote w:val="1"/>
              <w:marLeft w:val="0"/>
              <w:marRight w:val="0"/>
              <w:marTop w:val="120"/>
              <w:marBottom w:val="120"/>
              <w:divBdr>
                <w:top w:val="none" w:sz="0" w:space="0" w:color="auto"/>
                <w:left w:val="none" w:sz="0" w:space="0" w:color="auto"/>
                <w:bottom w:val="none" w:sz="0" w:space="0" w:color="auto"/>
                <w:right w:val="none" w:sz="0" w:space="0" w:color="auto"/>
              </w:divBdr>
            </w:div>
            <w:div w:id="1965961925">
              <w:blockQuote w:val="1"/>
              <w:marLeft w:val="0"/>
              <w:marRight w:val="0"/>
              <w:marTop w:val="120"/>
              <w:marBottom w:val="120"/>
              <w:divBdr>
                <w:top w:val="none" w:sz="0" w:space="0" w:color="auto"/>
                <w:left w:val="none" w:sz="0" w:space="0" w:color="auto"/>
                <w:bottom w:val="none" w:sz="0" w:space="0" w:color="auto"/>
                <w:right w:val="none" w:sz="0" w:space="0" w:color="auto"/>
              </w:divBdr>
            </w:div>
            <w:div w:id="204860104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02610341">
      <w:bodyDiv w:val="1"/>
      <w:marLeft w:val="0"/>
      <w:marRight w:val="0"/>
      <w:marTop w:val="0"/>
      <w:marBottom w:val="0"/>
      <w:divBdr>
        <w:top w:val="none" w:sz="0" w:space="0" w:color="auto"/>
        <w:left w:val="none" w:sz="0" w:space="0" w:color="auto"/>
        <w:bottom w:val="none" w:sz="0" w:space="0" w:color="auto"/>
        <w:right w:val="none" w:sz="0" w:space="0" w:color="auto"/>
      </w:divBdr>
    </w:div>
    <w:div w:id="1105611790">
      <w:bodyDiv w:val="1"/>
      <w:marLeft w:val="0"/>
      <w:marRight w:val="0"/>
      <w:marTop w:val="0"/>
      <w:marBottom w:val="0"/>
      <w:divBdr>
        <w:top w:val="none" w:sz="0" w:space="0" w:color="auto"/>
        <w:left w:val="none" w:sz="0" w:space="0" w:color="auto"/>
        <w:bottom w:val="none" w:sz="0" w:space="0" w:color="auto"/>
        <w:right w:val="none" w:sz="0" w:space="0" w:color="auto"/>
      </w:divBdr>
    </w:div>
    <w:div w:id="1123188179">
      <w:bodyDiv w:val="1"/>
      <w:marLeft w:val="0"/>
      <w:marRight w:val="0"/>
      <w:marTop w:val="0"/>
      <w:marBottom w:val="0"/>
      <w:divBdr>
        <w:top w:val="none" w:sz="0" w:space="0" w:color="auto"/>
        <w:left w:val="none" w:sz="0" w:space="0" w:color="auto"/>
        <w:bottom w:val="none" w:sz="0" w:space="0" w:color="auto"/>
        <w:right w:val="none" w:sz="0" w:space="0" w:color="auto"/>
      </w:divBdr>
    </w:div>
    <w:div w:id="1162232420">
      <w:bodyDiv w:val="1"/>
      <w:marLeft w:val="0"/>
      <w:marRight w:val="0"/>
      <w:marTop w:val="0"/>
      <w:marBottom w:val="0"/>
      <w:divBdr>
        <w:top w:val="none" w:sz="0" w:space="0" w:color="auto"/>
        <w:left w:val="none" w:sz="0" w:space="0" w:color="auto"/>
        <w:bottom w:val="none" w:sz="0" w:space="0" w:color="auto"/>
        <w:right w:val="none" w:sz="0" w:space="0" w:color="auto"/>
      </w:divBdr>
    </w:div>
    <w:div w:id="1167548993">
      <w:bodyDiv w:val="1"/>
      <w:marLeft w:val="0"/>
      <w:marRight w:val="0"/>
      <w:marTop w:val="0"/>
      <w:marBottom w:val="0"/>
      <w:divBdr>
        <w:top w:val="none" w:sz="0" w:space="0" w:color="auto"/>
        <w:left w:val="none" w:sz="0" w:space="0" w:color="auto"/>
        <w:bottom w:val="none" w:sz="0" w:space="0" w:color="auto"/>
        <w:right w:val="none" w:sz="0" w:space="0" w:color="auto"/>
      </w:divBdr>
    </w:div>
    <w:div w:id="1201555863">
      <w:bodyDiv w:val="1"/>
      <w:marLeft w:val="0"/>
      <w:marRight w:val="0"/>
      <w:marTop w:val="0"/>
      <w:marBottom w:val="0"/>
      <w:divBdr>
        <w:top w:val="none" w:sz="0" w:space="0" w:color="auto"/>
        <w:left w:val="none" w:sz="0" w:space="0" w:color="auto"/>
        <w:bottom w:val="none" w:sz="0" w:space="0" w:color="auto"/>
        <w:right w:val="none" w:sz="0" w:space="0" w:color="auto"/>
      </w:divBdr>
    </w:div>
    <w:div w:id="1210218999">
      <w:bodyDiv w:val="1"/>
      <w:marLeft w:val="0"/>
      <w:marRight w:val="0"/>
      <w:marTop w:val="0"/>
      <w:marBottom w:val="0"/>
      <w:divBdr>
        <w:top w:val="none" w:sz="0" w:space="0" w:color="auto"/>
        <w:left w:val="none" w:sz="0" w:space="0" w:color="auto"/>
        <w:bottom w:val="none" w:sz="0" w:space="0" w:color="auto"/>
        <w:right w:val="none" w:sz="0" w:space="0" w:color="auto"/>
      </w:divBdr>
    </w:div>
    <w:div w:id="1270702326">
      <w:bodyDiv w:val="1"/>
      <w:marLeft w:val="0"/>
      <w:marRight w:val="0"/>
      <w:marTop w:val="0"/>
      <w:marBottom w:val="0"/>
      <w:divBdr>
        <w:top w:val="none" w:sz="0" w:space="0" w:color="auto"/>
        <w:left w:val="none" w:sz="0" w:space="0" w:color="auto"/>
        <w:bottom w:val="none" w:sz="0" w:space="0" w:color="auto"/>
        <w:right w:val="none" w:sz="0" w:space="0" w:color="auto"/>
      </w:divBdr>
    </w:div>
    <w:div w:id="1291865326">
      <w:bodyDiv w:val="1"/>
      <w:marLeft w:val="0"/>
      <w:marRight w:val="0"/>
      <w:marTop w:val="0"/>
      <w:marBottom w:val="0"/>
      <w:divBdr>
        <w:top w:val="none" w:sz="0" w:space="0" w:color="auto"/>
        <w:left w:val="none" w:sz="0" w:space="0" w:color="auto"/>
        <w:bottom w:val="none" w:sz="0" w:space="0" w:color="auto"/>
        <w:right w:val="none" w:sz="0" w:space="0" w:color="auto"/>
      </w:divBdr>
    </w:div>
    <w:div w:id="1293056746">
      <w:bodyDiv w:val="1"/>
      <w:marLeft w:val="0"/>
      <w:marRight w:val="0"/>
      <w:marTop w:val="0"/>
      <w:marBottom w:val="0"/>
      <w:divBdr>
        <w:top w:val="none" w:sz="0" w:space="0" w:color="auto"/>
        <w:left w:val="none" w:sz="0" w:space="0" w:color="auto"/>
        <w:bottom w:val="none" w:sz="0" w:space="0" w:color="auto"/>
        <w:right w:val="none" w:sz="0" w:space="0" w:color="auto"/>
      </w:divBdr>
    </w:div>
    <w:div w:id="1305239006">
      <w:bodyDiv w:val="1"/>
      <w:marLeft w:val="0"/>
      <w:marRight w:val="0"/>
      <w:marTop w:val="0"/>
      <w:marBottom w:val="0"/>
      <w:divBdr>
        <w:top w:val="none" w:sz="0" w:space="0" w:color="auto"/>
        <w:left w:val="none" w:sz="0" w:space="0" w:color="auto"/>
        <w:bottom w:val="none" w:sz="0" w:space="0" w:color="auto"/>
        <w:right w:val="none" w:sz="0" w:space="0" w:color="auto"/>
      </w:divBdr>
    </w:div>
    <w:div w:id="1332247676">
      <w:bodyDiv w:val="1"/>
      <w:marLeft w:val="0"/>
      <w:marRight w:val="0"/>
      <w:marTop w:val="0"/>
      <w:marBottom w:val="0"/>
      <w:divBdr>
        <w:top w:val="none" w:sz="0" w:space="0" w:color="auto"/>
        <w:left w:val="none" w:sz="0" w:space="0" w:color="auto"/>
        <w:bottom w:val="none" w:sz="0" w:space="0" w:color="auto"/>
        <w:right w:val="none" w:sz="0" w:space="0" w:color="auto"/>
      </w:divBdr>
    </w:div>
    <w:div w:id="1393577792">
      <w:bodyDiv w:val="1"/>
      <w:marLeft w:val="0"/>
      <w:marRight w:val="0"/>
      <w:marTop w:val="0"/>
      <w:marBottom w:val="0"/>
      <w:divBdr>
        <w:top w:val="none" w:sz="0" w:space="0" w:color="auto"/>
        <w:left w:val="none" w:sz="0" w:space="0" w:color="auto"/>
        <w:bottom w:val="none" w:sz="0" w:space="0" w:color="auto"/>
        <w:right w:val="none" w:sz="0" w:space="0" w:color="auto"/>
      </w:divBdr>
    </w:div>
    <w:div w:id="1413505296">
      <w:bodyDiv w:val="1"/>
      <w:marLeft w:val="0"/>
      <w:marRight w:val="0"/>
      <w:marTop w:val="0"/>
      <w:marBottom w:val="0"/>
      <w:divBdr>
        <w:top w:val="none" w:sz="0" w:space="0" w:color="auto"/>
        <w:left w:val="none" w:sz="0" w:space="0" w:color="auto"/>
        <w:bottom w:val="none" w:sz="0" w:space="0" w:color="auto"/>
        <w:right w:val="none" w:sz="0" w:space="0" w:color="auto"/>
      </w:divBdr>
    </w:div>
    <w:div w:id="1453740919">
      <w:bodyDiv w:val="1"/>
      <w:marLeft w:val="0"/>
      <w:marRight w:val="0"/>
      <w:marTop w:val="0"/>
      <w:marBottom w:val="0"/>
      <w:divBdr>
        <w:top w:val="none" w:sz="0" w:space="0" w:color="auto"/>
        <w:left w:val="none" w:sz="0" w:space="0" w:color="auto"/>
        <w:bottom w:val="none" w:sz="0" w:space="0" w:color="auto"/>
        <w:right w:val="none" w:sz="0" w:space="0" w:color="auto"/>
      </w:divBdr>
    </w:div>
    <w:div w:id="1476877182">
      <w:bodyDiv w:val="1"/>
      <w:marLeft w:val="0"/>
      <w:marRight w:val="0"/>
      <w:marTop w:val="0"/>
      <w:marBottom w:val="0"/>
      <w:divBdr>
        <w:top w:val="none" w:sz="0" w:space="0" w:color="auto"/>
        <w:left w:val="none" w:sz="0" w:space="0" w:color="auto"/>
        <w:bottom w:val="none" w:sz="0" w:space="0" w:color="auto"/>
        <w:right w:val="none" w:sz="0" w:space="0" w:color="auto"/>
      </w:divBdr>
    </w:div>
    <w:div w:id="1485514694">
      <w:bodyDiv w:val="1"/>
      <w:marLeft w:val="0"/>
      <w:marRight w:val="0"/>
      <w:marTop w:val="0"/>
      <w:marBottom w:val="0"/>
      <w:divBdr>
        <w:top w:val="none" w:sz="0" w:space="0" w:color="auto"/>
        <w:left w:val="none" w:sz="0" w:space="0" w:color="auto"/>
        <w:bottom w:val="none" w:sz="0" w:space="0" w:color="auto"/>
        <w:right w:val="none" w:sz="0" w:space="0" w:color="auto"/>
      </w:divBdr>
    </w:div>
    <w:div w:id="1505704579">
      <w:bodyDiv w:val="1"/>
      <w:marLeft w:val="0"/>
      <w:marRight w:val="0"/>
      <w:marTop w:val="0"/>
      <w:marBottom w:val="0"/>
      <w:divBdr>
        <w:top w:val="none" w:sz="0" w:space="0" w:color="auto"/>
        <w:left w:val="none" w:sz="0" w:space="0" w:color="auto"/>
        <w:bottom w:val="none" w:sz="0" w:space="0" w:color="auto"/>
        <w:right w:val="none" w:sz="0" w:space="0" w:color="auto"/>
      </w:divBdr>
    </w:div>
    <w:div w:id="1512142198">
      <w:bodyDiv w:val="1"/>
      <w:marLeft w:val="0"/>
      <w:marRight w:val="0"/>
      <w:marTop w:val="0"/>
      <w:marBottom w:val="0"/>
      <w:divBdr>
        <w:top w:val="none" w:sz="0" w:space="0" w:color="auto"/>
        <w:left w:val="none" w:sz="0" w:space="0" w:color="auto"/>
        <w:bottom w:val="none" w:sz="0" w:space="0" w:color="auto"/>
        <w:right w:val="none" w:sz="0" w:space="0" w:color="auto"/>
      </w:divBdr>
    </w:div>
    <w:div w:id="1603223064">
      <w:bodyDiv w:val="1"/>
      <w:marLeft w:val="0"/>
      <w:marRight w:val="0"/>
      <w:marTop w:val="0"/>
      <w:marBottom w:val="0"/>
      <w:divBdr>
        <w:top w:val="none" w:sz="0" w:space="0" w:color="auto"/>
        <w:left w:val="none" w:sz="0" w:space="0" w:color="auto"/>
        <w:bottom w:val="none" w:sz="0" w:space="0" w:color="auto"/>
        <w:right w:val="none" w:sz="0" w:space="0" w:color="auto"/>
      </w:divBdr>
    </w:div>
    <w:div w:id="1650984807">
      <w:bodyDiv w:val="1"/>
      <w:marLeft w:val="0"/>
      <w:marRight w:val="0"/>
      <w:marTop w:val="0"/>
      <w:marBottom w:val="0"/>
      <w:divBdr>
        <w:top w:val="none" w:sz="0" w:space="0" w:color="auto"/>
        <w:left w:val="none" w:sz="0" w:space="0" w:color="auto"/>
        <w:bottom w:val="none" w:sz="0" w:space="0" w:color="auto"/>
        <w:right w:val="none" w:sz="0" w:space="0" w:color="auto"/>
      </w:divBdr>
    </w:div>
    <w:div w:id="1660964458">
      <w:bodyDiv w:val="1"/>
      <w:marLeft w:val="0"/>
      <w:marRight w:val="0"/>
      <w:marTop w:val="0"/>
      <w:marBottom w:val="0"/>
      <w:divBdr>
        <w:top w:val="none" w:sz="0" w:space="0" w:color="auto"/>
        <w:left w:val="none" w:sz="0" w:space="0" w:color="auto"/>
        <w:bottom w:val="none" w:sz="0" w:space="0" w:color="auto"/>
        <w:right w:val="none" w:sz="0" w:space="0" w:color="auto"/>
      </w:divBdr>
    </w:div>
    <w:div w:id="1661545436">
      <w:bodyDiv w:val="1"/>
      <w:marLeft w:val="0"/>
      <w:marRight w:val="0"/>
      <w:marTop w:val="0"/>
      <w:marBottom w:val="0"/>
      <w:divBdr>
        <w:top w:val="none" w:sz="0" w:space="0" w:color="auto"/>
        <w:left w:val="none" w:sz="0" w:space="0" w:color="auto"/>
        <w:bottom w:val="none" w:sz="0" w:space="0" w:color="auto"/>
        <w:right w:val="none" w:sz="0" w:space="0" w:color="auto"/>
      </w:divBdr>
    </w:div>
    <w:div w:id="1667317791">
      <w:bodyDiv w:val="1"/>
      <w:marLeft w:val="0"/>
      <w:marRight w:val="0"/>
      <w:marTop w:val="0"/>
      <w:marBottom w:val="0"/>
      <w:divBdr>
        <w:top w:val="none" w:sz="0" w:space="0" w:color="auto"/>
        <w:left w:val="none" w:sz="0" w:space="0" w:color="auto"/>
        <w:bottom w:val="none" w:sz="0" w:space="0" w:color="auto"/>
        <w:right w:val="none" w:sz="0" w:space="0" w:color="auto"/>
      </w:divBdr>
    </w:div>
    <w:div w:id="1690372507">
      <w:bodyDiv w:val="1"/>
      <w:marLeft w:val="0"/>
      <w:marRight w:val="0"/>
      <w:marTop w:val="0"/>
      <w:marBottom w:val="0"/>
      <w:divBdr>
        <w:top w:val="none" w:sz="0" w:space="0" w:color="auto"/>
        <w:left w:val="none" w:sz="0" w:space="0" w:color="auto"/>
        <w:bottom w:val="none" w:sz="0" w:space="0" w:color="auto"/>
        <w:right w:val="none" w:sz="0" w:space="0" w:color="auto"/>
      </w:divBdr>
    </w:div>
    <w:div w:id="1754279595">
      <w:bodyDiv w:val="1"/>
      <w:marLeft w:val="0"/>
      <w:marRight w:val="0"/>
      <w:marTop w:val="0"/>
      <w:marBottom w:val="0"/>
      <w:divBdr>
        <w:top w:val="none" w:sz="0" w:space="0" w:color="auto"/>
        <w:left w:val="none" w:sz="0" w:space="0" w:color="auto"/>
        <w:bottom w:val="none" w:sz="0" w:space="0" w:color="auto"/>
        <w:right w:val="none" w:sz="0" w:space="0" w:color="auto"/>
      </w:divBdr>
    </w:div>
    <w:div w:id="1818716543">
      <w:bodyDiv w:val="1"/>
      <w:marLeft w:val="0"/>
      <w:marRight w:val="0"/>
      <w:marTop w:val="0"/>
      <w:marBottom w:val="0"/>
      <w:divBdr>
        <w:top w:val="none" w:sz="0" w:space="0" w:color="auto"/>
        <w:left w:val="none" w:sz="0" w:space="0" w:color="auto"/>
        <w:bottom w:val="none" w:sz="0" w:space="0" w:color="auto"/>
        <w:right w:val="none" w:sz="0" w:space="0" w:color="auto"/>
      </w:divBdr>
    </w:div>
    <w:div w:id="1824856810">
      <w:bodyDiv w:val="1"/>
      <w:marLeft w:val="0"/>
      <w:marRight w:val="0"/>
      <w:marTop w:val="0"/>
      <w:marBottom w:val="0"/>
      <w:divBdr>
        <w:top w:val="none" w:sz="0" w:space="0" w:color="auto"/>
        <w:left w:val="none" w:sz="0" w:space="0" w:color="auto"/>
        <w:bottom w:val="none" w:sz="0" w:space="0" w:color="auto"/>
        <w:right w:val="none" w:sz="0" w:space="0" w:color="auto"/>
      </w:divBdr>
    </w:div>
    <w:div w:id="1862010111">
      <w:bodyDiv w:val="1"/>
      <w:marLeft w:val="0"/>
      <w:marRight w:val="0"/>
      <w:marTop w:val="0"/>
      <w:marBottom w:val="0"/>
      <w:divBdr>
        <w:top w:val="none" w:sz="0" w:space="0" w:color="auto"/>
        <w:left w:val="none" w:sz="0" w:space="0" w:color="auto"/>
        <w:bottom w:val="none" w:sz="0" w:space="0" w:color="auto"/>
        <w:right w:val="none" w:sz="0" w:space="0" w:color="auto"/>
      </w:divBdr>
    </w:div>
    <w:div w:id="1865750505">
      <w:bodyDiv w:val="1"/>
      <w:marLeft w:val="0"/>
      <w:marRight w:val="0"/>
      <w:marTop w:val="0"/>
      <w:marBottom w:val="0"/>
      <w:divBdr>
        <w:top w:val="none" w:sz="0" w:space="0" w:color="auto"/>
        <w:left w:val="none" w:sz="0" w:space="0" w:color="auto"/>
        <w:bottom w:val="none" w:sz="0" w:space="0" w:color="auto"/>
        <w:right w:val="none" w:sz="0" w:space="0" w:color="auto"/>
      </w:divBdr>
    </w:div>
    <w:div w:id="1869485824">
      <w:bodyDiv w:val="1"/>
      <w:marLeft w:val="0"/>
      <w:marRight w:val="0"/>
      <w:marTop w:val="0"/>
      <w:marBottom w:val="0"/>
      <w:divBdr>
        <w:top w:val="none" w:sz="0" w:space="0" w:color="auto"/>
        <w:left w:val="none" w:sz="0" w:space="0" w:color="auto"/>
        <w:bottom w:val="none" w:sz="0" w:space="0" w:color="auto"/>
        <w:right w:val="none" w:sz="0" w:space="0" w:color="auto"/>
      </w:divBdr>
      <w:divsChild>
        <w:div w:id="341736708">
          <w:marLeft w:val="0"/>
          <w:marRight w:val="0"/>
          <w:marTop w:val="0"/>
          <w:marBottom w:val="0"/>
          <w:divBdr>
            <w:top w:val="none" w:sz="0" w:space="0" w:color="auto"/>
            <w:left w:val="none" w:sz="0" w:space="0" w:color="auto"/>
            <w:bottom w:val="none" w:sz="0" w:space="0" w:color="auto"/>
            <w:right w:val="none" w:sz="0" w:space="0" w:color="auto"/>
          </w:divBdr>
        </w:div>
        <w:div w:id="551313848">
          <w:marLeft w:val="0"/>
          <w:marRight w:val="0"/>
          <w:marTop w:val="0"/>
          <w:marBottom w:val="0"/>
          <w:divBdr>
            <w:top w:val="none" w:sz="0" w:space="0" w:color="auto"/>
            <w:left w:val="none" w:sz="0" w:space="0" w:color="auto"/>
            <w:bottom w:val="none" w:sz="0" w:space="0" w:color="auto"/>
            <w:right w:val="none" w:sz="0" w:space="0" w:color="auto"/>
          </w:divBdr>
        </w:div>
        <w:div w:id="598608734">
          <w:marLeft w:val="0"/>
          <w:marRight w:val="0"/>
          <w:marTop w:val="0"/>
          <w:marBottom w:val="0"/>
          <w:divBdr>
            <w:top w:val="none" w:sz="0" w:space="0" w:color="auto"/>
            <w:left w:val="none" w:sz="0" w:space="0" w:color="auto"/>
            <w:bottom w:val="none" w:sz="0" w:space="0" w:color="auto"/>
            <w:right w:val="none" w:sz="0" w:space="0" w:color="auto"/>
          </w:divBdr>
        </w:div>
        <w:div w:id="2025588717">
          <w:marLeft w:val="0"/>
          <w:marRight w:val="0"/>
          <w:marTop w:val="0"/>
          <w:marBottom w:val="0"/>
          <w:divBdr>
            <w:top w:val="none" w:sz="0" w:space="0" w:color="auto"/>
            <w:left w:val="none" w:sz="0" w:space="0" w:color="auto"/>
            <w:bottom w:val="none" w:sz="0" w:space="0" w:color="auto"/>
            <w:right w:val="none" w:sz="0" w:space="0" w:color="auto"/>
          </w:divBdr>
        </w:div>
      </w:divsChild>
    </w:div>
    <w:div w:id="1883059741">
      <w:bodyDiv w:val="1"/>
      <w:marLeft w:val="0"/>
      <w:marRight w:val="0"/>
      <w:marTop w:val="0"/>
      <w:marBottom w:val="0"/>
      <w:divBdr>
        <w:top w:val="none" w:sz="0" w:space="0" w:color="auto"/>
        <w:left w:val="none" w:sz="0" w:space="0" w:color="auto"/>
        <w:bottom w:val="none" w:sz="0" w:space="0" w:color="auto"/>
        <w:right w:val="none" w:sz="0" w:space="0" w:color="auto"/>
      </w:divBdr>
    </w:div>
    <w:div w:id="1903833208">
      <w:bodyDiv w:val="1"/>
      <w:marLeft w:val="0"/>
      <w:marRight w:val="0"/>
      <w:marTop w:val="0"/>
      <w:marBottom w:val="0"/>
      <w:divBdr>
        <w:top w:val="none" w:sz="0" w:space="0" w:color="auto"/>
        <w:left w:val="none" w:sz="0" w:space="0" w:color="auto"/>
        <w:bottom w:val="none" w:sz="0" w:space="0" w:color="auto"/>
        <w:right w:val="none" w:sz="0" w:space="0" w:color="auto"/>
      </w:divBdr>
    </w:div>
    <w:div w:id="1932274614">
      <w:bodyDiv w:val="1"/>
      <w:marLeft w:val="0"/>
      <w:marRight w:val="0"/>
      <w:marTop w:val="0"/>
      <w:marBottom w:val="0"/>
      <w:divBdr>
        <w:top w:val="none" w:sz="0" w:space="0" w:color="auto"/>
        <w:left w:val="none" w:sz="0" w:space="0" w:color="auto"/>
        <w:bottom w:val="none" w:sz="0" w:space="0" w:color="auto"/>
        <w:right w:val="none" w:sz="0" w:space="0" w:color="auto"/>
      </w:divBdr>
      <w:divsChild>
        <w:div w:id="688022229">
          <w:marLeft w:val="0"/>
          <w:marRight w:val="0"/>
          <w:marTop w:val="0"/>
          <w:marBottom w:val="0"/>
          <w:divBdr>
            <w:top w:val="none" w:sz="0" w:space="0" w:color="auto"/>
            <w:left w:val="none" w:sz="0" w:space="0" w:color="auto"/>
            <w:bottom w:val="none" w:sz="0" w:space="0" w:color="auto"/>
            <w:right w:val="none" w:sz="0" w:space="0" w:color="auto"/>
          </w:divBdr>
        </w:div>
        <w:div w:id="947005349">
          <w:marLeft w:val="0"/>
          <w:marRight w:val="0"/>
          <w:marTop w:val="0"/>
          <w:marBottom w:val="0"/>
          <w:divBdr>
            <w:top w:val="none" w:sz="0" w:space="0" w:color="auto"/>
            <w:left w:val="none" w:sz="0" w:space="0" w:color="auto"/>
            <w:bottom w:val="none" w:sz="0" w:space="0" w:color="auto"/>
            <w:right w:val="none" w:sz="0" w:space="0" w:color="auto"/>
          </w:divBdr>
        </w:div>
        <w:div w:id="1016157439">
          <w:marLeft w:val="0"/>
          <w:marRight w:val="0"/>
          <w:marTop w:val="0"/>
          <w:marBottom w:val="0"/>
          <w:divBdr>
            <w:top w:val="none" w:sz="0" w:space="0" w:color="auto"/>
            <w:left w:val="none" w:sz="0" w:space="0" w:color="auto"/>
            <w:bottom w:val="none" w:sz="0" w:space="0" w:color="auto"/>
            <w:right w:val="none" w:sz="0" w:space="0" w:color="auto"/>
          </w:divBdr>
        </w:div>
        <w:div w:id="1438519001">
          <w:marLeft w:val="0"/>
          <w:marRight w:val="0"/>
          <w:marTop w:val="0"/>
          <w:marBottom w:val="0"/>
          <w:divBdr>
            <w:top w:val="none" w:sz="0" w:space="0" w:color="auto"/>
            <w:left w:val="none" w:sz="0" w:space="0" w:color="auto"/>
            <w:bottom w:val="none" w:sz="0" w:space="0" w:color="auto"/>
            <w:right w:val="none" w:sz="0" w:space="0" w:color="auto"/>
          </w:divBdr>
        </w:div>
      </w:divsChild>
    </w:div>
    <w:div w:id="1946571087">
      <w:bodyDiv w:val="1"/>
      <w:marLeft w:val="0"/>
      <w:marRight w:val="0"/>
      <w:marTop w:val="0"/>
      <w:marBottom w:val="0"/>
      <w:divBdr>
        <w:top w:val="none" w:sz="0" w:space="0" w:color="auto"/>
        <w:left w:val="none" w:sz="0" w:space="0" w:color="auto"/>
        <w:bottom w:val="none" w:sz="0" w:space="0" w:color="auto"/>
        <w:right w:val="none" w:sz="0" w:space="0" w:color="auto"/>
      </w:divBdr>
    </w:div>
    <w:div w:id="1955550089">
      <w:bodyDiv w:val="1"/>
      <w:marLeft w:val="0"/>
      <w:marRight w:val="0"/>
      <w:marTop w:val="0"/>
      <w:marBottom w:val="0"/>
      <w:divBdr>
        <w:top w:val="none" w:sz="0" w:space="0" w:color="auto"/>
        <w:left w:val="none" w:sz="0" w:space="0" w:color="auto"/>
        <w:bottom w:val="none" w:sz="0" w:space="0" w:color="auto"/>
        <w:right w:val="none" w:sz="0" w:space="0" w:color="auto"/>
      </w:divBdr>
    </w:div>
    <w:div w:id="1956715269">
      <w:bodyDiv w:val="1"/>
      <w:marLeft w:val="0"/>
      <w:marRight w:val="0"/>
      <w:marTop w:val="0"/>
      <w:marBottom w:val="0"/>
      <w:divBdr>
        <w:top w:val="none" w:sz="0" w:space="0" w:color="auto"/>
        <w:left w:val="none" w:sz="0" w:space="0" w:color="auto"/>
        <w:bottom w:val="none" w:sz="0" w:space="0" w:color="auto"/>
        <w:right w:val="none" w:sz="0" w:space="0" w:color="auto"/>
      </w:divBdr>
    </w:div>
    <w:div w:id="1960532138">
      <w:bodyDiv w:val="1"/>
      <w:marLeft w:val="0"/>
      <w:marRight w:val="0"/>
      <w:marTop w:val="0"/>
      <w:marBottom w:val="0"/>
      <w:divBdr>
        <w:top w:val="none" w:sz="0" w:space="0" w:color="auto"/>
        <w:left w:val="none" w:sz="0" w:space="0" w:color="auto"/>
        <w:bottom w:val="none" w:sz="0" w:space="0" w:color="auto"/>
        <w:right w:val="none" w:sz="0" w:space="0" w:color="auto"/>
      </w:divBdr>
    </w:div>
    <w:div w:id="2035417858">
      <w:bodyDiv w:val="1"/>
      <w:marLeft w:val="0"/>
      <w:marRight w:val="0"/>
      <w:marTop w:val="0"/>
      <w:marBottom w:val="0"/>
      <w:divBdr>
        <w:top w:val="none" w:sz="0" w:space="0" w:color="auto"/>
        <w:left w:val="none" w:sz="0" w:space="0" w:color="auto"/>
        <w:bottom w:val="none" w:sz="0" w:space="0" w:color="auto"/>
        <w:right w:val="none" w:sz="0" w:space="0" w:color="auto"/>
      </w:divBdr>
    </w:div>
    <w:div w:id="2061632511">
      <w:bodyDiv w:val="1"/>
      <w:marLeft w:val="0"/>
      <w:marRight w:val="0"/>
      <w:marTop w:val="0"/>
      <w:marBottom w:val="0"/>
      <w:divBdr>
        <w:top w:val="none" w:sz="0" w:space="0" w:color="auto"/>
        <w:left w:val="none" w:sz="0" w:space="0" w:color="auto"/>
        <w:bottom w:val="none" w:sz="0" w:space="0" w:color="auto"/>
        <w:right w:val="none" w:sz="0" w:space="0" w:color="auto"/>
      </w:divBdr>
    </w:div>
    <w:div w:id="2096825878">
      <w:bodyDiv w:val="1"/>
      <w:marLeft w:val="0"/>
      <w:marRight w:val="0"/>
      <w:marTop w:val="0"/>
      <w:marBottom w:val="0"/>
      <w:divBdr>
        <w:top w:val="none" w:sz="0" w:space="0" w:color="auto"/>
        <w:left w:val="none" w:sz="0" w:space="0" w:color="auto"/>
        <w:bottom w:val="none" w:sz="0" w:space="0" w:color="auto"/>
        <w:right w:val="none" w:sz="0" w:space="0" w:color="auto"/>
      </w:divBdr>
    </w:div>
    <w:div w:id="2130584522">
      <w:bodyDiv w:val="1"/>
      <w:marLeft w:val="0"/>
      <w:marRight w:val="0"/>
      <w:marTop w:val="0"/>
      <w:marBottom w:val="0"/>
      <w:divBdr>
        <w:top w:val="none" w:sz="0" w:space="0" w:color="auto"/>
        <w:left w:val="none" w:sz="0" w:space="0" w:color="auto"/>
        <w:bottom w:val="none" w:sz="0" w:space="0" w:color="auto"/>
        <w:right w:val="none" w:sz="0" w:space="0" w:color="auto"/>
      </w:divBdr>
      <w:divsChild>
        <w:div w:id="322053642">
          <w:marLeft w:val="0"/>
          <w:marRight w:val="0"/>
          <w:marTop w:val="0"/>
          <w:marBottom w:val="0"/>
          <w:divBdr>
            <w:top w:val="none" w:sz="0" w:space="0" w:color="auto"/>
            <w:left w:val="none" w:sz="0" w:space="0" w:color="auto"/>
            <w:bottom w:val="none" w:sz="0" w:space="0" w:color="auto"/>
            <w:right w:val="none" w:sz="0" w:space="0" w:color="auto"/>
          </w:divBdr>
        </w:div>
        <w:div w:id="464087501">
          <w:marLeft w:val="0"/>
          <w:marRight w:val="0"/>
          <w:marTop w:val="0"/>
          <w:marBottom w:val="0"/>
          <w:divBdr>
            <w:top w:val="none" w:sz="0" w:space="0" w:color="auto"/>
            <w:left w:val="none" w:sz="0" w:space="0" w:color="auto"/>
            <w:bottom w:val="none" w:sz="0" w:space="0" w:color="auto"/>
            <w:right w:val="none" w:sz="0" w:space="0" w:color="auto"/>
          </w:divBdr>
        </w:div>
        <w:div w:id="1457945038">
          <w:marLeft w:val="0"/>
          <w:marRight w:val="0"/>
          <w:marTop w:val="0"/>
          <w:marBottom w:val="0"/>
          <w:divBdr>
            <w:top w:val="none" w:sz="0" w:space="0" w:color="auto"/>
            <w:left w:val="none" w:sz="0" w:space="0" w:color="auto"/>
            <w:bottom w:val="none" w:sz="0" w:space="0" w:color="auto"/>
            <w:right w:val="none" w:sz="0" w:space="0" w:color="auto"/>
          </w:divBdr>
        </w:div>
        <w:div w:id="1556817411">
          <w:marLeft w:val="0"/>
          <w:marRight w:val="0"/>
          <w:marTop w:val="0"/>
          <w:marBottom w:val="0"/>
          <w:divBdr>
            <w:top w:val="none" w:sz="0" w:space="0" w:color="auto"/>
            <w:left w:val="none" w:sz="0" w:space="0" w:color="auto"/>
            <w:bottom w:val="none" w:sz="0" w:space="0" w:color="auto"/>
            <w:right w:val="none" w:sz="0" w:space="0" w:color="auto"/>
          </w:divBdr>
        </w:div>
      </w:divsChild>
    </w:div>
    <w:div w:id="2138448937">
      <w:bodyDiv w:val="1"/>
      <w:marLeft w:val="0"/>
      <w:marRight w:val="0"/>
      <w:marTop w:val="0"/>
      <w:marBottom w:val="0"/>
      <w:divBdr>
        <w:top w:val="none" w:sz="0" w:space="0" w:color="auto"/>
        <w:left w:val="none" w:sz="0" w:space="0" w:color="auto"/>
        <w:bottom w:val="none" w:sz="0" w:space="0" w:color="auto"/>
        <w:right w:val="none" w:sz="0" w:space="0" w:color="auto"/>
      </w:divBdr>
      <w:divsChild>
        <w:div w:id="490683431">
          <w:marLeft w:val="0"/>
          <w:marRight w:val="0"/>
          <w:marTop w:val="0"/>
          <w:marBottom w:val="0"/>
          <w:divBdr>
            <w:top w:val="none" w:sz="0" w:space="0" w:color="auto"/>
            <w:left w:val="none" w:sz="0" w:space="0" w:color="auto"/>
            <w:bottom w:val="none" w:sz="0" w:space="0" w:color="auto"/>
            <w:right w:val="none" w:sz="0" w:space="0" w:color="auto"/>
          </w:divBdr>
          <w:divsChild>
            <w:div w:id="20319533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5724524">
          <w:marLeft w:val="0"/>
          <w:marRight w:val="0"/>
          <w:marTop w:val="0"/>
          <w:marBottom w:val="0"/>
          <w:divBdr>
            <w:top w:val="none" w:sz="0" w:space="0" w:color="auto"/>
            <w:left w:val="none" w:sz="0" w:space="0" w:color="auto"/>
            <w:bottom w:val="none" w:sz="0" w:space="0" w:color="auto"/>
            <w:right w:val="none" w:sz="0" w:space="0" w:color="auto"/>
          </w:divBdr>
          <w:divsChild>
            <w:div w:id="1431074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9119838">
                  <w:marLeft w:val="0"/>
                  <w:marRight w:val="0"/>
                  <w:marTop w:val="0"/>
                  <w:marBottom w:val="0"/>
                  <w:divBdr>
                    <w:top w:val="none" w:sz="0" w:space="0" w:color="auto"/>
                    <w:left w:val="none" w:sz="0" w:space="0" w:color="auto"/>
                    <w:bottom w:val="none" w:sz="0" w:space="0" w:color="auto"/>
                    <w:right w:val="none" w:sz="0" w:space="0" w:color="auto"/>
                  </w:divBdr>
                  <w:divsChild>
                    <w:div w:id="8471401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4674104">
                  <w:marLeft w:val="0"/>
                  <w:marRight w:val="0"/>
                  <w:marTop w:val="0"/>
                  <w:marBottom w:val="0"/>
                  <w:divBdr>
                    <w:top w:val="none" w:sz="0" w:space="0" w:color="auto"/>
                    <w:left w:val="none" w:sz="0" w:space="0" w:color="auto"/>
                    <w:bottom w:val="none" w:sz="0" w:space="0" w:color="auto"/>
                    <w:right w:val="none" w:sz="0" w:space="0" w:color="auto"/>
                  </w:divBdr>
                  <w:divsChild>
                    <w:div w:id="1493731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0443187">
                  <w:marLeft w:val="0"/>
                  <w:marRight w:val="0"/>
                  <w:marTop w:val="0"/>
                  <w:marBottom w:val="0"/>
                  <w:divBdr>
                    <w:top w:val="none" w:sz="0" w:space="0" w:color="auto"/>
                    <w:left w:val="none" w:sz="0" w:space="0" w:color="auto"/>
                    <w:bottom w:val="none" w:sz="0" w:space="0" w:color="auto"/>
                    <w:right w:val="none" w:sz="0" w:space="0" w:color="auto"/>
                  </w:divBdr>
                  <w:divsChild>
                    <w:div w:id="12687296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6628991">
                  <w:marLeft w:val="0"/>
                  <w:marRight w:val="0"/>
                  <w:marTop w:val="0"/>
                  <w:marBottom w:val="0"/>
                  <w:divBdr>
                    <w:top w:val="none" w:sz="0" w:space="0" w:color="auto"/>
                    <w:left w:val="none" w:sz="0" w:space="0" w:color="auto"/>
                    <w:bottom w:val="none" w:sz="0" w:space="0" w:color="auto"/>
                    <w:right w:val="none" w:sz="0" w:space="0" w:color="auto"/>
                  </w:divBdr>
                  <w:divsChild>
                    <w:div w:id="95255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3781659">
                  <w:marLeft w:val="0"/>
                  <w:marRight w:val="0"/>
                  <w:marTop w:val="0"/>
                  <w:marBottom w:val="0"/>
                  <w:divBdr>
                    <w:top w:val="none" w:sz="0" w:space="0" w:color="auto"/>
                    <w:left w:val="none" w:sz="0" w:space="0" w:color="auto"/>
                    <w:bottom w:val="none" w:sz="0" w:space="0" w:color="auto"/>
                    <w:right w:val="none" w:sz="0" w:space="0" w:color="auto"/>
                  </w:divBdr>
                  <w:divsChild>
                    <w:div w:id="15359986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header" Target="header5.xml"/><Relationship Id="rId42" Type="http://schemas.openxmlformats.org/officeDocument/2006/relationships/chart" Target="charts/chart8.xml"/><Relationship Id="rId47" Type="http://schemas.openxmlformats.org/officeDocument/2006/relationships/chart" Target="charts/chart11.xml"/><Relationship Id="rId63" Type="http://schemas.openxmlformats.org/officeDocument/2006/relationships/image" Target="media/image3.png"/><Relationship Id="rId68" Type="http://schemas.openxmlformats.org/officeDocument/2006/relationships/image" Target="media/image5.pn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tas.edu.au/law-reform/publications" TargetMode="External"/><Relationship Id="rId29" Type="http://schemas.openxmlformats.org/officeDocument/2006/relationships/header" Target="header7.xml"/><Relationship Id="rId11" Type="http://schemas.openxmlformats.org/officeDocument/2006/relationships/image" Target="media/image1.png"/><Relationship Id="rId24" Type="http://schemas.microsoft.com/office/2007/relationships/hdphoto" Target="media/hdphoto1.wdp"/><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chart" Target="charts/chart6.xml"/><Relationship Id="rId45" Type="http://schemas.openxmlformats.org/officeDocument/2006/relationships/chart" Target="charts/chart9.xml"/><Relationship Id="rId53" Type="http://schemas.openxmlformats.org/officeDocument/2006/relationships/header" Target="header20.xml"/><Relationship Id="rId58" Type="http://schemas.openxmlformats.org/officeDocument/2006/relationships/header" Target="header25.xml"/><Relationship Id="rId66" Type="http://schemas.microsoft.com/office/2007/relationships/hdphoto" Target="media/hdphoto3.wdp"/><Relationship Id="rId5" Type="http://schemas.openxmlformats.org/officeDocument/2006/relationships/numbering" Target="numbering.xml"/><Relationship Id="rId61" Type="http://schemas.openxmlformats.org/officeDocument/2006/relationships/header" Target="header27.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chart" Target="charts/chart3.xm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header" Target="header16.xml"/><Relationship Id="rId48" Type="http://schemas.openxmlformats.org/officeDocument/2006/relationships/chart" Target="charts/chart12.xml"/><Relationship Id="rId56" Type="http://schemas.openxmlformats.org/officeDocument/2006/relationships/header" Target="header23.xml"/><Relationship Id="rId64" Type="http://schemas.microsoft.com/office/2007/relationships/hdphoto" Target="media/hdphoto2.wdp"/><Relationship Id="rId69" Type="http://schemas.microsoft.com/office/2007/relationships/hdphoto" Target="media/hdphoto4.wdp"/><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chart" Target="charts/chart1.xml"/><Relationship Id="rId33" Type="http://schemas.openxmlformats.org/officeDocument/2006/relationships/header" Target="header11.xml"/><Relationship Id="rId38" Type="http://schemas.openxmlformats.org/officeDocument/2006/relationships/chart" Target="charts/chart4.xml"/><Relationship Id="rId46" Type="http://schemas.openxmlformats.org/officeDocument/2006/relationships/chart" Target="charts/chart10.xml"/><Relationship Id="rId59" Type="http://schemas.openxmlformats.org/officeDocument/2006/relationships/header" Target="header26.xml"/><Relationship Id="rId67" Type="http://schemas.openxmlformats.org/officeDocument/2006/relationships/header" Target="header29.xml"/><Relationship Id="rId20" Type="http://schemas.openxmlformats.org/officeDocument/2006/relationships/header" Target="header4.xml"/><Relationship Id="rId41" Type="http://schemas.openxmlformats.org/officeDocument/2006/relationships/chart" Target="charts/chart7.xml"/><Relationship Id="rId54" Type="http://schemas.openxmlformats.org/officeDocument/2006/relationships/header" Target="header21.xml"/><Relationship Id="rId62" Type="http://schemas.openxmlformats.org/officeDocument/2006/relationships/header" Target="header2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2.png"/><Relationship Id="rId28" Type="http://schemas.openxmlformats.org/officeDocument/2006/relationships/header" Target="header6.xml"/><Relationship Id="rId36" Type="http://schemas.openxmlformats.org/officeDocument/2006/relationships/header" Target="header14.xml"/><Relationship Id="rId49" Type="http://schemas.openxmlformats.org/officeDocument/2006/relationships/chart" Target="charts/chart13.xml"/><Relationship Id="rId57" Type="http://schemas.openxmlformats.org/officeDocument/2006/relationships/header" Target="header24.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header" Target="header17.xml"/><Relationship Id="rId52" Type="http://schemas.openxmlformats.org/officeDocument/2006/relationships/header" Target="header19.xml"/><Relationship Id="rId60" Type="http://schemas.openxmlformats.org/officeDocument/2006/relationships/chart" Target="charts/chart15.xml"/><Relationship Id="rId65"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chart" Target="charts/chart5.xml"/><Relationship Id="rId34" Type="http://schemas.openxmlformats.org/officeDocument/2006/relationships/header" Target="header12.xml"/><Relationship Id="rId50" Type="http://schemas.openxmlformats.org/officeDocument/2006/relationships/chart" Target="charts/chart14.xml"/><Relationship Id="rId55" Type="http://schemas.openxmlformats.org/officeDocument/2006/relationships/header" Target="header2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eeding\Documents\Custom%20Office%20Templates\Design%20style%20set%20for%20TLRI.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weeding\AppData\Local\Microsoft\Olk\Attachments\ooa-e0ce3509-ac04-4bc0-bfcc-1f8caaf6f2dd\38c9a3d8b2066dfd5cf13048ba7cd6219ac3fb6e5668fac6d15bf238053a1a04\Figure%208.2.3%20copy.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757497961600482E-2"/>
          <c:y val="3.8637161924833158E-2"/>
          <c:w val="0.92034731988999552"/>
          <c:h val="0.77397149645019347"/>
        </c:manualLayout>
      </c:layout>
      <c:lineChart>
        <c:grouping val="standard"/>
        <c:varyColors val="0"/>
        <c:ser>
          <c:idx val="0"/>
          <c:order val="0"/>
          <c:tx>
            <c:strRef>
              <c:f>Sheet1!$B$1</c:f>
              <c:strCache>
                <c:ptCount val="1"/>
                <c:pt idx="0">
                  <c:v>Sexual assault (031)</c:v>
                </c:pt>
              </c:strCache>
            </c:strRef>
          </c:tx>
          <c:spPr>
            <a:ln w="2222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2008-09</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2020-21</c:v>
                </c:pt>
                <c:pt idx="13">
                  <c:v>2021-22</c:v>
                </c:pt>
                <c:pt idx="14">
                  <c:v>2022-23</c:v>
                </c:pt>
                <c:pt idx="15">
                  <c:v>2023-24</c:v>
                </c:pt>
              </c:strCache>
            </c:strRef>
          </c:cat>
          <c:val>
            <c:numRef>
              <c:f>Sheet1!$B$2:$B$17</c:f>
              <c:numCache>
                <c:formatCode>General</c:formatCode>
                <c:ptCount val="16"/>
                <c:pt idx="0">
                  <c:v>38.4</c:v>
                </c:pt>
                <c:pt idx="1">
                  <c:v>38.1</c:v>
                </c:pt>
                <c:pt idx="2">
                  <c:v>33.5</c:v>
                </c:pt>
                <c:pt idx="3">
                  <c:v>33</c:v>
                </c:pt>
                <c:pt idx="4">
                  <c:v>32</c:v>
                </c:pt>
                <c:pt idx="5">
                  <c:v>35.9</c:v>
                </c:pt>
                <c:pt idx="6">
                  <c:v>39</c:v>
                </c:pt>
                <c:pt idx="7">
                  <c:v>36.9</c:v>
                </c:pt>
                <c:pt idx="8">
                  <c:v>35.9</c:v>
                </c:pt>
                <c:pt idx="9">
                  <c:v>36.4</c:v>
                </c:pt>
                <c:pt idx="10">
                  <c:v>34</c:v>
                </c:pt>
                <c:pt idx="11">
                  <c:v>31.6</c:v>
                </c:pt>
                <c:pt idx="12">
                  <c:v>31.3</c:v>
                </c:pt>
                <c:pt idx="13">
                  <c:v>28.9</c:v>
                </c:pt>
                <c:pt idx="14">
                  <c:v>26.7</c:v>
                </c:pt>
                <c:pt idx="15">
                  <c:v>25.9</c:v>
                </c:pt>
              </c:numCache>
            </c:numRef>
          </c:val>
          <c:smooth val="0"/>
          <c:extLst>
            <c:ext xmlns:c16="http://schemas.microsoft.com/office/drawing/2014/chart" uri="{C3380CC4-5D6E-409C-BE32-E72D297353CC}">
              <c16:uniqueId val="{00000000-8FA9-4870-BEEE-15F695071025}"/>
            </c:ext>
          </c:extLst>
        </c:ser>
        <c:ser>
          <c:idx val="1"/>
          <c:order val="1"/>
          <c:tx>
            <c:strRef>
              <c:f>Sheet1!$C$1</c:f>
              <c:strCache>
                <c:ptCount val="1"/>
                <c:pt idx="0">
                  <c:v>Non assaultive sexual offences (032) </c:v>
                </c:pt>
              </c:strCache>
            </c:strRef>
          </c:tx>
          <c:spPr>
            <a:ln w="22225" cap="rnd">
              <a:solidFill>
                <a:schemeClr val="tx1"/>
              </a:solidFill>
              <a:prstDash val="dashDot"/>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2008-09</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2020-21</c:v>
                </c:pt>
                <c:pt idx="13">
                  <c:v>2021-22</c:v>
                </c:pt>
                <c:pt idx="14">
                  <c:v>2022-23</c:v>
                </c:pt>
                <c:pt idx="15">
                  <c:v>2023-24</c:v>
                </c:pt>
              </c:strCache>
            </c:strRef>
          </c:cat>
          <c:val>
            <c:numRef>
              <c:f>Sheet1!$C$2:$C$17</c:f>
              <c:numCache>
                <c:formatCode>General</c:formatCode>
                <c:ptCount val="16"/>
                <c:pt idx="0">
                  <c:v>10.8</c:v>
                </c:pt>
                <c:pt idx="1">
                  <c:v>13.7</c:v>
                </c:pt>
                <c:pt idx="2">
                  <c:v>11.2</c:v>
                </c:pt>
                <c:pt idx="3">
                  <c:v>12.8</c:v>
                </c:pt>
                <c:pt idx="4">
                  <c:v>21.1</c:v>
                </c:pt>
                <c:pt idx="5">
                  <c:v>31.9</c:v>
                </c:pt>
                <c:pt idx="6">
                  <c:v>36.700000000000003</c:v>
                </c:pt>
                <c:pt idx="7">
                  <c:v>36.1</c:v>
                </c:pt>
                <c:pt idx="8">
                  <c:v>28.1</c:v>
                </c:pt>
                <c:pt idx="9">
                  <c:v>26.9</c:v>
                </c:pt>
                <c:pt idx="10">
                  <c:v>22.3</c:v>
                </c:pt>
                <c:pt idx="11">
                  <c:v>25.2</c:v>
                </c:pt>
                <c:pt idx="12">
                  <c:v>27.3</c:v>
                </c:pt>
                <c:pt idx="13">
                  <c:v>26.1</c:v>
                </c:pt>
                <c:pt idx="14">
                  <c:v>27</c:v>
                </c:pt>
                <c:pt idx="15">
                  <c:v>28.1</c:v>
                </c:pt>
              </c:numCache>
            </c:numRef>
          </c:val>
          <c:smooth val="0"/>
          <c:extLst>
            <c:ext xmlns:c16="http://schemas.microsoft.com/office/drawing/2014/chart" uri="{C3380CC4-5D6E-409C-BE32-E72D297353CC}">
              <c16:uniqueId val="{00000001-8FA9-4870-BEEE-15F695071025}"/>
            </c:ext>
          </c:extLst>
        </c:ser>
        <c:dLbls>
          <c:showLegendKey val="0"/>
          <c:showVal val="0"/>
          <c:showCatName val="0"/>
          <c:showSerName val="0"/>
          <c:showPercent val="0"/>
          <c:showBubbleSize val="0"/>
        </c:dLbls>
        <c:smooth val="0"/>
        <c:axId val="745587104"/>
        <c:axId val="745585184"/>
      </c:lineChart>
      <c:catAx>
        <c:axId val="7455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5585184"/>
        <c:crosses val="autoZero"/>
        <c:auto val="1"/>
        <c:lblAlgn val="ctr"/>
        <c:lblOffset val="100"/>
        <c:noMultiLvlLbl val="0"/>
      </c:catAx>
      <c:valAx>
        <c:axId val="745585184"/>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45587104"/>
        <c:crosses val="autoZero"/>
        <c:crossBetween val="between"/>
      </c:valAx>
      <c:spPr>
        <a:noFill/>
        <a:ln w="25400">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Sheet1!$A$2</c:f>
              <c:strCache>
                <c:ptCount val="1"/>
                <c:pt idx="0">
                  <c:v>Charges</c:v>
                </c:pt>
              </c:strCache>
            </c:strRef>
          </c:tx>
          <c:spPr>
            <a:ln w="22225" cap="rnd">
              <a:solidFill>
                <a:schemeClr val="tx1"/>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Sheet1!$B$2:$L$2</c:f>
              <c:numCache>
                <c:formatCode>General</c:formatCode>
                <c:ptCount val="11"/>
                <c:pt idx="0">
                  <c:v>29</c:v>
                </c:pt>
                <c:pt idx="1">
                  <c:v>18</c:v>
                </c:pt>
                <c:pt idx="2">
                  <c:v>23</c:v>
                </c:pt>
                <c:pt idx="3">
                  <c:v>14</c:v>
                </c:pt>
                <c:pt idx="4">
                  <c:v>30</c:v>
                </c:pt>
                <c:pt idx="5">
                  <c:v>24</c:v>
                </c:pt>
                <c:pt idx="6">
                  <c:v>15</c:v>
                </c:pt>
                <c:pt idx="7">
                  <c:v>9</c:v>
                </c:pt>
                <c:pt idx="8">
                  <c:v>30</c:v>
                </c:pt>
                <c:pt idx="9">
                  <c:v>25</c:v>
                </c:pt>
                <c:pt idx="10">
                  <c:v>19</c:v>
                </c:pt>
              </c:numCache>
            </c:numRef>
          </c:val>
          <c:smooth val="0"/>
          <c:extLst>
            <c:ext xmlns:c16="http://schemas.microsoft.com/office/drawing/2014/chart" uri="{C3380CC4-5D6E-409C-BE32-E72D297353CC}">
              <c16:uniqueId val="{00000000-DA5C-425E-BBF0-65524A671869}"/>
            </c:ext>
          </c:extLst>
        </c:ser>
        <c:ser>
          <c:idx val="1"/>
          <c:order val="1"/>
          <c:tx>
            <c:strRef>
              <c:f>Sheet1!$A$3</c:f>
              <c:strCache>
                <c:ptCount val="1"/>
                <c:pt idx="0">
                  <c:v>Defendants</c:v>
                </c:pt>
              </c:strCache>
            </c:strRef>
          </c:tx>
          <c:spPr>
            <a:ln w="22225" cap="rnd">
              <a:solidFill>
                <a:schemeClr val="tx1"/>
              </a:solidFill>
              <a:prstDash val="dashDot"/>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Sheet1!$B$3:$L$3</c:f>
              <c:numCache>
                <c:formatCode>General</c:formatCode>
                <c:ptCount val="11"/>
                <c:pt idx="0">
                  <c:v>15</c:v>
                </c:pt>
                <c:pt idx="1">
                  <c:v>9</c:v>
                </c:pt>
                <c:pt idx="2">
                  <c:v>8</c:v>
                </c:pt>
                <c:pt idx="3">
                  <c:v>11</c:v>
                </c:pt>
                <c:pt idx="4">
                  <c:v>17</c:v>
                </c:pt>
                <c:pt idx="5">
                  <c:v>10</c:v>
                </c:pt>
                <c:pt idx="6">
                  <c:v>12</c:v>
                </c:pt>
                <c:pt idx="7">
                  <c:v>7</c:v>
                </c:pt>
                <c:pt idx="8">
                  <c:v>9</c:v>
                </c:pt>
                <c:pt idx="9">
                  <c:v>18</c:v>
                </c:pt>
                <c:pt idx="10">
                  <c:v>9</c:v>
                </c:pt>
              </c:numCache>
            </c:numRef>
          </c:val>
          <c:smooth val="0"/>
          <c:extLst>
            <c:ext xmlns:c16="http://schemas.microsoft.com/office/drawing/2014/chart" uri="{C3380CC4-5D6E-409C-BE32-E72D297353CC}">
              <c16:uniqueId val="{00000001-DA5C-425E-BBF0-65524A671869}"/>
            </c:ext>
          </c:extLst>
        </c:ser>
        <c:dLbls>
          <c:showLegendKey val="0"/>
          <c:showVal val="0"/>
          <c:showCatName val="0"/>
          <c:showSerName val="0"/>
          <c:showPercent val="0"/>
          <c:showBubbleSize val="0"/>
        </c:dLbls>
        <c:smooth val="0"/>
        <c:axId val="80738464"/>
        <c:axId val="80739424"/>
      </c:lineChart>
      <c:catAx>
        <c:axId val="8073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39424"/>
        <c:crosses val="autoZero"/>
        <c:auto val="1"/>
        <c:lblAlgn val="ctr"/>
        <c:lblOffset val="100"/>
        <c:noMultiLvlLbl val="0"/>
      </c:catAx>
      <c:valAx>
        <c:axId val="8073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3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Sheet1!$A$2</c:f>
              <c:strCache>
                <c:ptCount val="1"/>
                <c:pt idx="0">
                  <c:v>Unlawful sexual penetration of an adult</c:v>
                </c:pt>
              </c:strCache>
            </c:strRef>
          </c:tx>
          <c:spPr>
            <a:pattFill prst="pct50">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Sheet1!$B$2:$L$2</c:f>
              <c:numCache>
                <c:formatCode>General</c:formatCode>
                <c:ptCount val="11"/>
                <c:pt idx="0">
                  <c:v>8</c:v>
                </c:pt>
                <c:pt idx="1">
                  <c:v>4</c:v>
                </c:pt>
                <c:pt idx="2">
                  <c:v>14</c:v>
                </c:pt>
                <c:pt idx="3">
                  <c:v>5</c:v>
                </c:pt>
                <c:pt idx="4">
                  <c:v>13</c:v>
                </c:pt>
                <c:pt idx="5">
                  <c:v>14</c:v>
                </c:pt>
                <c:pt idx="6">
                  <c:v>8</c:v>
                </c:pt>
                <c:pt idx="7">
                  <c:v>5</c:v>
                </c:pt>
                <c:pt idx="8">
                  <c:v>3</c:v>
                </c:pt>
                <c:pt idx="9">
                  <c:v>16</c:v>
                </c:pt>
                <c:pt idx="10">
                  <c:v>9</c:v>
                </c:pt>
              </c:numCache>
            </c:numRef>
          </c:val>
          <c:extLst>
            <c:ext xmlns:c16="http://schemas.microsoft.com/office/drawing/2014/chart" uri="{C3380CC4-5D6E-409C-BE32-E72D297353CC}">
              <c16:uniqueId val="{00000000-4ABE-44FC-B07A-B8F6F3988365}"/>
            </c:ext>
          </c:extLst>
        </c:ser>
        <c:ser>
          <c:idx val="1"/>
          <c:order val="1"/>
          <c:tx>
            <c:strRef>
              <c:f>Sheet1!$A$3</c:f>
              <c:strCache>
                <c:ptCount val="1"/>
                <c:pt idx="0">
                  <c:v>Unlawful sexual contact of an adult</c:v>
                </c:pt>
              </c:strCache>
            </c:strRef>
          </c:tx>
          <c:spPr>
            <a:pattFill prst="pct25">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Sheet1!$B$3:$L$3</c:f>
              <c:numCache>
                <c:formatCode>General</c:formatCode>
                <c:ptCount val="11"/>
                <c:pt idx="0">
                  <c:v>17</c:v>
                </c:pt>
                <c:pt idx="1">
                  <c:v>9</c:v>
                </c:pt>
                <c:pt idx="2">
                  <c:v>8</c:v>
                </c:pt>
                <c:pt idx="3">
                  <c:v>9</c:v>
                </c:pt>
                <c:pt idx="4">
                  <c:v>16</c:v>
                </c:pt>
                <c:pt idx="5">
                  <c:v>8</c:v>
                </c:pt>
                <c:pt idx="6">
                  <c:v>4</c:v>
                </c:pt>
                <c:pt idx="7">
                  <c:v>2</c:v>
                </c:pt>
                <c:pt idx="8">
                  <c:v>5</c:v>
                </c:pt>
                <c:pt idx="9">
                  <c:v>6</c:v>
                </c:pt>
                <c:pt idx="10">
                  <c:v>8</c:v>
                </c:pt>
              </c:numCache>
            </c:numRef>
          </c:val>
          <c:extLst>
            <c:ext xmlns:c16="http://schemas.microsoft.com/office/drawing/2014/chart" uri="{C3380CC4-5D6E-409C-BE32-E72D297353CC}">
              <c16:uniqueId val="{00000001-4ABE-44FC-B07A-B8F6F3988365}"/>
            </c:ext>
          </c:extLst>
        </c:ser>
        <c:ser>
          <c:idx val="2"/>
          <c:order val="2"/>
          <c:tx>
            <c:strRef>
              <c:f>Sheet1!$A$4</c:f>
              <c:strCache>
                <c:ptCount val="1"/>
                <c:pt idx="0">
                  <c:v>Unlawful sexual contact of a child</c:v>
                </c:pt>
              </c:strCache>
            </c:strRef>
          </c:tx>
          <c:spPr>
            <a:solidFill>
              <a:schemeClr val="dk1">
                <a:tint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Sheet1!$B$4:$L$4</c:f>
              <c:numCache>
                <c:formatCode>General</c:formatCode>
                <c:ptCount val="11"/>
                <c:pt idx="0">
                  <c:v>3</c:v>
                </c:pt>
                <c:pt idx="1">
                  <c:v>5</c:v>
                </c:pt>
                <c:pt idx="2">
                  <c:v>1</c:v>
                </c:pt>
                <c:pt idx="5">
                  <c:v>2</c:v>
                </c:pt>
                <c:pt idx="6">
                  <c:v>2</c:v>
                </c:pt>
                <c:pt idx="8">
                  <c:v>21</c:v>
                </c:pt>
                <c:pt idx="9">
                  <c:v>3</c:v>
                </c:pt>
                <c:pt idx="10">
                  <c:v>1</c:v>
                </c:pt>
              </c:numCache>
            </c:numRef>
          </c:val>
          <c:extLst>
            <c:ext xmlns:c16="http://schemas.microsoft.com/office/drawing/2014/chart" uri="{C3380CC4-5D6E-409C-BE32-E72D297353CC}">
              <c16:uniqueId val="{00000002-4ABE-44FC-B07A-B8F6F3988365}"/>
            </c:ext>
          </c:extLst>
        </c:ser>
        <c:ser>
          <c:idx val="3"/>
          <c:order val="3"/>
          <c:tx>
            <c:strRef>
              <c:f>Sheet1!$A$5</c:f>
              <c:strCache>
                <c:ptCount val="1"/>
                <c:pt idx="0">
                  <c:v>Unlawful sexual penetration of a child</c:v>
                </c:pt>
              </c:strCache>
            </c:strRef>
          </c:tx>
          <c:spPr>
            <a:pattFill prst="pct1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Sheet1!$B$5:$L$5</c:f>
              <c:numCache>
                <c:formatCode>General</c:formatCode>
                <c:ptCount val="11"/>
                <c:pt idx="0">
                  <c:v>1</c:v>
                </c:pt>
                <c:pt idx="4">
                  <c:v>1</c:v>
                </c:pt>
                <c:pt idx="6">
                  <c:v>1</c:v>
                </c:pt>
                <c:pt idx="7">
                  <c:v>2</c:v>
                </c:pt>
                <c:pt idx="8">
                  <c:v>1</c:v>
                </c:pt>
                <c:pt idx="10">
                  <c:v>1</c:v>
                </c:pt>
              </c:numCache>
            </c:numRef>
          </c:val>
          <c:extLst>
            <c:ext xmlns:c16="http://schemas.microsoft.com/office/drawing/2014/chart" uri="{C3380CC4-5D6E-409C-BE32-E72D297353CC}">
              <c16:uniqueId val="{00000003-4ABE-44FC-B07A-B8F6F3988365}"/>
            </c:ext>
          </c:extLst>
        </c:ser>
        <c:dLbls>
          <c:dLblPos val="ctr"/>
          <c:showLegendKey val="0"/>
          <c:showVal val="1"/>
          <c:showCatName val="0"/>
          <c:showSerName val="0"/>
          <c:showPercent val="0"/>
          <c:showBubbleSize val="0"/>
        </c:dLbls>
        <c:gapWidth val="30"/>
        <c:overlap val="100"/>
        <c:axId val="1335433728"/>
        <c:axId val="1335437088"/>
      </c:barChart>
      <c:catAx>
        <c:axId val="133543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437088"/>
        <c:crosses val="autoZero"/>
        <c:auto val="1"/>
        <c:lblAlgn val="ctr"/>
        <c:lblOffset val="100"/>
        <c:noMultiLvlLbl val="0"/>
      </c:catAx>
      <c:valAx>
        <c:axId val="1335437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43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4657419975987734E-2"/>
          <c:y val="2.9251429331205957E-2"/>
          <c:w val="0.92073132596874885"/>
          <c:h val="0.67997952190559352"/>
        </c:manualLayout>
      </c:layout>
      <c:barChart>
        <c:barDir val="col"/>
        <c:grouping val="stacked"/>
        <c:varyColors val="0"/>
        <c:ser>
          <c:idx val="0"/>
          <c:order val="0"/>
          <c:tx>
            <c:strRef>
              <c:f>Sheet1!$A$2</c:f>
              <c:strCache>
                <c:ptCount val="1"/>
                <c:pt idx="0">
                  <c:v>Fine</c:v>
                </c:pt>
              </c:strCache>
            </c:strRef>
          </c:tx>
          <c:spPr>
            <a:pattFill prst="ltUpDiag">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Sheet1!$B$2:$L$2</c:f>
              <c:numCache>
                <c:formatCode>General</c:formatCode>
                <c:ptCount val="11"/>
                <c:pt idx="5">
                  <c:v>2</c:v>
                </c:pt>
                <c:pt idx="6">
                  <c:v>1</c:v>
                </c:pt>
                <c:pt idx="8">
                  <c:v>18</c:v>
                </c:pt>
              </c:numCache>
            </c:numRef>
          </c:val>
          <c:extLst>
            <c:ext xmlns:c16="http://schemas.microsoft.com/office/drawing/2014/chart" uri="{C3380CC4-5D6E-409C-BE32-E72D297353CC}">
              <c16:uniqueId val="{00000000-65E6-416A-9A59-39C89047F3CE}"/>
            </c:ext>
          </c:extLst>
        </c:ser>
        <c:ser>
          <c:idx val="1"/>
          <c:order val="1"/>
          <c:tx>
            <c:strRef>
              <c:f>Sheet1!$A$3</c:f>
              <c:strCache>
                <c:ptCount val="1"/>
                <c:pt idx="0">
                  <c:v>YJA - Probation</c:v>
                </c:pt>
              </c:strCache>
            </c:strRef>
          </c:tx>
          <c:spPr>
            <a:pattFill prst="pct5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Sheet1!$B$3:$L$3</c:f>
              <c:numCache>
                <c:formatCode>General</c:formatCode>
                <c:ptCount val="11"/>
                <c:pt idx="0">
                  <c:v>6</c:v>
                </c:pt>
                <c:pt idx="1">
                  <c:v>1</c:v>
                </c:pt>
                <c:pt idx="4">
                  <c:v>7</c:v>
                </c:pt>
                <c:pt idx="8">
                  <c:v>2</c:v>
                </c:pt>
                <c:pt idx="9">
                  <c:v>2</c:v>
                </c:pt>
                <c:pt idx="10">
                  <c:v>1</c:v>
                </c:pt>
              </c:numCache>
            </c:numRef>
          </c:val>
          <c:extLst>
            <c:ext xmlns:c16="http://schemas.microsoft.com/office/drawing/2014/chart" uri="{C3380CC4-5D6E-409C-BE32-E72D297353CC}">
              <c16:uniqueId val="{00000001-65E6-416A-9A59-39C89047F3CE}"/>
            </c:ext>
          </c:extLst>
        </c:ser>
        <c:ser>
          <c:idx val="2"/>
          <c:order val="2"/>
          <c:tx>
            <c:strRef>
              <c:f>Sheet1!$A$4</c:f>
              <c:strCache>
                <c:ptCount val="1"/>
                <c:pt idx="0">
                  <c:v>YJA - Detention Order</c:v>
                </c:pt>
              </c:strCache>
            </c:strRef>
          </c:tx>
          <c:spPr>
            <a:solidFill>
              <a:schemeClr val="dk1">
                <a:tint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Sheet1!$B$4:$L$4</c:f>
              <c:numCache>
                <c:formatCode>General</c:formatCode>
                <c:ptCount val="11"/>
                <c:pt idx="0">
                  <c:v>4</c:v>
                </c:pt>
                <c:pt idx="4">
                  <c:v>7</c:v>
                </c:pt>
                <c:pt idx="5">
                  <c:v>2</c:v>
                </c:pt>
                <c:pt idx="6">
                  <c:v>3</c:v>
                </c:pt>
                <c:pt idx="8">
                  <c:v>2</c:v>
                </c:pt>
              </c:numCache>
            </c:numRef>
          </c:val>
          <c:extLst>
            <c:ext xmlns:c16="http://schemas.microsoft.com/office/drawing/2014/chart" uri="{C3380CC4-5D6E-409C-BE32-E72D297353CC}">
              <c16:uniqueId val="{00000002-65E6-416A-9A59-39C89047F3CE}"/>
            </c:ext>
          </c:extLst>
        </c:ser>
        <c:ser>
          <c:idx val="3"/>
          <c:order val="3"/>
          <c:tx>
            <c:strRef>
              <c:f>Sheet1!$A$5</c:f>
              <c:strCache>
                <c:ptCount val="1"/>
                <c:pt idx="0">
                  <c:v>Recognisance</c:v>
                </c:pt>
              </c:strCache>
            </c:strRef>
          </c:tx>
          <c:spPr>
            <a:pattFill prst="dotGrid">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Sheet1!$B$5:$L$5</c:f>
              <c:numCache>
                <c:formatCode>General</c:formatCode>
                <c:ptCount val="11"/>
                <c:pt idx="8">
                  <c:v>14</c:v>
                </c:pt>
              </c:numCache>
            </c:numRef>
          </c:val>
          <c:extLst>
            <c:ext xmlns:c16="http://schemas.microsoft.com/office/drawing/2014/chart" uri="{C3380CC4-5D6E-409C-BE32-E72D297353CC}">
              <c16:uniqueId val="{00000003-65E6-416A-9A59-39C89047F3CE}"/>
            </c:ext>
          </c:extLst>
        </c:ser>
        <c:ser>
          <c:idx val="4"/>
          <c:order val="4"/>
          <c:tx>
            <c:strRef>
              <c:f>Sheet1!$A$6</c:f>
              <c:strCache>
                <c:ptCount val="1"/>
                <c:pt idx="0">
                  <c:v>YJA - Release on Conditions S47(1)(d)</c:v>
                </c:pt>
              </c:strCache>
            </c:strRef>
          </c:tx>
          <c:spPr>
            <a:pattFill prst="pct2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Sheet1!$B$6:$L$6</c:f>
              <c:numCache>
                <c:formatCode>General</c:formatCode>
                <c:ptCount val="11"/>
                <c:pt idx="0">
                  <c:v>3</c:v>
                </c:pt>
                <c:pt idx="3">
                  <c:v>1</c:v>
                </c:pt>
                <c:pt idx="4">
                  <c:v>1</c:v>
                </c:pt>
                <c:pt idx="5">
                  <c:v>2</c:v>
                </c:pt>
                <c:pt idx="8">
                  <c:v>1</c:v>
                </c:pt>
                <c:pt idx="9">
                  <c:v>1</c:v>
                </c:pt>
              </c:numCache>
            </c:numRef>
          </c:val>
          <c:extLst>
            <c:ext xmlns:c16="http://schemas.microsoft.com/office/drawing/2014/chart" uri="{C3380CC4-5D6E-409C-BE32-E72D297353CC}">
              <c16:uniqueId val="{00000004-65E6-416A-9A59-39C89047F3CE}"/>
            </c:ext>
          </c:extLst>
        </c:ser>
        <c:ser>
          <c:idx val="5"/>
          <c:order val="5"/>
          <c:tx>
            <c:strRef>
              <c:f>Sheet1!$A$7</c:f>
              <c:strCache>
                <c:ptCount val="1"/>
                <c:pt idx="0">
                  <c:v>YJA - Community Service</c:v>
                </c:pt>
              </c:strCache>
            </c:strRef>
          </c:tx>
          <c:spPr>
            <a:pattFill prst="pct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Sheet1!$B$7:$L$7</c:f>
              <c:numCache>
                <c:formatCode>General</c:formatCode>
                <c:ptCount val="11"/>
                <c:pt idx="1">
                  <c:v>2</c:v>
                </c:pt>
                <c:pt idx="4">
                  <c:v>1</c:v>
                </c:pt>
                <c:pt idx="5">
                  <c:v>2</c:v>
                </c:pt>
              </c:numCache>
            </c:numRef>
          </c:val>
          <c:extLst>
            <c:ext xmlns:c16="http://schemas.microsoft.com/office/drawing/2014/chart" uri="{C3380CC4-5D6E-409C-BE32-E72D297353CC}">
              <c16:uniqueId val="{00000005-65E6-416A-9A59-39C89047F3CE}"/>
            </c:ext>
          </c:extLst>
        </c:ser>
        <c:ser>
          <c:idx val="6"/>
          <c:order val="6"/>
          <c:tx>
            <c:strRef>
              <c:f>Sheet1!$A$8</c:f>
              <c:strCache>
                <c:ptCount val="1"/>
                <c:pt idx="0">
                  <c:v>Imprisonment - Wholly Suspended</c:v>
                </c:pt>
              </c:strCache>
            </c:strRef>
          </c:tx>
          <c:spPr>
            <a:pattFill prst="smConfetti">
              <a:fgClr>
                <a:schemeClr val="tx1"/>
              </a:fgClr>
              <a:bgClr>
                <a:schemeClr val="bg1"/>
              </a:bgClr>
            </a:pattFill>
            <a:ln>
              <a:solidFill>
                <a:schemeClr val="tx1"/>
              </a:solidFill>
            </a:ln>
            <a:effectLst/>
          </c:spPr>
          <c:invertIfNegative val="0"/>
          <c:dLbls>
            <c:dLbl>
              <c:idx val="3"/>
              <c:layout>
                <c:manualLayout>
                  <c:x val="-4.2437781360066642E-17"/>
                  <c:y val="-2.19118049849356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E6-416A-9A59-39C89047F3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Sheet1!$B$8:$L$8</c:f>
              <c:numCache>
                <c:formatCode>General</c:formatCode>
                <c:ptCount val="11"/>
                <c:pt idx="3">
                  <c:v>1</c:v>
                </c:pt>
                <c:pt idx="5">
                  <c:v>2</c:v>
                </c:pt>
                <c:pt idx="6">
                  <c:v>1</c:v>
                </c:pt>
              </c:numCache>
            </c:numRef>
          </c:val>
          <c:extLst>
            <c:ext xmlns:c16="http://schemas.microsoft.com/office/drawing/2014/chart" uri="{C3380CC4-5D6E-409C-BE32-E72D297353CC}">
              <c16:uniqueId val="{00000007-65E6-416A-9A59-39C89047F3CE}"/>
            </c:ext>
          </c:extLst>
        </c:ser>
        <c:ser>
          <c:idx val="7"/>
          <c:order val="7"/>
          <c:tx>
            <c:strRef>
              <c:f>Sheet1!$A$9</c:f>
              <c:strCache>
                <c:ptCount val="1"/>
                <c:pt idx="0">
                  <c:v>Community Correction Order</c:v>
                </c:pt>
              </c:strCache>
            </c:strRef>
          </c:tx>
          <c:spPr>
            <a:pattFill prst="ltHorz">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Sheet1!$B$9:$L$9</c:f>
              <c:numCache>
                <c:formatCode>General</c:formatCode>
                <c:ptCount val="11"/>
                <c:pt idx="5">
                  <c:v>2</c:v>
                </c:pt>
              </c:numCache>
            </c:numRef>
          </c:val>
          <c:extLst>
            <c:ext xmlns:c16="http://schemas.microsoft.com/office/drawing/2014/chart" uri="{C3380CC4-5D6E-409C-BE32-E72D297353CC}">
              <c16:uniqueId val="{00000008-65E6-416A-9A59-39C89047F3CE}"/>
            </c:ext>
          </c:extLst>
        </c:ser>
        <c:ser>
          <c:idx val="8"/>
          <c:order val="8"/>
          <c:tx>
            <c:strRef>
              <c:f>Sheet1!$A$10</c:f>
              <c:strCache>
                <c:ptCount val="1"/>
                <c:pt idx="0">
                  <c:v>Driving Disqualification</c:v>
                </c:pt>
              </c:strCache>
            </c:strRef>
          </c:tx>
          <c:spPr>
            <a:pattFill prst="openDmnd">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Sheet1!$B$10:$L$10</c:f>
              <c:numCache>
                <c:formatCode>General</c:formatCode>
                <c:ptCount val="11"/>
                <c:pt idx="8">
                  <c:v>2</c:v>
                </c:pt>
              </c:numCache>
            </c:numRef>
          </c:val>
          <c:extLst>
            <c:ext xmlns:c16="http://schemas.microsoft.com/office/drawing/2014/chart" uri="{C3380CC4-5D6E-409C-BE32-E72D297353CC}">
              <c16:uniqueId val="{00000009-65E6-416A-9A59-39C89047F3CE}"/>
            </c:ext>
          </c:extLst>
        </c:ser>
        <c:dLbls>
          <c:dLblPos val="ctr"/>
          <c:showLegendKey val="0"/>
          <c:showVal val="1"/>
          <c:showCatName val="0"/>
          <c:showSerName val="0"/>
          <c:showPercent val="0"/>
          <c:showBubbleSize val="0"/>
        </c:dLbls>
        <c:gapWidth val="30"/>
        <c:overlap val="100"/>
        <c:axId val="322354687"/>
        <c:axId val="322359967"/>
      </c:barChart>
      <c:catAx>
        <c:axId val="322354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359967"/>
        <c:crosses val="autoZero"/>
        <c:auto val="1"/>
        <c:lblAlgn val="ctr"/>
        <c:lblOffset val="100"/>
        <c:noMultiLvlLbl val="0"/>
      </c:catAx>
      <c:valAx>
        <c:axId val="322359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354687"/>
        <c:crosses val="autoZero"/>
        <c:crossBetween val="between"/>
      </c:valAx>
      <c:spPr>
        <a:noFill/>
        <a:ln>
          <a:noFill/>
        </a:ln>
        <a:effectLst/>
      </c:spPr>
    </c:plotArea>
    <c:legend>
      <c:legendPos val="b"/>
      <c:layout>
        <c:manualLayout>
          <c:xMode val="edge"/>
          <c:yMode val="edge"/>
          <c:x val="4.098399211453306E-2"/>
          <c:y val="0.81854105093664264"/>
          <c:w val="0.92250661306334358"/>
          <c:h val="0.152704898115738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Sheet1!$A$2</c:f>
              <c:strCache>
                <c:ptCount val="1"/>
                <c:pt idx="0">
                  <c:v>Charges</c:v>
                </c:pt>
              </c:strCache>
            </c:strRef>
          </c:tx>
          <c:spPr>
            <a:ln w="22225" cap="rnd">
              <a:solidFill>
                <a:schemeClr val="tx1"/>
              </a:solidFill>
              <a:round/>
            </a:ln>
            <a:effectLst/>
          </c:spPr>
          <c:marker>
            <c:symbol val="circle"/>
            <c:size val="5"/>
            <c:spPr>
              <a:solidFill>
                <a:schemeClr val="dk1">
                  <a:tint val="88500"/>
                </a:schemeClr>
              </a:solidFill>
              <a:ln w="9525">
                <a:solidFill>
                  <a:schemeClr val="dk1">
                    <a:tint val="88500"/>
                  </a:schemeClr>
                </a:solidFill>
              </a:ln>
              <a:effectLst/>
            </c:spPr>
          </c:marker>
          <c:dLbls>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l"/>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9B-0D4F-A630-19BAA0FDF560}"/>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9B-0D4F-A630-19BAA0FDF5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Sheet1!$B$2:$L$2</c:f>
              <c:numCache>
                <c:formatCode>General</c:formatCode>
                <c:ptCount val="11"/>
                <c:pt idx="0">
                  <c:v>4</c:v>
                </c:pt>
                <c:pt idx="1">
                  <c:v>8</c:v>
                </c:pt>
                <c:pt idx="2">
                  <c:v>0</c:v>
                </c:pt>
                <c:pt idx="3">
                  <c:v>20</c:v>
                </c:pt>
                <c:pt idx="4">
                  <c:v>9</c:v>
                </c:pt>
                <c:pt idx="5">
                  <c:v>19</c:v>
                </c:pt>
                <c:pt idx="6">
                  <c:v>18</c:v>
                </c:pt>
                <c:pt idx="7">
                  <c:v>5</c:v>
                </c:pt>
                <c:pt idx="8">
                  <c:v>8</c:v>
                </c:pt>
                <c:pt idx="9">
                  <c:v>14</c:v>
                </c:pt>
                <c:pt idx="10">
                  <c:v>10</c:v>
                </c:pt>
              </c:numCache>
            </c:numRef>
          </c:val>
          <c:smooth val="0"/>
          <c:extLst>
            <c:ext xmlns:c16="http://schemas.microsoft.com/office/drawing/2014/chart" uri="{C3380CC4-5D6E-409C-BE32-E72D297353CC}">
              <c16:uniqueId val="{00000000-B424-4760-9294-3EEAD0D3A0D7}"/>
            </c:ext>
          </c:extLst>
        </c:ser>
        <c:ser>
          <c:idx val="1"/>
          <c:order val="1"/>
          <c:tx>
            <c:strRef>
              <c:f>Sheet1!$A$3</c:f>
              <c:strCache>
                <c:ptCount val="1"/>
                <c:pt idx="0">
                  <c:v>Defendants</c:v>
                </c:pt>
              </c:strCache>
            </c:strRef>
          </c:tx>
          <c:spPr>
            <a:ln w="22225" cap="rnd">
              <a:solidFill>
                <a:schemeClr val="tx1"/>
              </a:solidFill>
              <a:prstDash val="dashDot"/>
              <a:round/>
            </a:ln>
            <a:effectLst/>
          </c:spPr>
          <c:marker>
            <c:symbol val="circle"/>
            <c:size val="5"/>
            <c:spPr>
              <a:solidFill>
                <a:schemeClr val="dk1">
                  <a:tint val="55000"/>
                </a:schemeClr>
              </a:solidFill>
              <a:ln w="9525">
                <a:solidFill>
                  <a:schemeClr val="dk1">
                    <a:tint val="55000"/>
                  </a:schemeClr>
                </a:solidFill>
              </a:ln>
              <a:effectLst/>
            </c:spPr>
          </c:marker>
          <c:dLbls>
            <c:dLbl>
              <c:idx val="1"/>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en-US"/>
                </a:p>
              </c:txPr>
              <c:dLblPos val="b"/>
              <c:showLegendKey val="0"/>
              <c:showVal val="1"/>
              <c:showCatName val="0"/>
              <c:showSerName val="0"/>
              <c:showPercent val="0"/>
              <c:showBubbleSize val="0"/>
              <c:extLst>
                <c:ext xmlns:c15="http://schemas.microsoft.com/office/drawing/2012/chart" uri="{CE6537A1-D6FC-4f65-9D91-7224C49458BB}">
                  <c15:layout>
                    <c:manualLayout>
                      <c:w val="2.820033021463951E-2"/>
                      <c:h val="5.221165810244769E-2"/>
                    </c:manualLayout>
                  </c15:layout>
                </c:ext>
                <c:ext xmlns:c16="http://schemas.microsoft.com/office/drawing/2014/chart" uri="{C3380CC4-5D6E-409C-BE32-E72D297353CC}">
                  <c16:uniqueId val="{00000000-AB9B-0D4F-A630-19BAA0FDF560}"/>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B-0D4F-A630-19BAA0FDF560}"/>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B-0D4F-A630-19BAA0FDF560}"/>
                </c:ext>
              </c:extLst>
            </c:dLbl>
            <c:dLbl>
              <c:idx val="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B-0D4F-A630-19BAA0FDF560}"/>
                </c:ext>
              </c:extLst>
            </c:dLbl>
            <c:dLbl>
              <c:idx val="8"/>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B-0D4F-A630-19BAA0FDF560}"/>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B-0D4F-A630-19BAA0FDF5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Sheet1!$B$3:$L$3</c:f>
              <c:numCache>
                <c:formatCode>General</c:formatCode>
                <c:ptCount val="11"/>
                <c:pt idx="0">
                  <c:v>3</c:v>
                </c:pt>
                <c:pt idx="1">
                  <c:v>5</c:v>
                </c:pt>
                <c:pt idx="2">
                  <c:v>0</c:v>
                </c:pt>
                <c:pt idx="3">
                  <c:v>6</c:v>
                </c:pt>
                <c:pt idx="4">
                  <c:v>4</c:v>
                </c:pt>
                <c:pt idx="5">
                  <c:v>9</c:v>
                </c:pt>
                <c:pt idx="6">
                  <c:v>6</c:v>
                </c:pt>
                <c:pt idx="7">
                  <c:v>4</c:v>
                </c:pt>
                <c:pt idx="8">
                  <c:v>5</c:v>
                </c:pt>
                <c:pt idx="9">
                  <c:v>6</c:v>
                </c:pt>
                <c:pt idx="10">
                  <c:v>5</c:v>
                </c:pt>
              </c:numCache>
            </c:numRef>
          </c:val>
          <c:smooth val="0"/>
          <c:extLst>
            <c:ext xmlns:c16="http://schemas.microsoft.com/office/drawing/2014/chart" uri="{C3380CC4-5D6E-409C-BE32-E72D297353CC}">
              <c16:uniqueId val="{00000001-B424-4760-9294-3EEAD0D3A0D7}"/>
            </c:ext>
          </c:extLst>
        </c:ser>
        <c:dLbls>
          <c:showLegendKey val="0"/>
          <c:showVal val="0"/>
          <c:showCatName val="0"/>
          <c:showSerName val="0"/>
          <c:showPercent val="0"/>
          <c:showBubbleSize val="0"/>
        </c:dLbls>
        <c:marker val="1"/>
        <c:smooth val="0"/>
        <c:axId val="1750412976"/>
        <c:axId val="1750413456"/>
      </c:lineChart>
      <c:catAx>
        <c:axId val="175041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0413456"/>
        <c:crosses val="autoZero"/>
        <c:auto val="1"/>
        <c:lblAlgn val="ctr"/>
        <c:lblOffset val="100"/>
        <c:noMultiLvlLbl val="0"/>
      </c:catAx>
      <c:valAx>
        <c:axId val="1750413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0412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Sheet1!$A$2</c:f>
              <c:strCache>
                <c:ptCount val="1"/>
                <c:pt idx="0">
                  <c:v>Sexual assault of an adult</c:v>
                </c:pt>
              </c:strCache>
            </c:strRef>
          </c:tx>
          <c:spPr>
            <a:pattFill prst="pct5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Sheet1!$B$2:$L$2</c:f>
              <c:numCache>
                <c:formatCode>General</c:formatCode>
                <c:ptCount val="11"/>
                <c:pt idx="0">
                  <c:v>2</c:v>
                </c:pt>
                <c:pt idx="1">
                  <c:v>2</c:v>
                </c:pt>
                <c:pt idx="3">
                  <c:v>19</c:v>
                </c:pt>
                <c:pt idx="4">
                  <c:v>7</c:v>
                </c:pt>
                <c:pt idx="5">
                  <c:v>16</c:v>
                </c:pt>
                <c:pt idx="6">
                  <c:v>16</c:v>
                </c:pt>
                <c:pt idx="7">
                  <c:v>1</c:v>
                </c:pt>
                <c:pt idx="8">
                  <c:v>3</c:v>
                </c:pt>
                <c:pt idx="9">
                  <c:v>10</c:v>
                </c:pt>
                <c:pt idx="10">
                  <c:v>6</c:v>
                </c:pt>
              </c:numCache>
            </c:numRef>
          </c:val>
          <c:extLst>
            <c:ext xmlns:c16="http://schemas.microsoft.com/office/drawing/2014/chart" uri="{C3380CC4-5D6E-409C-BE32-E72D297353CC}">
              <c16:uniqueId val="{00000000-2C7D-4D8E-A66F-91B431C99C47}"/>
            </c:ext>
          </c:extLst>
        </c:ser>
        <c:ser>
          <c:idx val="1"/>
          <c:order val="1"/>
          <c:tx>
            <c:strRef>
              <c:f>Sheet1!$A$3</c:f>
              <c:strCache>
                <c:ptCount val="1"/>
                <c:pt idx="0">
                  <c:v>Sexual assault of a child</c:v>
                </c:pt>
              </c:strCache>
            </c:strRef>
          </c:tx>
          <c:spPr>
            <a:solidFill>
              <a:schemeClr val="dk1">
                <a:tint val="5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Sheet1!$B$3:$L$3</c:f>
              <c:numCache>
                <c:formatCode>General</c:formatCode>
                <c:ptCount val="11"/>
                <c:pt idx="0">
                  <c:v>2</c:v>
                </c:pt>
                <c:pt idx="1">
                  <c:v>1</c:v>
                </c:pt>
                <c:pt idx="3">
                  <c:v>1</c:v>
                </c:pt>
                <c:pt idx="4">
                  <c:v>2</c:v>
                </c:pt>
                <c:pt idx="5">
                  <c:v>3</c:v>
                </c:pt>
                <c:pt idx="6">
                  <c:v>2</c:v>
                </c:pt>
                <c:pt idx="7">
                  <c:v>4</c:v>
                </c:pt>
                <c:pt idx="8">
                  <c:v>5</c:v>
                </c:pt>
                <c:pt idx="9">
                  <c:v>2</c:v>
                </c:pt>
                <c:pt idx="10">
                  <c:v>4</c:v>
                </c:pt>
              </c:numCache>
            </c:numRef>
          </c:val>
          <c:extLst>
            <c:ext xmlns:c16="http://schemas.microsoft.com/office/drawing/2014/chart" uri="{C3380CC4-5D6E-409C-BE32-E72D297353CC}">
              <c16:uniqueId val="{00000001-2C7D-4D8E-A66F-91B431C99C47}"/>
            </c:ext>
          </c:extLst>
        </c:ser>
        <c:ser>
          <c:idx val="2"/>
          <c:order val="2"/>
          <c:tx>
            <c:strRef>
              <c:f>Sheet1!$A$4</c:f>
              <c:strCache>
                <c:ptCount val="1"/>
                <c:pt idx="0">
                  <c:v>Child abuse material offences</c:v>
                </c:pt>
              </c:strCache>
            </c:strRef>
          </c:tx>
          <c:spPr>
            <a:pattFill prst="pct5">
              <a:fgClr>
                <a:schemeClr val="accent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Sheet1!$B$4:$L$4</c:f>
              <c:numCache>
                <c:formatCode>General</c:formatCode>
                <c:ptCount val="11"/>
                <c:pt idx="1">
                  <c:v>4</c:v>
                </c:pt>
                <c:pt idx="9">
                  <c:v>2</c:v>
                </c:pt>
              </c:numCache>
            </c:numRef>
          </c:val>
          <c:extLst>
            <c:ext xmlns:c16="http://schemas.microsoft.com/office/drawing/2014/chart" uri="{C3380CC4-5D6E-409C-BE32-E72D297353CC}">
              <c16:uniqueId val="{00000002-2C7D-4D8E-A66F-91B431C99C47}"/>
            </c:ext>
          </c:extLst>
        </c:ser>
        <c:ser>
          <c:idx val="3"/>
          <c:order val="3"/>
          <c:tx>
            <c:strRef>
              <c:f>Sheet1!$A$5</c:f>
              <c:strCache>
                <c:ptCount val="1"/>
                <c:pt idx="0">
                  <c:v>Child procurement or grooming</c:v>
                </c:pt>
              </c:strCache>
            </c:strRef>
          </c:tx>
          <c:spPr>
            <a:pattFill prst="openDmnd">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Sheet1!$B$5:$L$5</c:f>
              <c:numCache>
                <c:formatCode>General</c:formatCode>
                <c:ptCount val="11"/>
                <c:pt idx="1">
                  <c:v>1</c:v>
                </c:pt>
              </c:numCache>
            </c:numRef>
          </c:val>
          <c:extLst>
            <c:ext xmlns:c16="http://schemas.microsoft.com/office/drawing/2014/chart" uri="{C3380CC4-5D6E-409C-BE32-E72D297353CC}">
              <c16:uniqueId val="{00000003-2C7D-4D8E-A66F-91B431C99C47}"/>
            </c:ext>
          </c:extLst>
        </c:ser>
        <c:dLbls>
          <c:dLblPos val="ctr"/>
          <c:showLegendKey val="0"/>
          <c:showVal val="1"/>
          <c:showCatName val="0"/>
          <c:showSerName val="0"/>
          <c:showPercent val="0"/>
          <c:showBubbleSize val="0"/>
        </c:dLbls>
        <c:gapWidth val="30"/>
        <c:overlap val="100"/>
        <c:axId val="1335433728"/>
        <c:axId val="1335437088"/>
      </c:barChart>
      <c:catAx>
        <c:axId val="133543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437088"/>
        <c:crosses val="autoZero"/>
        <c:auto val="1"/>
        <c:lblAlgn val="ctr"/>
        <c:lblOffset val="100"/>
        <c:noMultiLvlLbl val="0"/>
      </c:catAx>
      <c:valAx>
        <c:axId val="1335437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43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Sheet1!$B$1</c:f>
              <c:strCache>
                <c:ptCount val="1"/>
                <c:pt idx="0">
                  <c:v>Mandatory reports</c:v>
                </c:pt>
              </c:strCache>
            </c:strRef>
          </c:tx>
          <c:spPr>
            <a:pattFill prst="pct5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10080</c:v>
                </c:pt>
                <c:pt idx="1">
                  <c:v>11956</c:v>
                </c:pt>
                <c:pt idx="2">
                  <c:v>13849</c:v>
                </c:pt>
                <c:pt idx="3">
                  <c:v>17917</c:v>
                </c:pt>
                <c:pt idx="4">
                  <c:v>19152</c:v>
                </c:pt>
              </c:numCache>
            </c:numRef>
          </c:val>
          <c:extLst>
            <c:ext xmlns:c16="http://schemas.microsoft.com/office/drawing/2014/chart" uri="{C3380CC4-5D6E-409C-BE32-E72D297353CC}">
              <c16:uniqueId val="{00000000-F544-48EE-9150-1DED614ECE90}"/>
            </c:ext>
          </c:extLst>
        </c:ser>
        <c:ser>
          <c:idx val="1"/>
          <c:order val="1"/>
          <c:tx>
            <c:strRef>
              <c:f>Sheet1!$C$1</c:f>
              <c:strCache>
                <c:ptCount val="1"/>
                <c:pt idx="0">
                  <c:v>Non-mandatory reports</c:v>
                </c:pt>
              </c:strCache>
            </c:strRef>
          </c:tx>
          <c:spPr>
            <a:solidFill>
              <a:schemeClr val="dk1">
                <a:tint val="5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2582</c:v>
                </c:pt>
                <c:pt idx="1">
                  <c:v>2738</c:v>
                </c:pt>
                <c:pt idx="2">
                  <c:v>2694</c:v>
                </c:pt>
                <c:pt idx="3">
                  <c:v>2988</c:v>
                </c:pt>
                <c:pt idx="4">
                  <c:v>2845</c:v>
                </c:pt>
              </c:numCache>
            </c:numRef>
          </c:val>
          <c:extLst>
            <c:ext xmlns:c16="http://schemas.microsoft.com/office/drawing/2014/chart" uri="{C3380CC4-5D6E-409C-BE32-E72D297353CC}">
              <c16:uniqueId val="{00000001-F544-48EE-9150-1DED614ECE90}"/>
            </c:ext>
          </c:extLst>
        </c:ser>
        <c:dLbls>
          <c:showLegendKey val="0"/>
          <c:showVal val="0"/>
          <c:showCatName val="0"/>
          <c:showSerName val="0"/>
          <c:showPercent val="0"/>
          <c:showBubbleSize val="0"/>
        </c:dLbls>
        <c:gapWidth val="150"/>
        <c:overlap val="100"/>
        <c:axId val="591719231"/>
        <c:axId val="591713951"/>
      </c:barChart>
      <c:catAx>
        <c:axId val="59171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713951"/>
        <c:crosses val="autoZero"/>
        <c:auto val="1"/>
        <c:lblAlgn val="ctr"/>
        <c:lblOffset val="100"/>
        <c:noMultiLvlLbl val="0"/>
      </c:catAx>
      <c:valAx>
        <c:axId val="591713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New converstions to the ARL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719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Sheet1!$B$1</c:f>
              <c:strCache>
                <c:ptCount val="1"/>
                <c:pt idx="0">
                  <c:v>No (sexual offences)</c:v>
                </c:pt>
              </c:strCache>
            </c:strRef>
          </c:tx>
          <c:spPr>
            <a:ln w="22225" cap="rnd">
              <a:solidFill>
                <a:schemeClr val="tx1"/>
              </a:solidFill>
              <a:prstDash val="dashDot"/>
              <a:round/>
            </a:ln>
            <a:effectLst/>
          </c:spPr>
          <c:marker>
            <c:symbol val="none"/>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77-D641-A72F-69D2070386F8}"/>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77-D641-A72F-69D2070386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2015-16</c:v>
                </c:pt>
                <c:pt idx="1">
                  <c:v>2016-17</c:v>
                </c:pt>
                <c:pt idx="2">
                  <c:v>2017-18</c:v>
                </c:pt>
                <c:pt idx="3">
                  <c:v>2018-19</c:v>
                </c:pt>
                <c:pt idx="4">
                  <c:v>2019-20</c:v>
                </c:pt>
                <c:pt idx="5">
                  <c:v>2020-21</c:v>
                </c:pt>
                <c:pt idx="6">
                  <c:v>2021-22</c:v>
                </c:pt>
                <c:pt idx="7">
                  <c:v>2022-23</c:v>
                </c:pt>
                <c:pt idx="8">
                  <c:v>2023-24</c:v>
                </c:pt>
              </c:strCache>
            </c:strRef>
          </c:cat>
          <c:val>
            <c:numRef>
              <c:f>Sheet1!$B$2:$B$10</c:f>
              <c:numCache>
                <c:formatCode>General</c:formatCode>
                <c:ptCount val="9"/>
                <c:pt idx="0">
                  <c:v>7</c:v>
                </c:pt>
                <c:pt idx="1">
                  <c:v>17</c:v>
                </c:pt>
                <c:pt idx="2">
                  <c:v>12</c:v>
                </c:pt>
                <c:pt idx="3">
                  <c:v>4</c:v>
                </c:pt>
                <c:pt idx="4">
                  <c:v>7</c:v>
                </c:pt>
                <c:pt idx="5">
                  <c:v>15</c:v>
                </c:pt>
                <c:pt idx="6">
                  <c:v>12</c:v>
                </c:pt>
                <c:pt idx="7">
                  <c:v>7</c:v>
                </c:pt>
                <c:pt idx="8">
                  <c:v>11</c:v>
                </c:pt>
              </c:numCache>
            </c:numRef>
          </c:val>
          <c:smooth val="0"/>
          <c:extLst>
            <c:ext xmlns:c16="http://schemas.microsoft.com/office/drawing/2014/chart" uri="{C3380CC4-5D6E-409C-BE32-E72D297353CC}">
              <c16:uniqueId val="{00000000-9679-4E12-97B6-86222EF137F2}"/>
            </c:ext>
          </c:extLst>
        </c:ser>
        <c:ser>
          <c:idx val="1"/>
          <c:order val="1"/>
          <c:tx>
            <c:strRef>
              <c:f>Sheet1!$C$1</c:f>
              <c:strCache>
                <c:ptCount val="1"/>
                <c:pt idx="0">
                  <c:v>Rate per 100 000 (sexual offences)</c:v>
                </c:pt>
              </c:strCache>
            </c:strRef>
          </c:tx>
          <c:spPr>
            <a:ln w="22225" cap="rnd">
              <a:solidFill>
                <a:schemeClr val="tx1"/>
              </a:solidFill>
              <a:prstDash val="solid"/>
              <a:round/>
            </a:ln>
            <a:effectLst/>
          </c:spPr>
          <c:marker>
            <c:symbol val="none"/>
          </c:marker>
          <c:dPt>
            <c:idx val="1"/>
            <c:marker>
              <c:symbol val="none"/>
            </c:marker>
            <c:bubble3D val="0"/>
            <c:extLst>
              <c:ext xmlns:c16="http://schemas.microsoft.com/office/drawing/2014/chart" uri="{C3380CC4-5D6E-409C-BE32-E72D297353CC}">
                <c16:uniqueId val="{00000000-EEF0-4DCC-B140-885F5F00341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2015-16</c:v>
                </c:pt>
                <c:pt idx="1">
                  <c:v>2016-17</c:v>
                </c:pt>
                <c:pt idx="2">
                  <c:v>2017-18</c:v>
                </c:pt>
                <c:pt idx="3">
                  <c:v>2018-19</c:v>
                </c:pt>
                <c:pt idx="4">
                  <c:v>2019-20</c:v>
                </c:pt>
                <c:pt idx="5">
                  <c:v>2020-21</c:v>
                </c:pt>
                <c:pt idx="6">
                  <c:v>2021-22</c:v>
                </c:pt>
                <c:pt idx="7">
                  <c:v>2022-23</c:v>
                </c:pt>
                <c:pt idx="8">
                  <c:v>2023-24</c:v>
                </c:pt>
              </c:strCache>
            </c:strRef>
          </c:cat>
          <c:val>
            <c:numRef>
              <c:f>Sheet1!$C$2:$C$10</c:f>
              <c:numCache>
                <c:formatCode>General</c:formatCode>
                <c:ptCount val="9"/>
                <c:pt idx="0">
                  <c:v>14</c:v>
                </c:pt>
                <c:pt idx="1">
                  <c:v>33.9</c:v>
                </c:pt>
                <c:pt idx="2">
                  <c:v>23.7</c:v>
                </c:pt>
                <c:pt idx="3">
                  <c:v>7.8</c:v>
                </c:pt>
                <c:pt idx="4">
                  <c:v>13.4</c:v>
                </c:pt>
                <c:pt idx="5">
                  <c:v>28.4</c:v>
                </c:pt>
                <c:pt idx="6">
                  <c:v>22.4</c:v>
                </c:pt>
                <c:pt idx="7">
                  <c:v>13</c:v>
                </c:pt>
                <c:pt idx="8">
                  <c:v>20.3</c:v>
                </c:pt>
              </c:numCache>
            </c:numRef>
          </c:val>
          <c:smooth val="0"/>
          <c:extLst>
            <c:ext xmlns:c16="http://schemas.microsoft.com/office/drawing/2014/chart" uri="{C3380CC4-5D6E-409C-BE32-E72D297353CC}">
              <c16:uniqueId val="{00000001-9679-4E12-97B6-86222EF137F2}"/>
            </c:ext>
          </c:extLst>
        </c:ser>
        <c:dLbls>
          <c:showLegendKey val="0"/>
          <c:showVal val="0"/>
          <c:showCatName val="0"/>
          <c:showSerName val="0"/>
          <c:showPercent val="0"/>
          <c:showBubbleSize val="0"/>
        </c:dLbls>
        <c:smooth val="0"/>
        <c:axId val="1922363232"/>
        <c:axId val="1922363712"/>
      </c:lineChart>
      <c:catAx>
        <c:axId val="192236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363712"/>
        <c:crosses val="autoZero"/>
        <c:auto val="1"/>
        <c:lblAlgn val="ctr"/>
        <c:lblOffset val="100"/>
        <c:noMultiLvlLbl val="0"/>
      </c:catAx>
      <c:valAx>
        <c:axId val="192236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36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Brief</c:v>
                </c:pt>
              </c:strCache>
            </c:strRef>
          </c:tx>
          <c:spPr>
            <a:pattFill prst="pct50">
              <a:fgClr>
                <a:schemeClr val="tx1">
                  <a:lumMod val="65000"/>
                  <a:lumOff val="3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10</c:v>
                </c:pt>
                <c:pt idx="1">
                  <c:v>11</c:v>
                </c:pt>
                <c:pt idx="2">
                  <c:v>12</c:v>
                </c:pt>
                <c:pt idx="3">
                  <c:v>13</c:v>
                </c:pt>
                <c:pt idx="4">
                  <c:v>14</c:v>
                </c:pt>
                <c:pt idx="5">
                  <c:v>15</c:v>
                </c:pt>
                <c:pt idx="6">
                  <c:v>16</c:v>
                </c:pt>
                <c:pt idx="7">
                  <c:v>17</c:v>
                </c:pt>
              </c:numCache>
            </c:numRef>
          </c:cat>
          <c:val>
            <c:numRef>
              <c:f>Sheet1!$B$2:$B$9</c:f>
              <c:numCache>
                <c:formatCode>General</c:formatCode>
                <c:ptCount val="8"/>
                <c:pt idx="0">
                  <c:v>0</c:v>
                </c:pt>
                <c:pt idx="1">
                  <c:v>2</c:v>
                </c:pt>
                <c:pt idx="2">
                  <c:v>7</c:v>
                </c:pt>
                <c:pt idx="3">
                  <c:v>7</c:v>
                </c:pt>
                <c:pt idx="4">
                  <c:v>16</c:v>
                </c:pt>
                <c:pt idx="5">
                  <c:v>18</c:v>
                </c:pt>
                <c:pt idx="6">
                  <c:v>28</c:v>
                </c:pt>
                <c:pt idx="7">
                  <c:v>32</c:v>
                </c:pt>
              </c:numCache>
            </c:numRef>
          </c:val>
          <c:extLst>
            <c:ext xmlns:c16="http://schemas.microsoft.com/office/drawing/2014/chart" uri="{C3380CC4-5D6E-409C-BE32-E72D297353CC}">
              <c16:uniqueId val="{00000000-4557-4B48-972E-D89465BA1A05}"/>
            </c:ext>
          </c:extLst>
        </c:ser>
        <c:ser>
          <c:idx val="1"/>
          <c:order val="1"/>
          <c:tx>
            <c:strRef>
              <c:f>Sheet1!$C$1</c:f>
              <c:strCache>
                <c:ptCount val="1"/>
                <c:pt idx="0">
                  <c:v>Diversion</c:v>
                </c:pt>
              </c:strCache>
            </c:strRef>
          </c:tx>
          <c:spPr>
            <a:solidFill>
              <a:schemeClr val="dk1">
                <a:tint val="5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10</c:v>
                </c:pt>
                <c:pt idx="1">
                  <c:v>11</c:v>
                </c:pt>
                <c:pt idx="2">
                  <c:v>12</c:v>
                </c:pt>
                <c:pt idx="3">
                  <c:v>13</c:v>
                </c:pt>
                <c:pt idx="4">
                  <c:v>14</c:v>
                </c:pt>
                <c:pt idx="5">
                  <c:v>15</c:v>
                </c:pt>
                <c:pt idx="6">
                  <c:v>16</c:v>
                </c:pt>
                <c:pt idx="7">
                  <c:v>17</c:v>
                </c:pt>
              </c:numCache>
            </c:numRef>
          </c:cat>
          <c:val>
            <c:numRef>
              <c:f>Sheet1!$C$2:$C$9</c:f>
              <c:numCache>
                <c:formatCode>General</c:formatCode>
                <c:ptCount val="8"/>
                <c:pt idx="0">
                  <c:v>2</c:v>
                </c:pt>
                <c:pt idx="1">
                  <c:v>1</c:v>
                </c:pt>
                <c:pt idx="2">
                  <c:v>4</c:v>
                </c:pt>
                <c:pt idx="3">
                  <c:v>3</c:v>
                </c:pt>
                <c:pt idx="4">
                  <c:v>10</c:v>
                </c:pt>
                <c:pt idx="5">
                  <c:v>20</c:v>
                </c:pt>
                <c:pt idx="6">
                  <c:v>15</c:v>
                </c:pt>
                <c:pt idx="7">
                  <c:v>11</c:v>
                </c:pt>
              </c:numCache>
            </c:numRef>
          </c:val>
          <c:extLst>
            <c:ext xmlns:c16="http://schemas.microsoft.com/office/drawing/2014/chart" uri="{C3380CC4-5D6E-409C-BE32-E72D297353CC}">
              <c16:uniqueId val="{00000001-4557-4B48-972E-D89465BA1A05}"/>
            </c:ext>
          </c:extLst>
        </c:ser>
        <c:dLbls>
          <c:showLegendKey val="0"/>
          <c:showVal val="0"/>
          <c:showCatName val="0"/>
          <c:showSerName val="0"/>
          <c:showPercent val="0"/>
          <c:showBubbleSize val="0"/>
        </c:dLbls>
        <c:gapWidth val="219"/>
        <c:overlap val="-27"/>
        <c:axId val="1692025775"/>
        <c:axId val="1692023375"/>
      </c:barChart>
      <c:catAx>
        <c:axId val="16920257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(at offence)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023375"/>
        <c:crosses val="autoZero"/>
        <c:auto val="1"/>
        <c:lblAlgn val="ctr"/>
        <c:lblOffset val="100"/>
        <c:noMultiLvlLbl val="0"/>
      </c:catAx>
      <c:valAx>
        <c:axId val="1692023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young people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025775"/>
        <c:crosses val="autoZero"/>
        <c:crossBetween val="between"/>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Sheet1!$B$1</c:f>
              <c:strCache>
                <c:ptCount val="1"/>
                <c:pt idx="0">
                  <c:v>Count of Court Referrals </c:v>
                </c:pt>
              </c:strCache>
            </c:strRef>
          </c:tx>
          <c:spPr>
            <a:ln w="22225" cap="rnd">
              <a:solidFill>
                <a:schemeClr val="tx1"/>
              </a:solidFill>
              <a:prstDash val="lgDashDot"/>
              <a:round/>
            </a:ln>
            <a:effectLst/>
          </c:spPr>
          <c:marker>
            <c:symbol val="circle"/>
            <c:size val="5"/>
            <c:spPr>
              <a:solidFill>
                <a:schemeClr val="dk1">
                  <a:tint val="88500"/>
                </a:schemeClr>
              </a:solidFill>
              <a:ln w="9525">
                <a:solidFill>
                  <a:schemeClr val="dk1">
                    <a:tint val="88500"/>
                  </a:schemeClr>
                </a:solidFill>
              </a:ln>
              <a:effectLst/>
            </c:spPr>
          </c:marker>
          <c:dLbls>
            <c:dLbl>
              <c:idx val="0"/>
              <c:layout>
                <c:manualLayout>
                  <c:x val="-4.4259259259259262E-2"/>
                  <c:y val="-6.8324232348574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D5-49DD-8149-89440CB8DD63}"/>
                </c:ext>
              </c:extLst>
            </c:dLbl>
            <c:dLbl>
              <c:idx val="1"/>
              <c:layout>
                <c:manualLayout>
                  <c:x val="-5.1203703703703703E-2"/>
                  <c:y val="5.5159780881855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80-8345-9816-B094B1580355}"/>
                </c:ext>
              </c:extLst>
            </c:dLbl>
            <c:dLbl>
              <c:idx val="2"/>
              <c:layout>
                <c:manualLayout>
                  <c:x val="-4.1944444444444486E-2"/>
                  <c:y val="4.1929350892880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80-8345-9816-B094B1580355}"/>
                </c:ext>
              </c:extLst>
            </c:dLbl>
            <c:dLbl>
              <c:idx val="10"/>
              <c:layout>
                <c:manualLayout>
                  <c:x val="-2.9212962962962965E-2"/>
                  <c:y val="4.1465938587885998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537037037037037E-2"/>
                      <c:h val="6.1676028092960258E-2"/>
                    </c:manualLayout>
                  </c15:layout>
                </c:ext>
                <c:ext xmlns:c16="http://schemas.microsoft.com/office/drawing/2014/chart" uri="{C3380CC4-5D6E-409C-BE32-E72D297353CC}">
                  <c16:uniqueId val="{00000004-9C80-8345-9816-B094B15803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Sheet1!$B$2:$B$12</c:f>
              <c:numCache>
                <c:formatCode>General</c:formatCode>
                <c:ptCount val="11"/>
                <c:pt idx="0">
                  <c:v>1616</c:v>
                </c:pt>
                <c:pt idx="1">
                  <c:v>1316</c:v>
                </c:pt>
                <c:pt idx="2">
                  <c:v>1099</c:v>
                </c:pt>
                <c:pt idx="3">
                  <c:v>1327</c:v>
                </c:pt>
                <c:pt idx="4">
                  <c:v>1433</c:v>
                </c:pt>
                <c:pt idx="5">
                  <c:v>1191</c:v>
                </c:pt>
                <c:pt idx="6">
                  <c:v>1105</c:v>
                </c:pt>
                <c:pt idx="7">
                  <c:v>1197</c:v>
                </c:pt>
                <c:pt idx="8">
                  <c:v>1354</c:v>
                </c:pt>
                <c:pt idx="9">
                  <c:v>1672</c:v>
                </c:pt>
                <c:pt idx="10">
                  <c:v>1898</c:v>
                </c:pt>
              </c:numCache>
            </c:numRef>
          </c:val>
          <c:smooth val="0"/>
          <c:extLst>
            <c:ext xmlns:c16="http://schemas.microsoft.com/office/drawing/2014/chart" uri="{C3380CC4-5D6E-409C-BE32-E72D297353CC}">
              <c16:uniqueId val="{00000001-88D5-49DD-8149-89440CB8DD63}"/>
            </c:ext>
          </c:extLst>
        </c:ser>
        <c:ser>
          <c:idx val="1"/>
          <c:order val="1"/>
          <c:tx>
            <c:strRef>
              <c:f>Sheet1!$C$1</c:f>
              <c:strCache>
                <c:ptCount val="1"/>
                <c:pt idx="0">
                  <c:v>Count of Diversionary Procedures</c:v>
                </c:pt>
              </c:strCache>
            </c:strRef>
          </c:tx>
          <c:spPr>
            <a:ln w="22225" cap="rnd">
              <a:solidFill>
                <a:schemeClr val="tx1"/>
              </a:solidFill>
              <a:prstDash val="solid"/>
              <a:round/>
            </a:ln>
            <a:effectLst/>
          </c:spPr>
          <c:marker>
            <c:symbol val="circle"/>
            <c:size val="5"/>
            <c:spPr>
              <a:solidFill>
                <a:schemeClr val="dk1">
                  <a:tint val="55000"/>
                </a:schemeClr>
              </a:solidFill>
              <a:ln w="9525">
                <a:solidFill>
                  <a:schemeClr val="dk1">
                    <a:tint val="55000"/>
                  </a:schemeClr>
                </a:solidFill>
              </a:ln>
              <a:effectLst/>
            </c:spPr>
          </c:marker>
          <c:dLbls>
            <c:dLbl>
              <c:idx val="1"/>
              <c:layout>
                <c:manualLayout>
                  <c:x val="-4.1944535578885972E-2"/>
                  <c:y val="-5.0749811179886965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8425925925925916E-2"/>
                      <c:h val="6.1676028092960258E-2"/>
                    </c:manualLayout>
                  </c15:layout>
                </c:ext>
                <c:ext xmlns:c16="http://schemas.microsoft.com/office/drawing/2014/chart" uri="{C3380CC4-5D6E-409C-BE32-E72D297353CC}">
                  <c16:uniqueId val="{00000003-9C80-8345-9816-B094B1580355}"/>
                </c:ext>
              </c:extLst>
            </c:dLbl>
            <c:dLbl>
              <c:idx val="2"/>
              <c:layout>
                <c:manualLayout>
                  <c:x val="-4.1944444444444486E-2"/>
                  <c:y val="-4.6339494222538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80-8345-9816-B094B15803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Sheet1!$C$2:$C$12</c:f>
              <c:numCache>
                <c:formatCode>General</c:formatCode>
                <c:ptCount val="11"/>
                <c:pt idx="0">
                  <c:v>1603</c:v>
                </c:pt>
                <c:pt idx="1">
                  <c:v>1409</c:v>
                </c:pt>
                <c:pt idx="2">
                  <c:v>1234</c:v>
                </c:pt>
                <c:pt idx="3">
                  <c:v>1200</c:v>
                </c:pt>
                <c:pt idx="4">
                  <c:v>1094</c:v>
                </c:pt>
                <c:pt idx="5">
                  <c:v>934</c:v>
                </c:pt>
                <c:pt idx="6">
                  <c:v>846</c:v>
                </c:pt>
                <c:pt idx="7">
                  <c:v>885</c:v>
                </c:pt>
                <c:pt idx="8">
                  <c:v>960</c:v>
                </c:pt>
                <c:pt idx="9">
                  <c:v>1195</c:v>
                </c:pt>
                <c:pt idx="10">
                  <c:v>983</c:v>
                </c:pt>
              </c:numCache>
            </c:numRef>
          </c:val>
          <c:smooth val="0"/>
          <c:extLst>
            <c:ext xmlns:c16="http://schemas.microsoft.com/office/drawing/2014/chart" uri="{C3380CC4-5D6E-409C-BE32-E72D297353CC}">
              <c16:uniqueId val="{00000003-88D5-49DD-8149-89440CB8DD63}"/>
            </c:ext>
          </c:extLst>
        </c:ser>
        <c:dLbls>
          <c:dLblPos val="t"/>
          <c:showLegendKey val="0"/>
          <c:showVal val="1"/>
          <c:showCatName val="0"/>
          <c:showSerName val="0"/>
          <c:showPercent val="0"/>
          <c:showBubbleSize val="0"/>
        </c:dLbls>
        <c:marker val="1"/>
        <c:smooth val="0"/>
        <c:axId val="632321919"/>
        <c:axId val="632322399"/>
      </c:lineChart>
      <c:catAx>
        <c:axId val="63232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22399"/>
        <c:crosses val="autoZero"/>
        <c:auto val="1"/>
        <c:lblAlgn val="ctr"/>
        <c:lblOffset val="100"/>
        <c:noMultiLvlLbl val="0"/>
      </c:catAx>
      <c:valAx>
        <c:axId val="632322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2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Sheet1!$B$1</c:f>
              <c:strCache>
                <c:ptCount val="1"/>
                <c:pt idx="0">
                  <c:v>Count of Formal Cautions</c:v>
                </c:pt>
              </c:strCache>
            </c:strRef>
          </c:tx>
          <c:spPr>
            <a:ln w="22225" cap="rnd">
              <a:solidFill>
                <a:schemeClr val="tx1"/>
              </a:solidFill>
              <a:prstDash val="dashDot"/>
              <a:round/>
            </a:ln>
            <a:effectLst/>
          </c:spPr>
          <c:marker>
            <c:symbol val="circle"/>
            <c:size val="5"/>
            <c:spPr>
              <a:solidFill>
                <a:schemeClr val="dk1">
                  <a:tint val="88500"/>
                </a:schemeClr>
              </a:solidFill>
              <a:ln w="9525">
                <a:solidFill>
                  <a:schemeClr val="dk1">
                    <a:tint val="885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Sheet1!$B$2:$B$12</c:f>
              <c:numCache>
                <c:formatCode>General</c:formatCode>
                <c:ptCount val="11"/>
                <c:pt idx="0">
                  <c:v>398</c:v>
                </c:pt>
                <c:pt idx="1">
                  <c:v>413</c:v>
                </c:pt>
                <c:pt idx="2">
                  <c:v>371</c:v>
                </c:pt>
                <c:pt idx="3">
                  <c:v>404</c:v>
                </c:pt>
                <c:pt idx="4">
                  <c:v>343</c:v>
                </c:pt>
                <c:pt idx="5">
                  <c:v>344</c:v>
                </c:pt>
                <c:pt idx="6">
                  <c:v>276</c:v>
                </c:pt>
                <c:pt idx="7">
                  <c:v>237</c:v>
                </c:pt>
                <c:pt idx="8">
                  <c:v>313</c:v>
                </c:pt>
                <c:pt idx="9">
                  <c:v>396</c:v>
                </c:pt>
                <c:pt idx="10">
                  <c:v>293</c:v>
                </c:pt>
              </c:numCache>
            </c:numRef>
          </c:val>
          <c:smooth val="0"/>
          <c:extLst>
            <c:ext xmlns:c16="http://schemas.microsoft.com/office/drawing/2014/chart" uri="{C3380CC4-5D6E-409C-BE32-E72D297353CC}">
              <c16:uniqueId val="{00000000-A823-4174-888F-F96DBD3221DF}"/>
            </c:ext>
          </c:extLst>
        </c:ser>
        <c:ser>
          <c:idx val="1"/>
          <c:order val="1"/>
          <c:tx>
            <c:strRef>
              <c:f>Sheet1!$C$1</c:f>
              <c:strCache>
                <c:ptCount val="1"/>
                <c:pt idx="0">
                  <c:v>Count of Informal Cautions </c:v>
                </c:pt>
              </c:strCache>
            </c:strRef>
          </c:tx>
          <c:spPr>
            <a:ln w="22225" cap="rnd">
              <a:solidFill>
                <a:schemeClr val="tx1"/>
              </a:solidFill>
              <a:prstDash val="sysDash"/>
              <a:round/>
            </a:ln>
            <a:effectLst/>
          </c:spPr>
          <c:marker>
            <c:symbol val="circle"/>
            <c:size val="5"/>
            <c:spPr>
              <a:solidFill>
                <a:schemeClr val="dk1">
                  <a:tint val="55000"/>
                </a:schemeClr>
              </a:solidFill>
              <a:ln w="9525">
                <a:solidFill>
                  <a:schemeClr val="dk1">
                    <a:tint val="5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Sheet1!$C$2:$C$12</c:f>
              <c:numCache>
                <c:formatCode>General</c:formatCode>
                <c:ptCount val="11"/>
                <c:pt idx="0">
                  <c:v>924</c:v>
                </c:pt>
                <c:pt idx="1">
                  <c:v>827</c:v>
                </c:pt>
                <c:pt idx="2">
                  <c:v>737</c:v>
                </c:pt>
                <c:pt idx="3">
                  <c:v>680</c:v>
                </c:pt>
                <c:pt idx="4">
                  <c:v>638</c:v>
                </c:pt>
                <c:pt idx="5">
                  <c:v>479</c:v>
                </c:pt>
                <c:pt idx="6">
                  <c:v>474</c:v>
                </c:pt>
                <c:pt idx="7">
                  <c:v>542</c:v>
                </c:pt>
                <c:pt idx="8">
                  <c:v>527</c:v>
                </c:pt>
                <c:pt idx="9">
                  <c:v>715</c:v>
                </c:pt>
                <c:pt idx="10">
                  <c:v>528</c:v>
                </c:pt>
              </c:numCache>
            </c:numRef>
          </c:val>
          <c:smooth val="0"/>
          <c:extLst>
            <c:ext xmlns:c16="http://schemas.microsoft.com/office/drawing/2014/chart" uri="{C3380CC4-5D6E-409C-BE32-E72D297353CC}">
              <c16:uniqueId val="{00000001-A823-4174-888F-F96DBD3221DF}"/>
            </c:ext>
          </c:extLst>
        </c:ser>
        <c:ser>
          <c:idx val="2"/>
          <c:order val="2"/>
          <c:tx>
            <c:strRef>
              <c:f>Sheet1!$D$1</c:f>
              <c:strCache>
                <c:ptCount val="1"/>
                <c:pt idx="0">
                  <c:v>Count of Community Conference </c:v>
                </c:pt>
              </c:strCache>
            </c:strRef>
          </c:tx>
          <c:spPr>
            <a:ln w="22225" cap="rnd">
              <a:solidFill>
                <a:schemeClr val="tx1"/>
              </a:solidFill>
              <a:prstDash val="solid"/>
              <a:round/>
            </a:ln>
            <a:effectLst/>
          </c:spPr>
          <c:marker>
            <c:symbol val="circle"/>
            <c:size val="5"/>
            <c:spPr>
              <a:solidFill>
                <a:schemeClr val="dk1">
                  <a:tint val="75000"/>
                </a:schemeClr>
              </a:solidFill>
              <a:ln w="9525">
                <a:solidFill>
                  <a:schemeClr val="dk1">
                    <a:tint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Sheet1!$D$2:$D$12</c:f>
              <c:numCache>
                <c:formatCode>General</c:formatCode>
                <c:ptCount val="11"/>
                <c:pt idx="0">
                  <c:v>280</c:v>
                </c:pt>
                <c:pt idx="1">
                  <c:v>168</c:v>
                </c:pt>
                <c:pt idx="2">
                  <c:v>126</c:v>
                </c:pt>
                <c:pt idx="3">
                  <c:v>116</c:v>
                </c:pt>
                <c:pt idx="4">
                  <c:v>113</c:v>
                </c:pt>
                <c:pt idx="5">
                  <c:v>108</c:v>
                </c:pt>
                <c:pt idx="6">
                  <c:v>94</c:v>
                </c:pt>
                <c:pt idx="7">
                  <c:v>105</c:v>
                </c:pt>
                <c:pt idx="8">
                  <c:v>119</c:v>
                </c:pt>
                <c:pt idx="9">
                  <c:v>83</c:v>
                </c:pt>
                <c:pt idx="10">
                  <c:v>158</c:v>
                </c:pt>
              </c:numCache>
            </c:numRef>
          </c:val>
          <c:smooth val="0"/>
          <c:extLst>
            <c:ext xmlns:c16="http://schemas.microsoft.com/office/drawing/2014/chart" uri="{C3380CC4-5D6E-409C-BE32-E72D297353CC}">
              <c16:uniqueId val="{00000002-A823-4174-888F-F96DBD3221DF}"/>
            </c:ext>
          </c:extLst>
        </c:ser>
        <c:dLbls>
          <c:showLegendKey val="0"/>
          <c:showVal val="1"/>
          <c:showCatName val="0"/>
          <c:showSerName val="0"/>
          <c:showPercent val="0"/>
          <c:showBubbleSize val="0"/>
        </c:dLbls>
        <c:marker val="1"/>
        <c:smooth val="0"/>
        <c:axId val="632321919"/>
        <c:axId val="632322399"/>
      </c:lineChart>
      <c:catAx>
        <c:axId val="63232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22399"/>
        <c:crosses val="autoZero"/>
        <c:auto val="1"/>
        <c:lblAlgn val="ctr"/>
        <c:lblOffset val="100"/>
        <c:noMultiLvlLbl val="0"/>
      </c:catAx>
      <c:valAx>
        <c:axId val="632322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2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Sheet1!$B$1</c:f>
              <c:strCache>
                <c:ptCount val="1"/>
                <c:pt idx="0">
                  <c:v>Count of Court Referrals </c:v>
                </c:pt>
              </c:strCache>
            </c:strRef>
          </c:tx>
          <c:spPr>
            <a:pattFill prst="pct50">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Sheet1!$B$2:$B$12</c:f>
              <c:numCache>
                <c:formatCode>General</c:formatCode>
                <c:ptCount val="11"/>
                <c:pt idx="0">
                  <c:v>9</c:v>
                </c:pt>
                <c:pt idx="1">
                  <c:v>4</c:v>
                </c:pt>
                <c:pt idx="2">
                  <c:v>12</c:v>
                </c:pt>
                <c:pt idx="3">
                  <c:v>11</c:v>
                </c:pt>
                <c:pt idx="4">
                  <c:v>11</c:v>
                </c:pt>
                <c:pt idx="5">
                  <c:v>4</c:v>
                </c:pt>
                <c:pt idx="6">
                  <c:v>11</c:v>
                </c:pt>
                <c:pt idx="7">
                  <c:v>11</c:v>
                </c:pt>
                <c:pt idx="8">
                  <c:v>11</c:v>
                </c:pt>
                <c:pt idx="9">
                  <c:v>11</c:v>
                </c:pt>
                <c:pt idx="10">
                  <c:v>13</c:v>
                </c:pt>
              </c:numCache>
            </c:numRef>
          </c:val>
          <c:extLst>
            <c:ext xmlns:c16="http://schemas.microsoft.com/office/drawing/2014/chart" uri="{C3380CC4-5D6E-409C-BE32-E72D297353CC}">
              <c16:uniqueId val="{00000000-0B65-4115-92CE-91ADB89E8D5E}"/>
            </c:ext>
          </c:extLst>
        </c:ser>
        <c:ser>
          <c:idx val="1"/>
          <c:order val="1"/>
          <c:tx>
            <c:strRef>
              <c:f>Sheet1!$C$1</c:f>
              <c:strCache>
                <c:ptCount val="1"/>
                <c:pt idx="0">
                  <c:v>Count of Diversionary Procedures</c:v>
                </c:pt>
              </c:strCache>
            </c:strRef>
          </c:tx>
          <c:spPr>
            <a:pattFill prst="pct25">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Sheet1!$C$2:$C$12</c:f>
              <c:numCache>
                <c:formatCode>General</c:formatCode>
                <c:ptCount val="11"/>
                <c:pt idx="0">
                  <c:v>8</c:v>
                </c:pt>
                <c:pt idx="1">
                  <c:v>7</c:v>
                </c:pt>
                <c:pt idx="2">
                  <c:v>3</c:v>
                </c:pt>
                <c:pt idx="3">
                  <c:v>6</c:v>
                </c:pt>
                <c:pt idx="4">
                  <c:v>8</c:v>
                </c:pt>
                <c:pt idx="5">
                  <c:v>4</c:v>
                </c:pt>
                <c:pt idx="6">
                  <c:v>5</c:v>
                </c:pt>
                <c:pt idx="7">
                  <c:v>9</c:v>
                </c:pt>
                <c:pt idx="8">
                  <c:v>6</c:v>
                </c:pt>
                <c:pt idx="9">
                  <c:v>3</c:v>
                </c:pt>
                <c:pt idx="10">
                  <c:v>2</c:v>
                </c:pt>
              </c:numCache>
            </c:numRef>
          </c:val>
          <c:extLst>
            <c:ext xmlns:c16="http://schemas.microsoft.com/office/drawing/2014/chart" uri="{C3380CC4-5D6E-409C-BE32-E72D297353CC}">
              <c16:uniqueId val="{00000001-0B65-4115-92CE-91ADB89E8D5E}"/>
            </c:ext>
          </c:extLst>
        </c:ser>
        <c:dLbls>
          <c:dLblPos val="ctr"/>
          <c:showLegendKey val="0"/>
          <c:showVal val="1"/>
          <c:showCatName val="0"/>
          <c:showSerName val="0"/>
          <c:showPercent val="0"/>
          <c:showBubbleSize val="0"/>
        </c:dLbls>
        <c:gapWidth val="30"/>
        <c:overlap val="100"/>
        <c:axId val="632321919"/>
        <c:axId val="632322399"/>
      </c:barChart>
      <c:catAx>
        <c:axId val="63232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22399"/>
        <c:crosses val="autoZero"/>
        <c:auto val="1"/>
        <c:lblAlgn val="ctr"/>
        <c:lblOffset val="100"/>
        <c:noMultiLvlLbl val="0"/>
      </c:catAx>
      <c:valAx>
        <c:axId val="6323223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32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Sheet1!$B$1</c:f>
              <c:strCache>
                <c:ptCount val="1"/>
                <c:pt idx="0">
                  <c:v>Sexual assault</c:v>
                </c:pt>
              </c:strCache>
            </c:strRef>
          </c:tx>
          <c:spPr>
            <a:pattFill prst="pct5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Sheet1!$B$2:$B$12</c:f>
              <c:numCache>
                <c:formatCode>General</c:formatCode>
                <c:ptCount val="11"/>
                <c:pt idx="0">
                  <c:v>8</c:v>
                </c:pt>
                <c:pt idx="1">
                  <c:v>3</c:v>
                </c:pt>
                <c:pt idx="2">
                  <c:v>12</c:v>
                </c:pt>
                <c:pt idx="3">
                  <c:v>11</c:v>
                </c:pt>
                <c:pt idx="4">
                  <c:v>10</c:v>
                </c:pt>
                <c:pt idx="5">
                  <c:v>4</c:v>
                </c:pt>
                <c:pt idx="6">
                  <c:v>11</c:v>
                </c:pt>
                <c:pt idx="7">
                  <c:v>9</c:v>
                </c:pt>
                <c:pt idx="8">
                  <c:v>11</c:v>
                </c:pt>
                <c:pt idx="9">
                  <c:v>10</c:v>
                </c:pt>
                <c:pt idx="10">
                  <c:v>11</c:v>
                </c:pt>
              </c:numCache>
            </c:numRef>
          </c:val>
          <c:extLst>
            <c:ext xmlns:c16="http://schemas.microsoft.com/office/drawing/2014/chart" uri="{C3380CC4-5D6E-409C-BE32-E72D297353CC}">
              <c16:uniqueId val="{00000000-C012-4F84-9983-E788EF92C93F}"/>
            </c:ext>
          </c:extLst>
        </c:ser>
        <c:ser>
          <c:idx val="1"/>
          <c:order val="1"/>
          <c:tx>
            <c:strRef>
              <c:f>Sheet1!$C$1</c:f>
              <c:strCache>
                <c:ptCount val="1"/>
                <c:pt idx="0">
                  <c:v>Child exploitation material offences</c:v>
                </c:pt>
              </c:strCache>
            </c:strRef>
          </c:tx>
          <c:spPr>
            <a:pattFill prst="pct2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Sheet1!$C$2:$C$12</c:f>
              <c:numCache>
                <c:formatCode>General</c:formatCode>
                <c:ptCount val="11"/>
                <c:pt idx="0">
                  <c:v>1</c:v>
                </c:pt>
                <c:pt idx="1">
                  <c:v>1</c:v>
                </c:pt>
                <c:pt idx="4">
                  <c:v>1</c:v>
                </c:pt>
                <c:pt idx="7">
                  <c:v>2</c:v>
                </c:pt>
                <c:pt idx="8">
                  <c:v>1</c:v>
                </c:pt>
                <c:pt idx="10">
                  <c:v>2</c:v>
                </c:pt>
              </c:numCache>
            </c:numRef>
          </c:val>
          <c:extLst>
            <c:ext xmlns:c16="http://schemas.microsoft.com/office/drawing/2014/chart" uri="{C3380CC4-5D6E-409C-BE32-E72D297353CC}">
              <c16:uniqueId val="{00000001-C012-4F84-9983-E788EF92C93F}"/>
            </c:ext>
          </c:extLst>
        </c:ser>
        <c:ser>
          <c:idx val="2"/>
          <c:order val="2"/>
          <c:tx>
            <c:strRef>
              <c:f>Sheet1!$D$1</c:f>
              <c:strCache>
                <c:ptCount val="1"/>
                <c:pt idx="0">
                  <c:v>Other Non-assaultive sexual offences</c:v>
                </c:pt>
              </c:strCache>
            </c:strRef>
          </c:tx>
          <c:spPr>
            <a:solidFill>
              <a:schemeClr val="dk1">
                <a:tint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Sheet1!$D$2:$D$12</c:f>
              <c:numCache>
                <c:formatCode>General</c:formatCode>
                <c:ptCount val="11"/>
                <c:pt idx="8">
                  <c:v>1</c:v>
                </c:pt>
                <c:pt idx="9">
                  <c:v>1</c:v>
                </c:pt>
              </c:numCache>
            </c:numRef>
          </c:val>
          <c:extLst>
            <c:ext xmlns:c16="http://schemas.microsoft.com/office/drawing/2014/chart" uri="{C3380CC4-5D6E-409C-BE32-E72D297353CC}">
              <c16:uniqueId val="{00000002-C012-4F84-9983-E788EF92C93F}"/>
            </c:ext>
          </c:extLst>
        </c:ser>
        <c:dLbls>
          <c:showLegendKey val="0"/>
          <c:showVal val="1"/>
          <c:showCatName val="0"/>
          <c:showSerName val="0"/>
          <c:showPercent val="0"/>
          <c:showBubbleSize val="0"/>
        </c:dLbls>
        <c:gapWidth val="30"/>
        <c:overlap val="100"/>
        <c:axId val="722763631"/>
        <c:axId val="722772751"/>
      </c:barChart>
      <c:catAx>
        <c:axId val="722763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772751"/>
        <c:crosses val="autoZero"/>
        <c:auto val="1"/>
        <c:lblAlgn val="ctr"/>
        <c:lblOffset val="100"/>
        <c:noMultiLvlLbl val="0"/>
      </c:catAx>
      <c:valAx>
        <c:axId val="7227727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763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Sheet1!$B$1</c:f>
              <c:strCache>
                <c:ptCount val="1"/>
                <c:pt idx="0">
                  <c:v>Sexual assault</c:v>
                </c:pt>
              </c:strCache>
            </c:strRef>
          </c:tx>
          <c:spPr>
            <a:pattFill prst="pct5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Sheet1!$B$2:$B$12</c:f>
              <c:numCache>
                <c:formatCode>General</c:formatCode>
                <c:ptCount val="11"/>
                <c:pt idx="0">
                  <c:v>7</c:v>
                </c:pt>
                <c:pt idx="1">
                  <c:v>3</c:v>
                </c:pt>
                <c:pt idx="2">
                  <c:v>2</c:v>
                </c:pt>
                <c:pt idx="3">
                  <c:v>5</c:v>
                </c:pt>
                <c:pt idx="4">
                  <c:v>7</c:v>
                </c:pt>
                <c:pt idx="5">
                  <c:v>4</c:v>
                </c:pt>
                <c:pt idx="6">
                  <c:v>3</c:v>
                </c:pt>
                <c:pt idx="7">
                  <c:v>6</c:v>
                </c:pt>
                <c:pt idx="8">
                  <c:v>3</c:v>
                </c:pt>
                <c:pt idx="9">
                  <c:v>2</c:v>
                </c:pt>
                <c:pt idx="10">
                  <c:v>1</c:v>
                </c:pt>
              </c:numCache>
            </c:numRef>
          </c:val>
          <c:extLst>
            <c:ext xmlns:c16="http://schemas.microsoft.com/office/drawing/2014/chart" uri="{C3380CC4-5D6E-409C-BE32-E72D297353CC}">
              <c16:uniqueId val="{00000000-DF73-405B-AE06-CCF1E2A1D67D}"/>
            </c:ext>
          </c:extLst>
        </c:ser>
        <c:ser>
          <c:idx val="1"/>
          <c:order val="1"/>
          <c:tx>
            <c:strRef>
              <c:f>Sheet1!$C$1</c:f>
              <c:strCache>
                <c:ptCount val="1"/>
                <c:pt idx="0">
                  <c:v>Child exploitation material offences</c:v>
                </c:pt>
              </c:strCache>
            </c:strRef>
          </c:tx>
          <c:spPr>
            <a:pattFill prst="pct2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Sheet1!$C$2:$C$12</c:f>
              <c:numCache>
                <c:formatCode>General</c:formatCode>
                <c:ptCount val="11"/>
                <c:pt idx="0">
                  <c:v>1</c:v>
                </c:pt>
                <c:pt idx="1">
                  <c:v>4</c:v>
                </c:pt>
                <c:pt idx="2">
                  <c:v>1</c:v>
                </c:pt>
                <c:pt idx="3">
                  <c:v>1</c:v>
                </c:pt>
                <c:pt idx="4">
                  <c:v>1</c:v>
                </c:pt>
                <c:pt idx="6">
                  <c:v>2</c:v>
                </c:pt>
                <c:pt idx="7">
                  <c:v>3</c:v>
                </c:pt>
                <c:pt idx="8">
                  <c:v>2</c:v>
                </c:pt>
                <c:pt idx="9">
                  <c:v>1</c:v>
                </c:pt>
                <c:pt idx="10">
                  <c:v>1</c:v>
                </c:pt>
              </c:numCache>
            </c:numRef>
          </c:val>
          <c:extLst>
            <c:ext xmlns:c16="http://schemas.microsoft.com/office/drawing/2014/chart" uri="{C3380CC4-5D6E-409C-BE32-E72D297353CC}">
              <c16:uniqueId val="{00000001-DF73-405B-AE06-CCF1E2A1D67D}"/>
            </c:ext>
          </c:extLst>
        </c:ser>
        <c:ser>
          <c:idx val="2"/>
          <c:order val="2"/>
          <c:tx>
            <c:strRef>
              <c:f>Sheet1!$D$1</c:f>
              <c:strCache>
                <c:ptCount val="1"/>
                <c:pt idx="0">
                  <c:v>Other Non-assaultive sexual offences</c:v>
                </c:pt>
              </c:strCache>
            </c:strRef>
          </c:tx>
          <c:spPr>
            <a:solidFill>
              <a:schemeClr val="dk1">
                <a:tint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Sheet1!$D$2:$D$12</c:f>
              <c:numCache>
                <c:formatCode>General</c:formatCode>
                <c:ptCount val="11"/>
                <c:pt idx="6">
                  <c:v>1</c:v>
                </c:pt>
                <c:pt idx="7">
                  <c:v>2</c:v>
                </c:pt>
                <c:pt idx="8">
                  <c:v>1</c:v>
                </c:pt>
                <c:pt idx="10">
                  <c:v>1</c:v>
                </c:pt>
              </c:numCache>
            </c:numRef>
          </c:val>
          <c:extLst>
            <c:ext xmlns:c16="http://schemas.microsoft.com/office/drawing/2014/chart" uri="{C3380CC4-5D6E-409C-BE32-E72D297353CC}">
              <c16:uniqueId val="{00000002-DF73-405B-AE06-CCF1E2A1D67D}"/>
            </c:ext>
          </c:extLst>
        </c:ser>
        <c:dLbls>
          <c:showLegendKey val="0"/>
          <c:showVal val="1"/>
          <c:showCatName val="0"/>
          <c:showSerName val="0"/>
          <c:showPercent val="0"/>
          <c:showBubbleSize val="0"/>
        </c:dLbls>
        <c:gapWidth val="30"/>
        <c:overlap val="100"/>
        <c:axId val="722763631"/>
        <c:axId val="722772751"/>
      </c:barChart>
      <c:catAx>
        <c:axId val="722763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772751"/>
        <c:crosses val="autoZero"/>
        <c:auto val="1"/>
        <c:lblAlgn val="ctr"/>
        <c:lblOffset val="100"/>
        <c:noMultiLvlLbl val="0"/>
      </c:catAx>
      <c:valAx>
        <c:axId val="7227727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763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All courts</c:v>
                </c:pt>
              </c:strCache>
            </c:strRef>
          </c:tx>
          <c:spPr>
            <a:ln w="22225" cap="rnd">
              <a:solidFill>
                <a:sysClr val="windowText" lastClr="000000"/>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pt idx="13">
                  <c:v>2023-24</c:v>
                </c:pt>
              </c:strCache>
            </c:strRef>
          </c:cat>
          <c:val>
            <c:numRef>
              <c:f>Sheet1!$B$2:$B$15</c:f>
              <c:numCache>
                <c:formatCode>General</c:formatCode>
                <c:ptCount val="14"/>
                <c:pt idx="0">
                  <c:v>132</c:v>
                </c:pt>
                <c:pt idx="1">
                  <c:v>120</c:v>
                </c:pt>
                <c:pt idx="2">
                  <c:v>89</c:v>
                </c:pt>
                <c:pt idx="3">
                  <c:v>87</c:v>
                </c:pt>
                <c:pt idx="4">
                  <c:v>113</c:v>
                </c:pt>
                <c:pt idx="5">
                  <c:v>94</c:v>
                </c:pt>
                <c:pt idx="6">
                  <c:v>101</c:v>
                </c:pt>
                <c:pt idx="7">
                  <c:v>111</c:v>
                </c:pt>
                <c:pt idx="8">
                  <c:v>128</c:v>
                </c:pt>
                <c:pt idx="9">
                  <c:v>124</c:v>
                </c:pt>
                <c:pt idx="10">
                  <c:v>113</c:v>
                </c:pt>
                <c:pt idx="11">
                  <c:v>130</c:v>
                </c:pt>
                <c:pt idx="12">
                  <c:v>158</c:v>
                </c:pt>
                <c:pt idx="13">
                  <c:v>150</c:v>
                </c:pt>
              </c:numCache>
            </c:numRef>
          </c:val>
          <c:smooth val="0"/>
          <c:extLst>
            <c:ext xmlns:c16="http://schemas.microsoft.com/office/drawing/2014/chart" uri="{C3380CC4-5D6E-409C-BE32-E72D297353CC}">
              <c16:uniqueId val="{00000000-F93C-4B40-9C99-60AC17207EA8}"/>
            </c:ext>
          </c:extLst>
        </c:ser>
        <c:ser>
          <c:idx val="1"/>
          <c:order val="1"/>
          <c:tx>
            <c:strRef>
              <c:f>Sheet1!$C$1</c:f>
              <c:strCache>
                <c:ptCount val="1"/>
                <c:pt idx="0">
                  <c:v>Youth Justice Division</c:v>
                </c:pt>
              </c:strCache>
            </c:strRef>
          </c:tx>
          <c:spPr>
            <a:ln w="22225" cap="rnd">
              <a:solidFill>
                <a:sysClr val="windowText" lastClr="000000"/>
              </a:solidFill>
              <a:prstDash val="dashDot"/>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pt idx="13">
                  <c:v>2023-24</c:v>
                </c:pt>
              </c:strCache>
            </c:strRef>
          </c:cat>
          <c:val>
            <c:numRef>
              <c:f>Sheet1!$C$2:$C$15</c:f>
              <c:numCache>
                <c:formatCode>General</c:formatCode>
                <c:ptCount val="14"/>
                <c:pt idx="0">
                  <c:v>8</c:v>
                </c:pt>
                <c:pt idx="1">
                  <c:v>8</c:v>
                </c:pt>
                <c:pt idx="2">
                  <c:v>8</c:v>
                </c:pt>
                <c:pt idx="3">
                  <c:v>15</c:v>
                </c:pt>
                <c:pt idx="4">
                  <c:v>8</c:v>
                </c:pt>
                <c:pt idx="5">
                  <c:v>0</c:v>
                </c:pt>
                <c:pt idx="6">
                  <c:v>3</c:v>
                </c:pt>
                <c:pt idx="7">
                  <c:v>8</c:v>
                </c:pt>
                <c:pt idx="8">
                  <c:v>5</c:v>
                </c:pt>
                <c:pt idx="9">
                  <c:v>4</c:v>
                </c:pt>
                <c:pt idx="10">
                  <c:v>3</c:v>
                </c:pt>
                <c:pt idx="11">
                  <c:v>6</c:v>
                </c:pt>
                <c:pt idx="12">
                  <c:v>8</c:v>
                </c:pt>
                <c:pt idx="13">
                  <c:v>3</c:v>
                </c:pt>
              </c:numCache>
            </c:numRef>
          </c:val>
          <c:smooth val="0"/>
          <c:extLst>
            <c:ext xmlns:c16="http://schemas.microsoft.com/office/drawing/2014/chart" uri="{C3380CC4-5D6E-409C-BE32-E72D297353CC}">
              <c16:uniqueId val="{00000001-F93C-4B40-9C99-60AC17207EA8}"/>
            </c:ext>
          </c:extLst>
        </c:ser>
        <c:dLbls>
          <c:showLegendKey val="0"/>
          <c:showVal val="0"/>
          <c:showCatName val="0"/>
          <c:showSerName val="0"/>
          <c:showPercent val="0"/>
          <c:showBubbleSize val="0"/>
        </c:dLbls>
        <c:smooth val="0"/>
        <c:axId val="1103751824"/>
        <c:axId val="1103753264"/>
      </c:lineChart>
      <c:catAx>
        <c:axId val="110375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753264"/>
        <c:crosses val="autoZero"/>
        <c:auto val="1"/>
        <c:lblAlgn val="ctr"/>
        <c:lblOffset val="100"/>
        <c:noMultiLvlLbl val="0"/>
      </c:catAx>
      <c:valAx>
        <c:axId val="1103753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Defendants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75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54493B-FC99-2949-B13B-A73DF3ECAE38}">
  <we:reference id="wa104380773" version="2.2.7.0" store="en-AU" storeType="OMEX"/>
  <we:alternateReferences>
    <we:reference id="WA104380773" version="2.2.7.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C3F83366492D4EAA320CC60EACD949" ma:contentTypeVersion="18" ma:contentTypeDescription="Create a new document." ma:contentTypeScope="" ma:versionID="de4907247de424bc20017513f59d58e5">
  <xsd:schema xmlns:xsd="http://www.w3.org/2001/XMLSchema" xmlns:xs="http://www.w3.org/2001/XMLSchema" xmlns:p="http://schemas.microsoft.com/office/2006/metadata/properties" xmlns:ns2="ff268b07-6a93-4430-b1e4-2f0a09f56242" xmlns:ns3="5511c14c-b25b-4611-ba41-15810fe933dd" xmlns:ns4="2d221494-178b-4357-bea6-3a87c5967eb4" targetNamespace="http://schemas.microsoft.com/office/2006/metadata/properties" ma:root="true" ma:fieldsID="65fc7203e0bbc7efe430395092fd63c8" ns2:_="" ns3:_="" ns4:_="">
    <xsd:import namespace="ff268b07-6a93-4430-b1e4-2f0a09f56242"/>
    <xsd:import namespace="5511c14c-b25b-4611-ba41-15810fe933d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8b07-6a93-4430-b1e4-2f0a09f56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11c14c-b25b-4611-ba41-15810fe93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b9c5877-d6ca-4318-b358-a8dc4fab1eb2}" ma:internalName="TaxCatchAll" ma:showField="CatchAllData" ma:web="5511c14c-b25b-4611-ba41-15810fe9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268b07-6a93-4430-b1e4-2f0a09f56242">
      <Terms xmlns="http://schemas.microsoft.com/office/infopath/2007/PartnerControls"/>
    </lcf76f155ced4ddcb4097134ff3c332f>
    <TaxCatchAll xmlns="2d221494-178b-4357-bea6-3a87c5967eb4" xsi:nil="true"/>
  </documentManagement>
</p:properties>
</file>

<file path=customXml/itemProps1.xml><?xml version="1.0" encoding="utf-8"?>
<ds:datastoreItem xmlns:ds="http://schemas.openxmlformats.org/officeDocument/2006/customXml" ds:itemID="{9BB91670-E715-491F-B398-4E6C7D6A4AA8}">
  <ds:schemaRefs>
    <ds:schemaRef ds:uri="http://schemas.openxmlformats.org/officeDocument/2006/bibliography"/>
  </ds:schemaRefs>
</ds:datastoreItem>
</file>

<file path=customXml/itemProps2.xml><?xml version="1.0" encoding="utf-8"?>
<ds:datastoreItem xmlns:ds="http://schemas.openxmlformats.org/officeDocument/2006/customXml" ds:itemID="{55BDA4AC-30B7-4059-A77D-69DD52BE9346}">
  <ds:schemaRefs>
    <ds:schemaRef ds:uri="http://schemas.microsoft.com/sharepoint/v3/contenttype/forms"/>
  </ds:schemaRefs>
</ds:datastoreItem>
</file>

<file path=customXml/itemProps3.xml><?xml version="1.0" encoding="utf-8"?>
<ds:datastoreItem xmlns:ds="http://schemas.openxmlformats.org/officeDocument/2006/customXml" ds:itemID="{E20B5C81-C07C-48BB-A69A-3941A027F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8b07-6a93-4430-b1e4-2f0a09f56242"/>
    <ds:schemaRef ds:uri="5511c14c-b25b-4611-ba41-15810fe933dd"/>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6027DB-7839-4191-9E73-C11FC5082BFE}">
  <ds:schemaRefs>
    <ds:schemaRef ds:uri="http://schemas.microsoft.com/office/2006/metadata/properties"/>
    <ds:schemaRef ds:uri="http://schemas.microsoft.com/office/infopath/2007/PartnerControls"/>
    <ds:schemaRef ds:uri="ff268b07-6a93-4430-b1e4-2f0a09f56242"/>
    <ds:schemaRef ds:uri="2d221494-178b-4357-bea6-3a87c5967eb4"/>
  </ds:schemaRefs>
</ds:datastoreItem>
</file>

<file path=docProps/app.xml><?xml version="1.0" encoding="utf-8"?>
<Properties xmlns="http://schemas.openxmlformats.org/officeDocument/2006/extended-properties" xmlns:vt="http://schemas.openxmlformats.org/officeDocument/2006/docPropsVTypes">
  <Template>Design style set for TLRI</Template>
  <TotalTime>0</TotalTime>
  <Pages>2</Pages>
  <Words>90632</Words>
  <Characters>489413</Characters>
  <Application>Microsoft Office Word</Application>
  <DocSecurity>8</DocSecurity>
  <Lines>8023</Lines>
  <Paragraphs>2974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577071</CharactersWithSpaces>
  <SharedDoc>false</SharedDoc>
  <HLinks>
    <vt:vector size="6" baseType="variant">
      <vt:variant>
        <vt:i4>2556022</vt:i4>
      </vt:variant>
      <vt:variant>
        <vt:i4>414</vt:i4>
      </vt:variant>
      <vt:variant>
        <vt:i4>0</vt:i4>
      </vt:variant>
      <vt:variant>
        <vt:i4>5</vt:i4>
      </vt:variant>
      <vt:variant>
        <vt:lpwstr>https://www.utas.edu.au/law-reform/publications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Bradfield</dc:creator>
  <cp:keywords/>
  <dc:description/>
  <cp:lastModifiedBy>Simone Lush</cp:lastModifiedBy>
  <cp:revision>2</cp:revision>
  <cp:lastPrinted>2026-02-11T03:50:00Z</cp:lastPrinted>
  <dcterms:created xsi:type="dcterms:W3CDTF">2026-02-16T23:23:00Z</dcterms:created>
  <dcterms:modified xsi:type="dcterms:W3CDTF">2026-02-16T23:23:00Z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0x0101001CC3F83366492D4EAA320CC60EACD949</vt:lpwstr>
  </property>
  <property fmtid="{D5CDD505-2E9C-101B-9397-08002B2CF9AE}" pid="3" name="MediaServiceImageTags">
    <vt:lpwstr/>
  </property>
</Properties>
</file>